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6.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01088" w14:textId="77777777" w:rsidR="00B01D46" w:rsidRDefault="0067013E" w:rsidP="001D41DC">
      <w:pPr>
        <w:spacing w:line="360" w:lineRule="auto"/>
        <w:ind w:firstLine="720"/>
        <w:jc w:val="center"/>
        <w:rPr>
          <w:rFonts w:ascii="Times New Roman" w:hAnsi="Times New Roman" w:cs="Times New Roman"/>
          <w:sz w:val="24"/>
          <w:szCs w:val="24"/>
        </w:rPr>
      </w:pPr>
      <w:r>
        <w:rPr>
          <w:rFonts w:ascii="Times New Roman" w:eastAsia="Times New Roman" w:hAnsi="Times New Roman" w:cs="Times New Roman"/>
          <w:b/>
          <w:bCs/>
          <w:sz w:val="24"/>
          <w:szCs w:val="24"/>
        </w:rPr>
        <w:t>ASSESSMENT OF INFORMATION LITERACY SKILLS OF UNDERGRADUATE MEDICAL STUDENTS IN TWO SELECTED PUBLIC UNIVERSITIES IN KENYA</w:t>
      </w:r>
    </w:p>
    <w:p w14:paraId="2126FB10" w14:textId="77777777" w:rsidR="00B01D46" w:rsidRDefault="00B01D46">
      <w:pPr>
        <w:pStyle w:val="NormalWeb"/>
        <w:shd w:val="clear" w:color="auto" w:fill="FFFFFF"/>
        <w:spacing w:before="120" w:beforeAutospacing="0" w:after="0" w:afterAutospacing="0" w:line="480" w:lineRule="auto"/>
        <w:ind w:right="-288"/>
        <w:jc w:val="center"/>
        <w:rPr>
          <w:b/>
          <w:bCs/>
        </w:rPr>
      </w:pPr>
    </w:p>
    <w:p w14:paraId="6F7A5D7E" w14:textId="77777777" w:rsidR="00B01D46" w:rsidRDefault="0067013E">
      <w:pPr>
        <w:pStyle w:val="NormalWeb"/>
        <w:shd w:val="clear" w:color="auto" w:fill="FFFFFF"/>
        <w:spacing w:before="120" w:beforeAutospacing="0" w:after="0" w:afterAutospacing="0" w:line="480" w:lineRule="auto"/>
        <w:ind w:right="-288"/>
        <w:jc w:val="center"/>
        <w:rPr>
          <w:b/>
          <w:bCs/>
        </w:rPr>
      </w:pPr>
      <w:r>
        <w:rPr>
          <w:b/>
          <w:bCs/>
        </w:rPr>
        <w:tab/>
      </w:r>
    </w:p>
    <w:p w14:paraId="44618BF5" w14:textId="77777777" w:rsidR="00B01D46" w:rsidRDefault="00B01D46">
      <w:pPr>
        <w:pStyle w:val="NormalWeb"/>
        <w:shd w:val="clear" w:color="auto" w:fill="FFFFFF"/>
        <w:spacing w:before="120" w:beforeAutospacing="0" w:after="0" w:afterAutospacing="0" w:line="480" w:lineRule="auto"/>
        <w:ind w:right="-288"/>
        <w:jc w:val="center"/>
        <w:rPr>
          <w:b/>
          <w:bCs/>
        </w:rPr>
      </w:pPr>
    </w:p>
    <w:p w14:paraId="6D43001B" w14:textId="77777777" w:rsidR="00B01D46" w:rsidRDefault="0067013E">
      <w:pPr>
        <w:pStyle w:val="NormalWeb"/>
        <w:shd w:val="clear" w:color="auto" w:fill="FFFFFF"/>
        <w:spacing w:before="120" w:beforeAutospacing="0" w:after="0" w:afterAutospacing="0" w:line="480" w:lineRule="auto"/>
        <w:ind w:right="-288"/>
        <w:jc w:val="center"/>
        <w:rPr>
          <w:b/>
          <w:bCs/>
        </w:rPr>
      </w:pPr>
      <w:r>
        <w:rPr>
          <w:b/>
          <w:bCs/>
        </w:rPr>
        <w:t>BY</w:t>
      </w:r>
    </w:p>
    <w:p w14:paraId="3E67FE4D" w14:textId="77777777" w:rsidR="00B01D46" w:rsidRDefault="0067013E">
      <w:pPr>
        <w:pStyle w:val="NormalWeb"/>
        <w:shd w:val="clear" w:color="auto" w:fill="FFFFFF"/>
        <w:spacing w:before="120" w:beforeAutospacing="0" w:after="0" w:afterAutospacing="0" w:line="480" w:lineRule="auto"/>
        <w:ind w:right="-288"/>
        <w:jc w:val="center"/>
        <w:rPr>
          <w:b/>
          <w:bCs/>
        </w:rPr>
      </w:pPr>
      <w:r>
        <w:rPr>
          <w:b/>
          <w:bCs/>
        </w:rPr>
        <w:t>EVANS MOTARI MOMANYI</w:t>
      </w:r>
    </w:p>
    <w:p w14:paraId="3693986E" w14:textId="77777777" w:rsidR="00B01D46" w:rsidRDefault="00B01D46">
      <w:pPr>
        <w:pStyle w:val="NormalWeb"/>
        <w:shd w:val="clear" w:color="auto" w:fill="FFFFFF"/>
        <w:spacing w:before="120" w:beforeAutospacing="0" w:after="0" w:afterAutospacing="0" w:line="480" w:lineRule="auto"/>
        <w:ind w:right="-288"/>
        <w:jc w:val="center"/>
        <w:rPr>
          <w:b/>
          <w:bCs/>
        </w:rPr>
      </w:pPr>
    </w:p>
    <w:p w14:paraId="574B803D" w14:textId="77777777" w:rsidR="00B01D46" w:rsidRDefault="00B01D46">
      <w:pPr>
        <w:pStyle w:val="NormalWeb"/>
        <w:shd w:val="clear" w:color="auto" w:fill="FFFFFF"/>
        <w:spacing w:before="120" w:beforeAutospacing="0" w:after="0" w:afterAutospacing="0" w:line="480" w:lineRule="auto"/>
        <w:ind w:right="-288"/>
        <w:jc w:val="center"/>
        <w:rPr>
          <w:b/>
          <w:bCs/>
        </w:rPr>
      </w:pPr>
    </w:p>
    <w:p w14:paraId="06837A8E" w14:textId="77777777" w:rsidR="00B01D46" w:rsidRDefault="0067013E">
      <w:pPr>
        <w:pStyle w:val="NormalWeb"/>
        <w:shd w:val="clear" w:color="auto" w:fill="FFFFFF"/>
        <w:spacing w:before="120" w:beforeAutospacing="0" w:after="0" w:afterAutospacing="0" w:line="360" w:lineRule="auto"/>
        <w:ind w:right="-288"/>
        <w:jc w:val="center"/>
        <w:rPr>
          <w:b/>
          <w:bCs/>
        </w:rPr>
      </w:pPr>
      <w:r>
        <w:rPr>
          <w:b/>
          <w:bCs/>
        </w:rPr>
        <w:t>A THESIS SUBMITTED IN PARTIAL FULFILLMENT OF THE REQUIREMENTS FOR THE AWARD OF THE DEGREE OF DOCTOR OF PHILOSOPHY IN LIBRARY AND INFORMATION STUDIES, DEPARTMENT OF LIBRARY, RECORDS MANAGEMENT AND INFORMATION STUDIES, SCHOOL OF INFORMATION SCIENCES,</w:t>
      </w:r>
    </w:p>
    <w:p w14:paraId="7D015D9E" w14:textId="77777777" w:rsidR="00B01D46" w:rsidRDefault="00B01D46">
      <w:pPr>
        <w:pStyle w:val="NormalWeb"/>
        <w:shd w:val="clear" w:color="auto" w:fill="FFFFFF"/>
        <w:spacing w:before="120" w:beforeAutospacing="0" w:after="0" w:afterAutospacing="0" w:line="480" w:lineRule="auto"/>
        <w:ind w:right="-288"/>
        <w:jc w:val="center"/>
        <w:rPr>
          <w:b/>
          <w:bCs/>
        </w:rPr>
      </w:pPr>
    </w:p>
    <w:p w14:paraId="387173E7" w14:textId="77777777" w:rsidR="00B01D46" w:rsidRDefault="0067013E">
      <w:pPr>
        <w:pStyle w:val="NormalWeb"/>
        <w:shd w:val="clear" w:color="auto" w:fill="FFFFFF"/>
        <w:spacing w:before="120" w:beforeAutospacing="0" w:after="0" w:afterAutospacing="0"/>
        <w:ind w:right="-288"/>
        <w:jc w:val="center"/>
        <w:rPr>
          <w:b/>
          <w:bCs/>
        </w:rPr>
      </w:pPr>
      <w:r>
        <w:rPr>
          <w:b/>
          <w:bCs/>
        </w:rPr>
        <w:t>MOI UNIVERSITY</w:t>
      </w:r>
    </w:p>
    <w:p w14:paraId="73784858" w14:textId="77777777" w:rsidR="00B01D46" w:rsidRDefault="00B01D46">
      <w:pPr>
        <w:pStyle w:val="NormalWeb"/>
        <w:shd w:val="clear" w:color="auto" w:fill="FFFFFF"/>
        <w:spacing w:before="120" w:beforeAutospacing="0" w:after="0" w:afterAutospacing="0" w:line="480" w:lineRule="auto"/>
        <w:ind w:right="-288"/>
        <w:jc w:val="center"/>
        <w:rPr>
          <w:b/>
          <w:bCs/>
        </w:rPr>
      </w:pPr>
    </w:p>
    <w:p w14:paraId="687C5998" w14:textId="77777777" w:rsidR="00B01D46" w:rsidRDefault="00B01D46">
      <w:pPr>
        <w:pStyle w:val="NormalWeb"/>
        <w:shd w:val="clear" w:color="auto" w:fill="FFFFFF"/>
        <w:spacing w:before="120" w:beforeAutospacing="0" w:after="0" w:afterAutospacing="0" w:line="480" w:lineRule="auto"/>
        <w:ind w:right="-288"/>
        <w:jc w:val="center"/>
        <w:rPr>
          <w:b/>
          <w:bCs/>
        </w:rPr>
      </w:pPr>
    </w:p>
    <w:p w14:paraId="0585FF5A" w14:textId="77777777" w:rsidR="00B01D46" w:rsidRDefault="00B01D46">
      <w:pPr>
        <w:pStyle w:val="NormalWeb"/>
        <w:shd w:val="clear" w:color="auto" w:fill="FFFFFF"/>
        <w:spacing w:before="120" w:beforeAutospacing="0" w:after="0" w:afterAutospacing="0" w:line="480" w:lineRule="auto"/>
        <w:ind w:right="-288"/>
        <w:jc w:val="center"/>
        <w:rPr>
          <w:b/>
          <w:bCs/>
        </w:rPr>
      </w:pPr>
    </w:p>
    <w:p w14:paraId="00A1DF17" w14:textId="77777777" w:rsidR="00B01D46" w:rsidRDefault="0067013E">
      <w:pPr>
        <w:jc w:val="center"/>
        <w:rPr>
          <w:rFonts w:ascii="Times New Roman" w:hAnsi="Times New Roman" w:cs="Times New Roman"/>
          <w:b/>
          <w:bCs/>
          <w:sz w:val="24"/>
          <w:szCs w:val="24"/>
        </w:rPr>
      </w:pPr>
      <w:r>
        <w:rPr>
          <w:rFonts w:ascii="Times New Roman" w:hAnsi="Times New Roman" w:cs="Times New Roman"/>
          <w:b/>
          <w:bCs/>
          <w:sz w:val="24"/>
          <w:szCs w:val="24"/>
        </w:rPr>
        <w:t>2024</w:t>
      </w:r>
    </w:p>
    <w:p w14:paraId="5CF81C18" w14:textId="77777777" w:rsidR="00B01D46" w:rsidRDefault="0067013E">
      <w:pPr>
        <w:spacing w:after="200" w:line="276" w:lineRule="auto"/>
        <w:rPr>
          <w:rFonts w:ascii="Times New Roman" w:eastAsiaTheme="majorEastAsia" w:hAnsi="Times New Roman" w:cs="Times New Roman"/>
          <w:b/>
          <w:sz w:val="24"/>
          <w:szCs w:val="24"/>
        </w:rPr>
      </w:pPr>
      <w:bookmarkStart w:id="0" w:name="_Toc164663947"/>
      <w:r>
        <w:rPr>
          <w:rFonts w:ascii="Times New Roman" w:hAnsi="Times New Roman" w:cs="Times New Roman"/>
          <w:sz w:val="24"/>
          <w:szCs w:val="24"/>
        </w:rPr>
        <w:br w:type="page"/>
      </w:r>
    </w:p>
    <w:p w14:paraId="355A9B0A" w14:textId="77777777" w:rsidR="00B01D46" w:rsidRDefault="0067013E">
      <w:pPr>
        <w:pStyle w:val="Heading1"/>
      </w:pPr>
      <w:bookmarkStart w:id="1" w:name="_Toc184272821"/>
      <w:bookmarkStart w:id="2" w:name="_Toc165367563"/>
      <w:bookmarkStart w:id="3" w:name="_Toc165365092"/>
      <w:bookmarkStart w:id="4" w:name="_Toc165897945"/>
      <w:bookmarkStart w:id="5" w:name="_Toc165368289"/>
      <w:bookmarkStart w:id="6" w:name="_Toc165369105"/>
      <w:bookmarkStart w:id="7" w:name="_Toc165975710"/>
      <w:bookmarkStart w:id="8" w:name="_Toc165972989"/>
      <w:bookmarkStart w:id="9" w:name="_Toc165364825"/>
      <w:bookmarkStart w:id="10" w:name="_Hlk184733899"/>
      <w:bookmarkEnd w:id="0"/>
      <w:r>
        <w:lastRenderedPageBreak/>
        <w:t>DECLARATION</w:t>
      </w:r>
      <w:bookmarkEnd w:id="1"/>
      <w:bookmarkEnd w:id="2"/>
      <w:bookmarkEnd w:id="3"/>
      <w:bookmarkEnd w:id="4"/>
      <w:bookmarkEnd w:id="5"/>
      <w:bookmarkEnd w:id="6"/>
      <w:bookmarkEnd w:id="7"/>
      <w:bookmarkEnd w:id="8"/>
      <w:bookmarkEnd w:id="9"/>
    </w:p>
    <w:p w14:paraId="6FFA9729" w14:textId="77777777" w:rsidR="00B01D46" w:rsidRDefault="0067013E">
      <w:pPr>
        <w:autoSpaceDE w:val="0"/>
        <w:autoSpaceDN w:val="0"/>
        <w:adjustRightInd w:val="0"/>
        <w:spacing w:before="120" w:after="0" w:line="240" w:lineRule="auto"/>
        <w:ind w:right="-288"/>
        <w:jc w:val="both"/>
        <w:rPr>
          <w:rFonts w:ascii="Times New Roman" w:hAnsi="Times New Roman" w:cs="Times New Roman"/>
          <w:b/>
          <w:sz w:val="24"/>
          <w:szCs w:val="24"/>
        </w:rPr>
      </w:pPr>
      <w:r>
        <w:rPr>
          <w:rFonts w:ascii="Times New Roman" w:hAnsi="Times New Roman" w:cs="Times New Roman"/>
          <w:b/>
          <w:sz w:val="24"/>
          <w:szCs w:val="24"/>
        </w:rPr>
        <w:t>Declaration by the Candidate:</w:t>
      </w:r>
    </w:p>
    <w:p w14:paraId="7B85F980" w14:textId="77777777" w:rsidR="00B01D46" w:rsidRDefault="0067013E">
      <w:pPr>
        <w:autoSpaceDE w:val="0"/>
        <w:autoSpaceDN w:val="0"/>
        <w:adjustRightInd w:val="0"/>
        <w:spacing w:before="120" w:after="0" w:line="480" w:lineRule="auto"/>
        <w:ind w:right="-288"/>
        <w:jc w:val="both"/>
        <w:rPr>
          <w:rFonts w:ascii="Times New Roman" w:hAnsi="Times New Roman" w:cs="Times New Roman"/>
          <w:sz w:val="24"/>
          <w:szCs w:val="24"/>
        </w:rPr>
      </w:pPr>
      <w:r>
        <w:rPr>
          <w:rFonts w:ascii="Times New Roman" w:hAnsi="Times New Roman" w:cs="Times New Roman"/>
          <w:sz w:val="24"/>
          <w:szCs w:val="24"/>
        </w:rPr>
        <w:t>I hereby declare that this thesis is my original work and has not been presented for any examination in any other university. No part of this work should be reproduced without permission from the author or that of Moi University.</w:t>
      </w:r>
    </w:p>
    <w:p w14:paraId="5DC19C35" w14:textId="77777777" w:rsidR="00B01D46" w:rsidRDefault="0067013E">
      <w:pPr>
        <w:autoSpaceDE w:val="0"/>
        <w:autoSpaceDN w:val="0"/>
        <w:adjustRightInd w:val="0"/>
        <w:spacing w:before="120" w:after="0" w:line="240" w:lineRule="auto"/>
        <w:ind w:right="-288"/>
        <w:rPr>
          <w:rFonts w:ascii="Times New Roman" w:hAnsi="Times New Roman" w:cs="Times New Roman"/>
          <w:b/>
          <w:sz w:val="24"/>
          <w:szCs w:val="24"/>
        </w:rPr>
      </w:pPr>
      <w:r>
        <w:rPr>
          <w:rFonts w:ascii="Times New Roman" w:hAnsi="Times New Roman" w:cs="Times New Roman"/>
          <w:b/>
          <w:sz w:val="24"/>
          <w:szCs w:val="24"/>
        </w:rPr>
        <w:t>Signature:</w:t>
      </w:r>
      <w:r>
        <w:rPr>
          <w:rFonts w:ascii="Times New Roman" w:hAnsi="Times New Roman" w:cs="Times New Roman"/>
          <w:b/>
          <w:sz w:val="24"/>
          <w:szCs w:val="24"/>
        </w:rPr>
        <w:tab/>
      </w:r>
      <w:r>
        <w:rPr>
          <w:rFonts w:ascii="Times New Roman" w:hAnsi="Times New Roman" w:cs="Times New Roman"/>
          <w:b/>
          <w:bCs/>
          <w:noProof/>
          <w:sz w:val="24"/>
          <w:szCs w:val="24"/>
        </w:rPr>
        <w:drawing>
          <wp:inline distT="0" distB="0" distL="0" distR="0" wp14:anchorId="6C1AA6C7" wp14:editId="557D22AB">
            <wp:extent cx="1047750" cy="352425"/>
            <wp:effectExtent l="0" t="0" r="0" b="9525"/>
            <wp:docPr id="202" name="Pictu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9" cstate="print"/>
                    <a:stretch>
                      <a:fillRect/>
                    </a:stretch>
                  </pic:blipFill>
                  <pic:spPr>
                    <a:xfrm>
                      <a:off x="0" y="0"/>
                      <a:ext cx="1076207" cy="361997"/>
                    </a:xfrm>
                    <a:prstGeom prst="rect">
                      <a:avLst/>
                    </a:prstGeom>
                  </pic:spPr>
                </pic:pic>
              </a:graphicData>
            </a:graphic>
          </wp:inline>
        </w:drawing>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Date: 20</w:t>
      </w:r>
      <w:r>
        <w:rPr>
          <w:rFonts w:ascii="Times New Roman" w:hAnsi="Times New Roman" w:cs="Times New Roman"/>
          <w:b/>
          <w:sz w:val="24"/>
          <w:szCs w:val="24"/>
          <w:vertAlign w:val="superscript"/>
        </w:rPr>
        <w:t>th</w:t>
      </w:r>
      <w:r>
        <w:rPr>
          <w:rFonts w:ascii="Times New Roman" w:hAnsi="Times New Roman" w:cs="Times New Roman"/>
          <w:b/>
          <w:sz w:val="24"/>
          <w:szCs w:val="24"/>
        </w:rPr>
        <w:t xml:space="preserve"> May, 20024</w:t>
      </w:r>
    </w:p>
    <w:p w14:paraId="67928F11" w14:textId="77777777" w:rsidR="00B01D46" w:rsidRDefault="0067013E">
      <w:pPr>
        <w:autoSpaceDE w:val="0"/>
        <w:autoSpaceDN w:val="0"/>
        <w:adjustRightInd w:val="0"/>
        <w:spacing w:before="120" w:after="0" w:line="240" w:lineRule="auto"/>
        <w:ind w:right="-288"/>
        <w:rPr>
          <w:rFonts w:ascii="Times New Roman" w:hAnsi="Times New Roman" w:cs="Times New Roman"/>
          <w:b/>
          <w:bCs/>
          <w:sz w:val="24"/>
          <w:szCs w:val="24"/>
        </w:rPr>
      </w:pPr>
      <w:bookmarkStart w:id="11" w:name="_GoBack"/>
      <w:r>
        <w:rPr>
          <w:rFonts w:ascii="Times New Roman" w:hAnsi="Times New Roman" w:cs="Times New Roman"/>
          <w:b/>
          <w:bCs/>
          <w:sz w:val="24"/>
          <w:szCs w:val="24"/>
        </w:rPr>
        <w:t>Evans Motari Momanyi</w:t>
      </w:r>
    </w:p>
    <w:bookmarkEnd w:id="11"/>
    <w:p w14:paraId="7C877C01" w14:textId="77777777" w:rsidR="00B01D46" w:rsidRDefault="0067013E">
      <w:pPr>
        <w:autoSpaceDE w:val="0"/>
        <w:autoSpaceDN w:val="0"/>
        <w:adjustRightInd w:val="0"/>
        <w:spacing w:before="120" w:after="0" w:line="240" w:lineRule="auto"/>
        <w:ind w:right="-288"/>
        <w:rPr>
          <w:rFonts w:ascii="Times New Roman" w:hAnsi="Times New Roman" w:cs="Times New Roman"/>
          <w:b/>
          <w:bCs/>
          <w:sz w:val="24"/>
          <w:szCs w:val="24"/>
        </w:rPr>
      </w:pPr>
      <w:r>
        <w:rPr>
          <w:rFonts w:ascii="Times New Roman" w:hAnsi="Times New Roman" w:cs="Times New Roman"/>
          <w:b/>
          <w:bCs/>
          <w:sz w:val="24"/>
          <w:szCs w:val="24"/>
        </w:rPr>
        <w:t>IS/DPHIL/002/013</w:t>
      </w:r>
    </w:p>
    <w:p w14:paraId="74AD23BA" w14:textId="77777777" w:rsidR="00B01D46" w:rsidRDefault="00B01D46">
      <w:pPr>
        <w:autoSpaceDE w:val="0"/>
        <w:autoSpaceDN w:val="0"/>
        <w:adjustRightInd w:val="0"/>
        <w:spacing w:before="120" w:after="0" w:line="240" w:lineRule="auto"/>
        <w:ind w:right="-288"/>
        <w:rPr>
          <w:rFonts w:ascii="Times New Roman" w:hAnsi="Times New Roman" w:cs="Times New Roman"/>
          <w:b/>
          <w:bCs/>
          <w:sz w:val="24"/>
          <w:szCs w:val="24"/>
        </w:rPr>
      </w:pPr>
    </w:p>
    <w:p w14:paraId="31409008" w14:textId="77777777" w:rsidR="00B01D46" w:rsidRDefault="00B01D46">
      <w:pPr>
        <w:spacing w:before="120" w:after="0" w:line="240" w:lineRule="auto"/>
        <w:ind w:right="-288"/>
        <w:rPr>
          <w:rFonts w:ascii="Times New Roman" w:hAnsi="Times New Roman" w:cs="Times New Roman"/>
          <w:sz w:val="24"/>
          <w:szCs w:val="24"/>
        </w:rPr>
      </w:pPr>
    </w:p>
    <w:p w14:paraId="14E24752" w14:textId="77777777" w:rsidR="00B01D46" w:rsidRDefault="0067013E">
      <w:pPr>
        <w:autoSpaceDE w:val="0"/>
        <w:autoSpaceDN w:val="0"/>
        <w:adjustRightInd w:val="0"/>
        <w:spacing w:after="0" w:line="480" w:lineRule="auto"/>
        <w:ind w:right="-288"/>
        <w:rPr>
          <w:rFonts w:ascii="Times New Roman" w:hAnsi="Times New Roman" w:cs="Times New Roman"/>
          <w:b/>
          <w:sz w:val="24"/>
          <w:szCs w:val="24"/>
        </w:rPr>
      </w:pPr>
      <w:r>
        <w:rPr>
          <w:rFonts w:ascii="Times New Roman" w:hAnsi="Times New Roman" w:cs="Times New Roman"/>
          <w:b/>
          <w:sz w:val="24"/>
          <w:szCs w:val="24"/>
        </w:rPr>
        <w:t>Declaration by the Supervisor:</w:t>
      </w:r>
    </w:p>
    <w:p w14:paraId="47D6C20C" w14:textId="77777777" w:rsidR="00B01D46" w:rsidRDefault="0067013E">
      <w:pPr>
        <w:autoSpaceDE w:val="0"/>
        <w:autoSpaceDN w:val="0"/>
        <w:adjustRightInd w:val="0"/>
        <w:spacing w:after="0" w:line="480" w:lineRule="auto"/>
        <w:ind w:right="-288"/>
        <w:rPr>
          <w:rFonts w:ascii="Times New Roman" w:hAnsi="Times New Roman" w:cs="Times New Roman"/>
          <w:b/>
          <w:sz w:val="24"/>
          <w:szCs w:val="24"/>
        </w:rPr>
      </w:pPr>
      <w:r>
        <w:rPr>
          <w:rFonts w:ascii="Times New Roman" w:hAnsi="Times New Roman" w:cs="Times New Roman"/>
          <w:b/>
          <w:sz w:val="24"/>
          <w:szCs w:val="24"/>
        </w:rPr>
        <w:t>T</w:t>
      </w:r>
      <w:r>
        <w:rPr>
          <w:rFonts w:ascii="Times New Roman" w:hAnsi="Times New Roman" w:cs="Times New Roman"/>
          <w:sz w:val="24"/>
          <w:szCs w:val="24"/>
        </w:rPr>
        <w:t>his thesis has been submitted for examination with our approval as University Supervisors</w:t>
      </w:r>
      <w:r>
        <w:rPr>
          <w:rFonts w:ascii="Times New Roman" w:hAnsi="Times New Roman" w:cs="Times New Roman"/>
          <w:b/>
          <w:sz w:val="24"/>
          <w:szCs w:val="24"/>
        </w:rPr>
        <w:t>.</w:t>
      </w:r>
    </w:p>
    <w:p w14:paraId="14DF151D" w14:textId="77777777" w:rsidR="00B01D46" w:rsidRDefault="0067013E">
      <w:pPr>
        <w:pStyle w:val="NormalWeb"/>
        <w:shd w:val="clear" w:color="auto" w:fill="FFFFFF"/>
        <w:spacing w:before="0" w:beforeAutospacing="0" w:after="0" w:afterAutospacing="0" w:line="480" w:lineRule="auto"/>
        <w:ind w:right="-288"/>
        <w:rPr>
          <w:b/>
        </w:rPr>
      </w:pPr>
      <w:r>
        <w:rPr>
          <w:b/>
        </w:rPr>
        <w:t>Signature:</w:t>
      </w:r>
      <w:r>
        <w:rPr>
          <w:b/>
        </w:rPr>
        <w:tab/>
      </w:r>
      <w:r>
        <w:rPr>
          <w:b/>
          <w:bCs/>
          <w:noProof/>
        </w:rPr>
        <w:drawing>
          <wp:inline distT="0" distB="0" distL="0" distR="0" wp14:anchorId="3CA7D60F" wp14:editId="0DCBD26C">
            <wp:extent cx="1152525" cy="314325"/>
            <wp:effectExtent l="0" t="0" r="9525" b="9525"/>
            <wp:docPr id="204" name="Picture 204"/>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10" cstate="print"/>
                    <a:stretch>
                      <a:fillRect/>
                    </a:stretch>
                  </pic:blipFill>
                  <pic:spPr>
                    <a:xfrm>
                      <a:off x="0" y="0"/>
                      <a:ext cx="1149142" cy="313402"/>
                    </a:xfrm>
                    <a:prstGeom prst="rect">
                      <a:avLst/>
                    </a:prstGeom>
                  </pic:spPr>
                </pic:pic>
              </a:graphicData>
            </a:graphic>
          </wp:inline>
        </w:drawing>
      </w:r>
      <w:r>
        <w:rPr>
          <w:b/>
        </w:rPr>
        <w:tab/>
      </w:r>
      <w:r>
        <w:rPr>
          <w:b/>
        </w:rPr>
        <w:tab/>
      </w:r>
      <w:r>
        <w:rPr>
          <w:b/>
        </w:rPr>
        <w:tab/>
        <w:t xml:space="preserve"> Date: 20</w:t>
      </w:r>
      <w:r>
        <w:rPr>
          <w:b/>
          <w:vertAlign w:val="superscript"/>
        </w:rPr>
        <w:t>th</w:t>
      </w:r>
      <w:r>
        <w:rPr>
          <w:b/>
        </w:rPr>
        <w:t xml:space="preserve"> May, 20024</w:t>
      </w:r>
    </w:p>
    <w:p w14:paraId="4D39A957" w14:textId="77777777" w:rsidR="00B01D46" w:rsidRDefault="0067013E">
      <w:pPr>
        <w:autoSpaceDE w:val="0"/>
        <w:autoSpaceDN w:val="0"/>
        <w:adjustRightInd w:val="0"/>
        <w:spacing w:after="0" w:line="480" w:lineRule="auto"/>
        <w:ind w:right="-288"/>
        <w:rPr>
          <w:rFonts w:ascii="Times New Roman" w:hAnsi="Times New Roman" w:cs="Times New Roman"/>
          <w:b/>
          <w:sz w:val="24"/>
          <w:szCs w:val="24"/>
        </w:rPr>
      </w:pPr>
      <w:r>
        <w:rPr>
          <w:rFonts w:ascii="Times New Roman" w:hAnsi="Times New Roman" w:cs="Times New Roman"/>
          <w:b/>
          <w:sz w:val="24"/>
          <w:szCs w:val="24"/>
        </w:rPr>
        <w:t>Prof Joseph Kiplang’at,</w:t>
      </w:r>
    </w:p>
    <w:p w14:paraId="38224419" w14:textId="77777777" w:rsidR="00B01D46" w:rsidRDefault="0067013E">
      <w:pPr>
        <w:autoSpaceDE w:val="0"/>
        <w:autoSpaceDN w:val="0"/>
        <w:adjustRightInd w:val="0"/>
        <w:spacing w:after="0" w:line="480" w:lineRule="auto"/>
        <w:ind w:right="-288"/>
        <w:rPr>
          <w:rFonts w:ascii="Times New Roman" w:hAnsi="Times New Roman" w:cs="Times New Roman"/>
          <w:bCs/>
          <w:sz w:val="24"/>
          <w:szCs w:val="24"/>
        </w:rPr>
      </w:pPr>
      <w:r>
        <w:rPr>
          <w:rFonts w:ascii="Times New Roman" w:hAnsi="Times New Roman" w:cs="Times New Roman"/>
          <w:bCs/>
          <w:sz w:val="24"/>
          <w:szCs w:val="24"/>
        </w:rPr>
        <w:t>Department of Library, Records Management, and Information Studies,</w:t>
      </w:r>
    </w:p>
    <w:p w14:paraId="159B5697" w14:textId="77777777" w:rsidR="00B01D46" w:rsidRDefault="0067013E">
      <w:pPr>
        <w:autoSpaceDE w:val="0"/>
        <w:autoSpaceDN w:val="0"/>
        <w:adjustRightInd w:val="0"/>
        <w:spacing w:after="0" w:line="480" w:lineRule="auto"/>
        <w:ind w:right="-288"/>
        <w:rPr>
          <w:rFonts w:ascii="Times New Roman" w:hAnsi="Times New Roman" w:cs="Times New Roman"/>
          <w:bCs/>
          <w:sz w:val="24"/>
          <w:szCs w:val="24"/>
        </w:rPr>
      </w:pPr>
      <w:r>
        <w:rPr>
          <w:rFonts w:ascii="Times New Roman" w:hAnsi="Times New Roman" w:cs="Times New Roman"/>
          <w:bCs/>
          <w:sz w:val="24"/>
          <w:szCs w:val="24"/>
        </w:rPr>
        <w:t>School of Information Sciences,</w:t>
      </w:r>
    </w:p>
    <w:p w14:paraId="03559ABA" w14:textId="77777777" w:rsidR="00B01D46" w:rsidRDefault="0067013E">
      <w:pPr>
        <w:autoSpaceDE w:val="0"/>
        <w:autoSpaceDN w:val="0"/>
        <w:adjustRightInd w:val="0"/>
        <w:spacing w:after="0" w:line="480" w:lineRule="auto"/>
        <w:ind w:right="-288"/>
        <w:rPr>
          <w:rFonts w:ascii="Times New Roman" w:hAnsi="Times New Roman" w:cs="Times New Roman"/>
          <w:bCs/>
          <w:sz w:val="24"/>
          <w:szCs w:val="24"/>
        </w:rPr>
      </w:pPr>
      <w:r>
        <w:rPr>
          <w:rFonts w:ascii="Times New Roman" w:hAnsi="Times New Roman" w:cs="Times New Roman"/>
          <w:bCs/>
          <w:sz w:val="24"/>
          <w:szCs w:val="24"/>
        </w:rPr>
        <w:t>Moi University</w:t>
      </w:r>
    </w:p>
    <w:p w14:paraId="061D8A12" w14:textId="77777777" w:rsidR="00B01D46" w:rsidRDefault="00B01D46">
      <w:pPr>
        <w:autoSpaceDE w:val="0"/>
        <w:autoSpaceDN w:val="0"/>
        <w:adjustRightInd w:val="0"/>
        <w:spacing w:after="0" w:line="480" w:lineRule="auto"/>
        <w:ind w:right="-288"/>
        <w:rPr>
          <w:rFonts w:ascii="Times New Roman" w:hAnsi="Times New Roman" w:cs="Times New Roman"/>
          <w:b/>
          <w:bCs/>
          <w:sz w:val="24"/>
          <w:szCs w:val="24"/>
        </w:rPr>
      </w:pPr>
    </w:p>
    <w:p w14:paraId="3646865E" w14:textId="77777777" w:rsidR="00B01D46" w:rsidRDefault="0067013E">
      <w:pPr>
        <w:pStyle w:val="NormalWeb"/>
        <w:shd w:val="clear" w:color="auto" w:fill="FFFFFF"/>
        <w:spacing w:before="0" w:beforeAutospacing="0" w:after="0" w:afterAutospacing="0" w:line="480" w:lineRule="auto"/>
        <w:ind w:right="-288"/>
        <w:rPr>
          <w:b/>
        </w:rPr>
      </w:pPr>
      <w:r>
        <w:rPr>
          <w:b/>
        </w:rPr>
        <w:t>Signature:</w:t>
      </w:r>
      <w:r>
        <w:rPr>
          <w:b/>
        </w:rPr>
        <w:tab/>
      </w:r>
      <w:r>
        <w:rPr>
          <w:b/>
          <w:noProof/>
        </w:rPr>
        <w:drawing>
          <wp:inline distT="0" distB="0" distL="114300" distR="114300" wp14:anchorId="5F542BF6" wp14:editId="3B275515">
            <wp:extent cx="1495425" cy="352425"/>
            <wp:effectExtent l="0" t="0" r="0" b="9525"/>
            <wp:docPr id="8" name="Picture 8" descr="Dr.Emily Ng'eno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r.Emily Ng'eno SIGNATURE"/>
                    <pic:cNvPicPr>
                      <a:picLocks noChangeAspect="1"/>
                    </pic:cNvPicPr>
                  </pic:nvPicPr>
                  <pic:blipFill>
                    <a:blip r:embed="rId11" cstate="print"/>
                    <a:stretch>
                      <a:fillRect/>
                    </a:stretch>
                  </pic:blipFill>
                  <pic:spPr>
                    <a:xfrm>
                      <a:off x="0" y="0"/>
                      <a:ext cx="1489962" cy="351138"/>
                    </a:xfrm>
                    <a:prstGeom prst="rect">
                      <a:avLst/>
                    </a:prstGeom>
                  </pic:spPr>
                </pic:pic>
              </a:graphicData>
            </a:graphic>
          </wp:inline>
        </w:drawing>
      </w:r>
      <w:r>
        <w:rPr>
          <w:b/>
        </w:rPr>
        <w:tab/>
      </w:r>
      <w:r>
        <w:rPr>
          <w:b/>
        </w:rPr>
        <w:tab/>
        <w:t xml:space="preserve"> Date: 20</w:t>
      </w:r>
      <w:r>
        <w:rPr>
          <w:b/>
          <w:vertAlign w:val="superscript"/>
        </w:rPr>
        <w:t>th</w:t>
      </w:r>
      <w:r>
        <w:rPr>
          <w:b/>
        </w:rPr>
        <w:t xml:space="preserve"> May, 20024</w:t>
      </w:r>
    </w:p>
    <w:p w14:paraId="4A9D95F8" w14:textId="77777777" w:rsidR="00B01D46" w:rsidRDefault="0067013E">
      <w:pPr>
        <w:pStyle w:val="NormalWeb"/>
        <w:shd w:val="clear" w:color="auto" w:fill="FFFFFF"/>
        <w:spacing w:before="0" w:beforeAutospacing="0" w:after="0" w:afterAutospacing="0" w:line="480" w:lineRule="auto"/>
        <w:ind w:right="-288"/>
        <w:rPr>
          <w:b/>
          <w:bCs/>
        </w:rPr>
      </w:pPr>
      <w:r>
        <w:rPr>
          <w:b/>
          <w:bCs/>
        </w:rPr>
        <w:t>Dr. Emily Ngeno,</w:t>
      </w:r>
    </w:p>
    <w:p w14:paraId="1A8F326C" w14:textId="77777777" w:rsidR="00B01D46" w:rsidRDefault="0067013E">
      <w:pPr>
        <w:pStyle w:val="NormalWeb"/>
        <w:shd w:val="clear" w:color="auto" w:fill="FFFFFF"/>
        <w:spacing w:before="0" w:beforeAutospacing="0" w:after="0" w:afterAutospacing="0" w:line="480" w:lineRule="auto"/>
        <w:ind w:right="-288"/>
      </w:pPr>
      <w:r>
        <w:t>Department of Library, Records Management, and Information Studies,</w:t>
      </w:r>
    </w:p>
    <w:p w14:paraId="028E1F39" w14:textId="77777777" w:rsidR="00B01D46" w:rsidRDefault="0067013E">
      <w:pPr>
        <w:pStyle w:val="NormalWeb"/>
        <w:shd w:val="clear" w:color="auto" w:fill="FFFFFF"/>
        <w:spacing w:before="0" w:beforeAutospacing="0" w:after="0" w:afterAutospacing="0" w:line="480" w:lineRule="auto"/>
        <w:ind w:right="-288"/>
      </w:pPr>
      <w:r>
        <w:t>School of Information Sciences,</w:t>
      </w:r>
    </w:p>
    <w:p w14:paraId="215073D9" w14:textId="77777777" w:rsidR="00B01D46" w:rsidRDefault="0067013E">
      <w:pPr>
        <w:pStyle w:val="NormalWeb"/>
        <w:shd w:val="clear" w:color="auto" w:fill="FFFFFF"/>
        <w:spacing w:before="0" w:beforeAutospacing="0" w:after="0" w:afterAutospacing="0" w:line="480" w:lineRule="auto"/>
        <w:ind w:right="-288"/>
      </w:pPr>
      <w:r>
        <w:t>Moi University.</w:t>
      </w:r>
    </w:p>
    <w:p w14:paraId="267910C5" w14:textId="77777777" w:rsidR="00B01D46" w:rsidRDefault="00B01D46">
      <w:pPr>
        <w:pStyle w:val="NormalWeb"/>
        <w:shd w:val="clear" w:color="auto" w:fill="FFFFFF"/>
        <w:spacing w:before="0" w:beforeAutospacing="0" w:after="0" w:afterAutospacing="0" w:line="480" w:lineRule="auto"/>
        <w:ind w:right="-288"/>
      </w:pPr>
    </w:p>
    <w:p w14:paraId="0D85243F" w14:textId="77777777" w:rsidR="00B01D46" w:rsidRDefault="0067013E">
      <w:pPr>
        <w:pStyle w:val="Heading1"/>
        <w:rPr>
          <w:b w:val="0"/>
        </w:rPr>
      </w:pPr>
      <w:bookmarkStart w:id="12" w:name="_Toc164663948"/>
      <w:bookmarkStart w:id="13" w:name="_Hlk164244280"/>
      <w:r>
        <w:br w:type="page"/>
      </w:r>
      <w:bookmarkStart w:id="14" w:name="_Toc184272822"/>
      <w:bookmarkEnd w:id="10"/>
      <w:r>
        <w:lastRenderedPageBreak/>
        <w:t>ABSTRACT</w:t>
      </w:r>
      <w:bookmarkEnd w:id="14"/>
    </w:p>
    <w:p w14:paraId="47CC2DB9" w14:textId="77777777" w:rsidR="00B01D46" w:rsidRDefault="0067013E">
      <w:pPr>
        <w:pStyle w:val="NormalWeb"/>
        <w:spacing w:before="0" w:beforeAutospacing="0"/>
        <w:jc w:val="both"/>
      </w:pPr>
      <w:r>
        <w:t>With the growing size and complexity of library collections coupled with the explosion of medical information in diverse formats, medical students require competencies in identifying, locating, retrieving, evaluating, synthesizing, and effectively utilizing information. There is a need, therefore, for medical students to acquire information literacy skills (ILS) to master content, extend their investigations, and become more self-directed and life-long learners. This study aimed to assess the ILS of medical undergraduate students in two public universities in Kenya and to propose an ILS framework to enhance the adequacy of ILS among the medical undergraduates. The objectives of the study were to: assess the status of ILS among medical undergraduate students at Moi University and University of Nairobi; examine the ILS curricula and policies supporting delivery of ILS to medical undergraduate students; examine the ILS understanding of medical undergraduate students; analyze the knowledge and skills possessed by staff engaged in facilitating ILS; explore the role of ICT in facilitating and promoting ILS among medical undergraduate students; The study was informed by the Sauce Model and the Six Frames of Information Literacy Education Model. A pragmatic research paradigm with a Concurrent triangulation mixed-method approach was employed in the study. The study adopted a descriptive survey design applied within a multiple-case study, combining concurrent triangulation in data collection and analysis. The target population was 685 students, comprising 6th-year medicine, 5</w:t>
      </w:r>
      <w:r>
        <w:rPr>
          <w:vertAlign w:val="superscript"/>
        </w:rPr>
        <w:t>th</w:t>
      </w:r>
      <w:r>
        <w:t>-year dentistry, and 4</w:t>
      </w:r>
      <w:r>
        <w:rPr>
          <w:vertAlign w:val="superscript"/>
        </w:rPr>
        <w:t>th</w:t>
      </w:r>
      <w:r>
        <w:t>-year nursing students; 182 lecturers 2 university librarians; 2 heads of medical librarians; and 6 heads of departments. A combination of stratified random sampling was employed to obtain 353 medical undergraduate students and 62 lecturers in medicine, dentistry, and nursing specializations. While purposive sampling technique was used to select 2 university librarians, 2 heads of medical librarians, and 6 heads of departments. Data was collected using questionnaires and interview schedules. Quantitative data was analyzed using descriptive statistics and presented using frequency distribution tables and bar charts, while qualitative data was analyzed thematically based on the objectives and research questions and presented as a narrative. The findings revealed that the majority of the students, had limited ILS competencies and were unable to utilize and maximize various search techniques while others had challenges in using information ethically and lawfully. Although the ILS curriculum and policy were available, there was little implementation and accountability, indicating that the ILS curriculum and policy had not been reviewed to incorporate contemporary ILS. The students had a negative understanding on ILS, and they displayed a casual, disinterested attitude. The knowledge and skills possessed by staff were inadequate in line with contemporary ILS competencies and abilities. Students are yet to acquire the fourth ICT revolution skills that are essential for ILS learning. The study concluded that students had not acquired sufficient ILS competencies due to a combination of factors such as poor ILS understanding, low pedagogical expertise among ILS trainers, and the absence of sustainable ICT infrastructure to facilitate the acquisition and utilization of the fourth ICT revolution's competencies. The study recommends an 8-step ILS Framework to enhance the delivery of information literacy skills, ILS advocacy and improvement in pedagogy, and continuous reskilling and upskilling among staff engaged in information provision and ILS delivery.</w:t>
      </w:r>
    </w:p>
    <w:p w14:paraId="7F02EBD1" w14:textId="77777777" w:rsidR="00B01D46" w:rsidRDefault="0067013E">
      <w:pPr>
        <w:pStyle w:val="Heading1"/>
      </w:pPr>
      <w:bookmarkStart w:id="15" w:name="_Toc165975712"/>
      <w:bookmarkStart w:id="16" w:name="_Toc164663949"/>
      <w:bookmarkStart w:id="17" w:name="_Toc165369107"/>
      <w:bookmarkStart w:id="18" w:name="_Toc165368291"/>
      <w:bookmarkStart w:id="19" w:name="_Toc165367565"/>
      <w:bookmarkStart w:id="20" w:name="_Toc165364827"/>
      <w:bookmarkStart w:id="21" w:name="_Toc165972991"/>
      <w:bookmarkStart w:id="22" w:name="_Toc165365094"/>
      <w:bookmarkStart w:id="23" w:name="_Toc165897947"/>
      <w:bookmarkStart w:id="24" w:name="_Toc184272823"/>
      <w:bookmarkStart w:id="25" w:name="_Hlk182208714"/>
      <w:bookmarkEnd w:id="12"/>
      <w:bookmarkEnd w:id="13"/>
      <w:r>
        <w:lastRenderedPageBreak/>
        <w:t>DEDICATION</w:t>
      </w:r>
      <w:bookmarkEnd w:id="15"/>
      <w:bookmarkEnd w:id="16"/>
      <w:bookmarkEnd w:id="17"/>
      <w:bookmarkEnd w:id="18"/>
      <w:bookmarkEnd w:id="19"/>
      <w:bookmarkEnd w:id="20"/>
      <w:bookmarkEnd w:id="21"/>
      <w:bookmarkEnd w:id="22"/>
      <w:bookmarkEnd w:id="23"/>
      <w:bookmarkEnd w:id="24"/>
    </w:p>
    <w:p w14:paraId="2E1DBA6C" w14:textId="77777777" w:rsidR="00B01D46" w:rsidRDefault="0067013E">
      <w:pPr>
        <w:pStyle w:val="NormalWeb"/>
        <w:shd w:val="clear" w:color="auto" w:fill="FFFFFF"/>
        <w:spacing w:before="0" w:beforeAutospacing="0" w:after="0" w:afterAutospacing="0" w:line="480" w:lineRule="auto"/>
        <w:ind w:right="-288"/>
        <w:jc w:val="both"/>
      </w:pPr>
      <w:r>
        <w:t>This thesis is dedicated to my late father Mr. John Oseko Momanyi whose inspiration, prayers, and wisdom I deeply miss. My mum Wilter Maswari Kwamboka, may God bless you with life and strength to share in the fruits of this qualification, and, Charity, Tasha, Talia and Taji</w:t>
      </w:r>
    </w:p>
    <w:p w14:paraId="458580B3" w14:textId="77777777" w:rsidR="00B01D46" w:rsidRDefault="00B01D46">
      <w:pPr>
        <w:pStyle w:val="NormalWeb"/>
        <w:shd w:val="clear" w:color="auto" w:fill="FFFFFF"/>
        <w:spacing w:before="120" w:beforeAutospacing="0" w:after="0" w:afterAutospacing="0" w:line="480" w:lineRule="auto"/>
        <w:ind w:right="-288"/>
      </w:pPr>
    </w:p>
    <w:p w14:paraId="2DA72719" w14:textId="77777777" w:rsidR="00B01D46" w:rsidRDefault="00B01D46">
      <w:pPr>
        <w:pStyle w:val="NormalWeb"/>
        <w:shd w:val="clear" w:color="auto" w:fill="FFFFFF"/>
        <w:spacing w:before="120" w:beforeAutospacing="0" w:after="0" w:afterAutospacing="0" w:line="480" w:lineRule="auto"/>
        <w:ind w:right="-288"/>
      </w:pPr>
    </w:p>
    <w:p w14:paraId="0093BC48" w14:textId="77777777" w:rsidR="00B01D46" w:rsidRDefault="00B01D46">
      <w:pPr>
        <w:pStyle w:val="NormalWeb"/>
        <w:shd w:val="clear" w:color="auto" w:fill="FFFFFF"/>
        <w:spacing w:before="120" w:beforeAutospacing="0" w:after="0" w:afterAutospacing="0" w:line="480" w:lineRule="auto"/>
        <w:ind w:right="-288"/>
      </w:pPr>
    </w:p>
    <w:p w14:paraId="3EAAD399" w14:textId="77777777" w:rsidR="00B01D46" w:rsidRDefault="00B01D46">
      <w:pPr>
        <w:pStyle w:val="NormalWeb"/>
        <w:shd w:val="clear" w:color="auto" w:fill="FFFFFF"/>
        <w:spacing w:before="120" w:beforeAutospacing="0" w:after="0" w:afterAutospacing="0" w:line="480" w:lineRule="auto"/>
        <w:ind w:right="-288"/>
      </w:pPr>
    </w:p>
    <w:p w14:paraId="3A846C53" w14:textId="77777777" w:rsidR="00B01D46" w:rsidRDefault="00B01D46">
      <w:pPr>
        <w:pStyle w:val="NormalWeb"/>
        <w:shd w:val="clear" w:color="auto" w:fill="FFFFFF"/>
        <w:spacing w:before="120" w:beforeAutospacing="0" w:after="0" w:afterAutospacing="0" w:line="480" w:lineRule="auto"/>
        <w:ind w:right="-288"/>
      </w:pPr>
    </w:p>
    <w:p w14:paraId="053C85FF" w14:textId="77777777" w:rsidR="00B01D46" w:rsidRDefault="00B01D46">
      <w:pPr>
        <w:pStyle w:val="NormalWeb"/>
        <w:shd w:val="clear" w:color="auto" w:fill="FFFFFF"/>
        <w:spacing w:before="120" w:beforeAutospacing="0" w:after="0" w:afterAutospacing="0" w:line="480" w:lineRule="auto"/>
        <w:ind w:right="-288"/>
      </w:pPr>
    </w:p>
    <w:p w14:paraId="7DED32F1" w14:textId="77777777" w:rsidR="00B01D46" w:rsidRDefault="00B01D46">
      <w:pPr>
        <w:pStyle w:val="NormalWeb"/>
        <w:shd w:val="clear" w:color="auto" w:fill="FFFFFF"/>
        <w:spacing w:before="120" w:beforeAutospacing="0" w:after="0" w:afterAutospacing="0" w:line="480" w:lineRule="auto"/>
        <w:ind w:right="-288"/>
      </w:pPr>
    </w:p>
    <w:p w14:paraId="0FC8474F" w14:textId="77777777" w:rsidR="00B01D46" w:rsidRDefault="00B01D46">
      <w:pPr>
        <w:pStyle w:val="NormalWeb"/>
        <w:shd w:val="clear" w:color="auto" w:fill="FFFFFF"/>
        <w:spacing w:before="120" w:beforeAutospacing="0" w:after="0" w:afterAutospacing="0" w:line="480" w:lineRule="auto"/>
        <w:ind w:right="-288"/>
      </w:pPr>
    </w:p>
    <w:p w14:paraId="116449A4" w14:textId="77777777" w:rsidR="00B01D46" w:rsidRDefault="00B01D46">
      <w:pPr>
        <w:pStyle w:val="NormalWeb"/>
        <w:shd w:val="clear" w:color="auto" w:fill="FFFFFF"/>
        <w:spacing w:before="120" w:beforeAutospacing="0" w:after="0" w:afterAutospacing="0" w:line="480" w:lineRule="auto"/>
        <w:ind w:right="-288"/>
      </w:pPr>
    </w:p>
    <w:p w14:paraId="4F69C4EF" w14:textId="77777777" w:rsidR="00B01D46" w:rsidRDefault="00B01D46">
      <w:pPr>
        <w:pStyle w:val="NormalWeb"/>
        <w:shd w:val="clear" w:color="auto" w:fill="FFFFFF"/>
        <w:spacing w:before="120" w:beforeAutospacing="0" w:after="0" w:afterAutospacing="0" w:line="480" w:lineRule="auto"/>
        <w:ind w:right="-288"/>
      </w:pPr>
    </w:p>
    <w:p w14:paraId="27B4F30C" w14:textId="77777777" w:rsidR="00B01D46" w:rsidRDefault="00B01D46">
      <w:pPr>
        <w:pStyle w:val="NormalWeb"/>
        <w:shd w:val="clear" w:color="auto" w:fill="FFFFFF"/>
        <w:spacing w:before="120" w:beforeAutospacing="0" w:after="0" w:afterAutospacing="0" w:line="480" w:lineRule="auto"/>
        <w:ind w:right="-288"/>
      </w:pPr>
    </w:p>
    <w:p w14:paraId="63DCCE40" w14:textId="77777777" w:rsidR="00B01D46" w:rsidRDefault="00B01D46">
      <w:pPr>
        <w:pStyle w:val="NormalWeb"/>
        <w:shd w:val="clear" w:color="auto" w:fill="FFFFFF"/>
        <w:spacing w:before="120" w:beforeAutospacing="0" w:after="0" w:afterAutospacing="0" w:line="480" w:lineRule="auto"/>
        <w:ind w:right="-288"/>
      </w:pPr>
    </w:p>
    <w:p w14:paraId="28E1649D" w14:textId="77777777" w:rsidR="00B01D46" w:rsidRDefault="00B01D46">
      <w:pPr>
        <w:pStyle w:val="NormalWeb"/>
        <w:shd w:val="clear" w:color="auto" w:fill="FFFFFF"/>
        <w:spacing w:before="120" w:beforeAutospacing="0" w:after="0" w:afterAutospacing="0" w:line="480" w:lineRule="auto"/>
        <w:ind w:right="-288"/>
      </w:pPr>
    </w:p>
    <w:p w14:paraId="69DD9C12" w14:textId="77777777" w:rsidR="00B01D46" w:rsidRDefault="00B01D46">
      <w:pPr>
        <w:pStyle w:val="NormalWeb"/>
        <w:shd w:val="clear" w:color="auto" w:fill="FFFFFF"/>
        <w:spacing w:before="120" w:beforeAutospacing="0" w:after="0" w:afterAutospacing="0" w:line="480" w:lineRule="auto"/>
        <w:ind w:right="-288"/>
      </w:pPr>
    </w:p>
    <w:p w14:paraId="75B951DA" w14:textId="77777777" w:rsidR="00B01D46" w:rsidRDefault="00B01D46">
      <w:pPr>
        <w:pStyle w:val="NormalWeb"/>
        <w:shd w:val="clear" w:color="auto" w:fill="FFFFFF"/>
        <w:spacing w:before="120" w:beforeAutospacing="0" w:after="0" w:afterAutospacing="0" w:line="480" w:lineRule="auto"/>
        <w:ind w:right="-288"/>
      </w:pPr>
    </w:p>
    <w:p w14:paraId="618606F0" w14:textId="77777777" w:rsidR="00B01D46" w:rsidRDefault="0067013E">
      <w:pPr>
        <w:pStyle w:val="Heading1"/>
      </w:pPr>
      <w:bookmarkStart w:id="26" w:name="_Toc165972992"/>
      <w:bookmarkStart w:id="27" w:name="_Toc165368292"/>
      <w:bookmarkStart w:id="28" w:name="_Toc165897948"/>
      <w:bookmarkStart w:id="29" w:name="_Toc165369108"/>
      <w:bookmarkStart w:id="30" w:name="_Toc165365095"/>
      <w:bookmarkStart w:id="31" w:name="_Toc184272824"/>
      <w:bookmarkStart w:id="32" w:name="_Toc165367566"/>
      <w:bookmarkStart w:id="33" w:name="_Toc165364828"/>
      <w:bookmarkStart w:id="34" w:name="_Toc165975713"/>
      <w:bookmarkStart w:id="35" w:name="_Toc164663950"/>
      <w:bookmarkStart w:id="36" w:name="_Hlk184809292"/>
      <w:r>
        <w:lastRenderedPageBreak/>
        <w:t>ACKNOWLEDGMENT</w:t>
      </w:r>
      <w:bookmarkEnd w:id="26"/>
      <w:bookmarkEnd w:id="27"/>
      <w:bookmarkEnd w:id="28"/>
      <w:bookmarkEnd w:id="29"/>
      <w:bookmarkEnd w:id="30"/>
      <w:bookmarkEnd w:id="31"/>
      <w:bookmarkEnd w:id="32"/>
      <w:bookmarkEnd w:id="33"/>
      <w:bookmarkEnd w:id="34"/>
      <w:bookmarkEnd w:id="35"/>
    </w:p>
    <w:p w14:paraId="1726AE2A" w14:textId="77777777" w:rsidR="001233AD" w:rsidRPr="006403AD" w:rsidRDefault="001233AD" w:rsidP="001233AD">
      <w:pPr>
        <w:spacing w:before="100" w:beforeAutospacing="1" w:after="100" w:afterAutospacing="1" w:line="360" w:lineRule="auto"/>
        <w:jc w:val="both"/>
        <w:rPr>
          <w:rFonts w:ascii="Times New Roman" w:eastAsia="Times New Roman" w:hAnsi="Times New Roman" w:cs="Times New Roman"/>
          <w:sz w:val="24"/>
          <w:szCs w:val="24"/>
        </w:rPr>
      </w:pPr>
      <w:r w:rsidRPr="006403AD">
        <w:rPr>
          <w:rFonts w:ascii="Times New Roman" w:eastAsia="Times New Roman" w:hAnsi="Times New Roman" w:cs="Times New Roman"/>
          <w:color w:val="000000"/>
          <w:sz w:val="24"/>
          <w:szCs w:val="24"/>
        </w:rPr>
        <w:t>I thank the almighty. God for the strength, grace, and favour that He has bestowed upon me during my Ph.D. program</w:t>
      </w:r>
    </w:p>
    <w:p w14:paraId="41F445F8" w14:textId="77777777" w:rsidR="001233AD" w:rsidRPr="006403AD" w:rsidRDefault="001233AD" w:rsidP="001233AD">
      <w:pPr>
        <w:spacing w:before="100" w:beforeAutospacing="1" w:after="100" w:afterAutospacing="1" w:line="360" w:lineRule="auto"/>
        <w:jc w:val="both"/>
        <w:rPr>
          <w:rFonts w:ascii="Times New Roman" w:eastAsia="Times New Roman" w:hAnsi="Times New Roman" w:cs="Times New Roman"/>
          <w:sz w:val="24"/>
          <w:szCs w:val="24"/>
        </w:rPr>
      </w:pPr>
      <w:r w:rsidRPr="006403AD">
        <w:rPr>
          <w:rFonts w:ascii="Times New Roman" w:eastAsia="Times New Roman" w:hAnsi="Times New Roman" w:cs="Times New Roman"/>
          <w:color w:val="000000"/>
          <w:sz w:val="24"/>
          <w:szCs w:val="24"/>
        </w:rPr>
        <w:t>I am grateful to my supervisors, Prof. J. Kiplangat and Dr. Emily Ngeno, for tirelessly guiding me. What a journey! Thank you very much.</w:t>
      </w:r>
    </w:p>
    <w:p w14:paraId="532D0439" w14:textId="77777777" w:rsidR="001233AD" w:rsidRPr="006403AD" w:rsidRDefault="001233AD" w:rsidP="001233AD">
      <w:pPr>
        <w:spacing w:before="100" w:beforeAutospacing="1" w:after="100" w:afterAutospacing="1" w:line="360" w:lineRule="auto"/>
        <w:jc w:val="both"/>
        <w:rPr>
          <w:rFonts w:ascii="Times New Roman" w:eastAsia="Times New Roman" w:hAnsi="Times New Roman" w:cs="Times New Roman"/>
          <w:color w:val="000000"/>
          <w:sz w:val="24"/>
          <w:szCs w:val="24"/>
        </w:rPr>
      </w:pPr>
      <w:r w:rsidRPr="006403AD">
        <w:rPr>
          <w:rFonts w:ascii="Times New Roman" w:eastAsia="Times New Roman" w:hAnsi="Times New Roman" w:cs="Times New Roman"/>
          <w:color w:val="000000"/>
          <w:sz w:val="24"/>
          <w:szCs w:val="24"/>
        </w:rPr>
        <w:t>I extend my sincere gratitude to the university librarians of both Moi University—Mr. Mutai and the University of Nairobi—Mrs. Angela for granting me the interview sessions repeatedly, the heads of departments in both Colleges of Health Sciences of Moi University and the University of Nairobi for granting me interview sessions, and access to their students. Thank you very much.</w:t>
      </w:r>
    </w:p>
    <w:p w14:paraId="0107E357" w14:textId="77777777" w:rsidR="001233AD" w:rsidRPr="006403AD" w:rsidRDefault="001233AD" w:rsidP="001233AD">
      <w:pPr>
        <w:spacing w:before="100" w:beforeAutospacing="1" w:after="100" w:afterAutospacing="1" w:line="360" w:lineRule="auto"/>
        <w:jc w:val="both"/>
        <w:rPr>
          <w:rFonts w:ascii="Times New Roman" w:eastAsia="Times New Roman" w:hAnsi="Times New Roman" w:cs="Times New Roman"/>
          <w:sz w:val="24"/>
          <w:szCs w:val="24"/>
        </w:rPr>
      </w:pPr>
      <w:r w:rsidRPr="006403AD">
        <w:rPr>
          <w:rFonts w:ascii="Times New Roman" w:hAnsi="Times New Roman" w:cs="Times New Roman"/>
          <w:sz w:val="24"/>
          <w:szCs w:val="24"/>
        </w:rPr>
        <w:t>My gratitude goes to my employer, Lukenya University for giving me a chance to advance my education and bestowing me with all the necessary resources for this program. Special thanks to Mrs. Martha Kasanga Mulwa, the founder of Lukenya University, for having walked with me in this journey. Who always provided a shoulder to lean on.</w:t>
      </w:r>
      <w:r w:rsidRPr="006403AD">
        <w:rPr>
          <w:rFonts w:ascii="Times New Roman" w:eastAsia="Times New Roman" w:hAnsi="Times New Roman" w:cs="Times New Roman"/>
          <w:color w:val="000000"/>
          <w:sz w:val="24"/>
          <w:szCs w:val="24"/>
        </w:rPr>
        <w:t xml:space="preserve"> Thank you very much, Mama. </w:t>
      </w:r>
    </w:p>
    <w:p w14:paraId="26A931E9" w14:textId="77777777" w:rsidR="001233AD" w:rsidRPr="006403AD" w:rsidRDefault="001233AD" w:rsidP="001233AD">
      <w:pPr>
        <w:spacing w:before="100" w:beforeAutospacing="1" w:after="100" w:afterAutospacing="1" w:line="360" w:lineRule="auto"/>
        <w:jc w:val="both"/>
        <w:rPr>
          <w:rFonts w:ascii="Times New Roman" w:eastAsia="Times New Roman" w:hAnsi="Times New Roman" w:cs="Times New Roman"/>
          <w:sz w:val="24"/>
          <w:szCs w:val="24"/>
        </w:rPr>
      </w:pPr>
      <w:r w:rsidRPr="006403AD">
        <w:rPr>
          <w:rFonts w:ascii="Times New Roman" w:eastAsia="Times New Roman" w:hAnsi="Times New Roman" w:cs="Times New Roman"/>
          <w:color w:val="000000"/>
          <w:sz w:val="24"/>
          <w:szCs w:val="24"/>
        </w:rPr>
        <w:t xml:space="preserve">My special thanks go to my friend and wife, Charity Sanayian, for her untiring “push” especially in the middle of the night, to have me wake up and complete this work on time. Thank you for your unwavering and unconditional support. </w:t>
      </w:r>
      <w:r w:rsidRPr="006403AD">
        <w:rPr>
          <w:rFonts w:ascii="Times New Roman" w:eastAsia="Times New Roman" w:hAnsi="Times New Roman" w:cs="Times New Roman"/>
          <w:sz w:val="24"/>
          <w:szCs w:val="24"/>
        </w:rPr>
        <w:t>To our children Tasha, Talia, and Taji thank you very much for your innocent questions as to why I am still studying. I do appreciate my sister Lilian, who kept on telling me to be confident. My sister Hindrah, my brother Jeff. “</w:t>
      </w:r>
      <w:r w:rsidRPr="006403AD">
        <w:rPr>
          <w:rFonts w:ascii="Times New Roman" w:eastAsia="Times New Roman" w:hAnsi="Times New Roman" w:cs="Times New Roman"/>
          <w:i/>
          <w:iCs/>
          <w:sz w:val="24"/>
          <w:szCs w:val="24"/>
        </w:rPr>
        <w:t>mbuya mono”</w:t>
      </w:r>
    </w:p>
    <w:p w14:paraId="43EC7F0D" w14:textId="77777777" w:rsidR="001233AD" w:rsidRPr="006403AD" w:rsidRDefault="001233AD" w:rsidP="001233AD">
      <w:pPr>
        <w:pStyle w:val="NormalWeb"/>
        <w:shd w:val="clear" w:color="auto" w:fill="FFFFFF"/>
        <w:spacing w:before="120" w:beforeAutospacing="0" w:after="0" w:afterAutospacing="0" w:line="360" w:lineRule="auto"/>
        <w:ind w:right="-288"/>
        <w:jc w:val="both"/>
        <w:rPr>
          <w:b/>
          <w:bCs/>
          <w:i/>
          <w:iCs/>
        </w:rPr>
      </w:pPr>
      <w:r w:rsidRPr="006403AD">
        <w:rPr>
          <w:b/>
          <w:bCs/>
          <w:i/>
          <w:iCs/>
        </w:rPr>
        <w:t>It always seems impossible until it’s done</w:t>
      </w:r>
    </w:p>
    <w:p w14:paraId="62D2FF08" w14:textId="77777777" w:rsidR="001233AD" w:rsidRPr="006403AD" w:rsidRDefault="001233AD" w:rsidP="001233AD">
      <w:pPr>
        <w:pStyle w:val="NormalWeb"/>
        <w:shd w:val="clear" w:color="auto" w:fill="FFFFFF"/>
        <w:spacing w:before="120" w:beforeAutospacing="0" w:after="0" w:afterAutospacing="0" w:line="360" w:lineRule="auto"/>
        <w:ind w:right="-288"/>
        <w:jc w:val="both"/>
        <w:rPr>
          <w:b/>
          <w:bCs/>
          <w:i/>
          <w:iCs/>
        </w:rPr>
      </w:pPr>
      <w:r w:rsidRPr="006403AD">
        <w:rPr>
          <w:b/>
          <w:bCs/>
          <w:i/>
          <w:iCs/>
        </w:rPr>
        <w:t>– Nelson Rolihlahla Mandela</w:t>
      </w:r>
    </w:p>
    <w:p w14:paraId="538ECE3D" w14:textId="77777777" w:rsidR="001233AD" w:rsidRPr="006403AD" w:rsidRDefault="001233AD" w:rsidP="001233AD">
      <w:pPr>
        <w:jc w:val="both"/>
        <w:rPr>
          <w:rFonts w:ascii="Times New Roman" w:hAnsi="Times New Roman" w:cs="Times New Roman"/>
          <w:sz w:val="24"/>
          <w:szCs w:val="24"/>
        </w:rPr>
      </w:pPr>
    </w:p>
    <w:bookmarkEnd w:id="36"/>
    <w:p w14:paraId="3984217D" w14:textId="77777777" w:rsidR="00B01D46" w:rsidRDefault="00B01D46">
      <w:pPr>
        <w:pStyle w:val="NormalWeb"/>
        <w:shd w:val="clear" w:color="auto" w:fill="FFFFFF"/>
        <w:spacing w:before="120" w:beforeAutospacing="0" w:after="0" w:afterAutospacing="0" w:line="360" w:lineRule="auto"/>
        <w:ind w:right="-288"/>
        <w:jc w:val="center"/>
        <w:rPr>
          <w:b/>
          <w:bCs/>
          <w:i/>
          <w:iCs/>
        </w:rPr>
      </w:pPr>
    </w:p>
    <w:p w14:paraId="1D057DDF" w14:textId="77777777" w:rsidR="00B01D46" w:rsidRDefault="00B01D46">
      <w:pPr>
        <w:pStyle w:val="NormalWeb"/>
        <w:shd w:val="clear" w:color="auto" w:fill="FFFFFF"/>
        <w:spacing w:before="120" w:beforeAutospacing="0" w:after="0" w:afterAutospacing="0" w:line="360" w:lineRule="auto"/>
        <w:ind w:right="-288"/>
        <w:jc w:val="center"/>
        <w:rPr>
          <w:b/>
          <w:bCs/>
          <w:i/>
          <w:iCs/>
        </w:rPr>
      </w:pPr>
    </w:p>
    <w:p w14:paraId="76BA9618" w14:textId="77777777" w:rsidR="00B01D46" w:rsidRDefault="0067013E">
      <w:pPr>
        <w:spacing w:after="0" w:line="240" w:lineRule="auto"/>
        <w:rPr>
          <w:rFonts w:ascii="Times New Roman" w:eastAsiaTheme="majorEastAsia" w:hAnsi="Times New Roman" w:cs="Times New Roman"/>
          <w:b/>
          <w:sz w:val="24"/>
          <w:szCs w:val="24"/>
        </w:rPr>
      </w:pPr>
      <w:bookmarkStart w:id="37" w:name="_Toc164663951"/>
      <w:bookmarkStart w:id="38" w:name="_Toc165972993"/>
      <w:bookmarkStart w:id="39" w:name="_Toc165369109"/>
      <w:bookmarkStart w:id="40" w:name="_Toc165897949"/>
      <w:bookmarkStart w:id="41" w:name="_Toc165364829"/>
      <w:bookmarkStart w:id="42" w:name="_Toc165975714"/>
      <w:bookmarkStart w:id="43" w:name="_Toc165367567"/>
      <w:bookmarkStart w:id="44" w:name="_Toc165365096"/>
      <w:bookmarkStart w:id="45" w:name="_Toc165368293"/>
      <w:bookmarkEnd w:id="25"/>
      <w:r>
        <w:rPr>
          <w:rFonts w:cs="Times New Roman"/>
          <w:szCs w:val="24"/>
        </w:rPr>
        <w:br w:type="page"/>
      </w:r>
    </w:p>
    <w:p w14:paraId="6F1D1EDC" w14:textId="77777777" w:rsidR="00B01D46" w:rsidRDefault="0067013E">
      <w:pPr>
        <w:pStyle w:val="Heading1"/>
      </w:pPr>
      <w:bookmarkStart w:id="46" w:name="_Toc184272825"/>
      <w:r>
        <w:lastRenderedPageBreak/>
        <w:t>TABLE OF CONTENT</w:t>
      </w:r>
      <w:bookmarkEnd w:id="37"/>
      <w:r>
        <w:t>S</w:t>
      </w:r>
      <w:bookmarkEnd w:id="38"/>
      <w:bookmarkEnd w:id="39"/>
      <w:bookmarkEnd w:id="40"/>
      <w:bookmarkEnd w:id="41"/>
      <w:bookmarkEnd w:id="42"/>
      <w:bookmarkEnd w:id="43"/>
      <w:bookmarkEnd w:id="44"/>
      <w:bookmarkEnd w:id="45"/>
      <w:bookmarkEnd w:id="46"/>
    </w:p>
    <w:sdt>
      <w:sdtPr>
        <w:rPr>
          <w:rFonts w:asciiTheme="minorHAnsi" w:eastAsia="SimSun" w:hAnsiTheme="minorHAnsi" w:cstheme="minorBidi"/>
          <w:color w:val="auto"/>
          <w:sz w:val="22"/>
          <w:szCs w:val="22"/>
        </w:rPr>
        <w:id w:val="2015721134"/>
        <w:docPartObj>
          <w:docPartGallery w:val="Table of Contents"/>
          <w:docPartUnique/>
        </w:docPartObj>
      </w:sdtPr>
      <w:sdtEndPr>
        <w:rPr>
          <w:b/>
          <w:bCs/>
        </w:rPr>
      </w:sdtEndPr>
      <w:sdtContent>
        <w:p w14:paraId="4B35DFC6" w14:textId="77777777" w:rsidR="00B01D46" w:rsidRDefault="00B01D46">
          <w:pPr>
            <w:pStyle w:val="TOCHeading2"/>
            <w:spacing w:before="0" w:line="360" w:lineRule="auto"/>
            <w:rPr>
              <w:rFonts w:ascii="Times New Roman" w:hAnsi="Times New Roman" w:cs="Times New Roman"/>
              <w:sz w:val="2"/>
              <w:szCs w:val="2"/>
            </w:rPr>
          </w:pPr>
        </w:p>
        <w:p w14:paraId="6CD68086" w14:textId="77777777" w:rsidR="00B01D46" w:rsidRDefault="0067013E">
          <w:pPr>
            <w:pStyle w:val="TOC1"/>
            <w:tabs>
              <w:tab w:val="clear" w:pos="9356"/>
              <w:tab w:val="right" w:leader="dot" w:pos="8100"/>
            </w:tabs>
            <w:spacing w:line="360" w:lineRule="auto"/>
            <w:ind w:right="65"/>
            <w:rPr>
              <w:rFonts w:eastAsiaTheme="minorEastAsia"/>
              <w:b w:val="0"/>
            </w:rPr>
          </w:pPr>
          <w:r>
            <w:fldChar w:fldCharType="begin"/>
          </w:r>
          <w:r>
            <w:instrText xml:space="preserve"> TOC \o "1-5" \h \z \u </w:instrText>
          </w:r>
          <w:r>
            <w:fldChar w:fldCharType="separate"/>
          </w:r>
          <w:hyperlink w:anchor="_Toc184272821" w:history="1">
            <w:r>
              <w:rPr>
                <w:rStyle w:val="Hyperlink"/>
                <w:b w:val="0"/>
              </w:rPr>
              <w:t>DECLARATION</w:t>
            </w:r>
            <w:r>
              <w:rPr>
                <w:b w:val="0"/>
              </w:rPr>
              <w:tab/>
            </w:r>
            <w:r>
              <w:rPr>
                <w:b w:val="0"/>
              </w:rPr>
              <w:fldChar w:fldCharType="begin"/>
            </w:r>
            <w:r>
              <w:rPr>
                <w:b w:val="0"/>
              </w:rPr>
              <w:instrText xml:space="preserve"> PAGEREF _Toc184272821 \h </w:instrText>
            </w:r>
            <w:r>
              <w:rPr>
                <w:b w:val="0"/>
              </w:rPr>
            </w:r>
            <w:r>
              <w:rPr>
                <w:b w:val="0"/>
              </w:rPr>
              <w:fldChar w:fldCharType="separate"/>
            </w:r>
            <w:r>
              <w:rPr>
                <w:b w:val="0"/>
              </w:rPr>
              <w:t>ii</w:t>
            </w:r>
            <w:r>
              <w:rPr>
                <w:b w:val="0"/>
              </w:rPr>
              <w:fldChar w:fldCharType="end"/>
            </w:r>
          </w:hyperlink>
        </w:p>
        <w:p w14:paraId="7C0D8D76" w14:textId="77777777" w:rsidR="00B01D46" w:rsidRDefault="00FE757F">
          <w:pPr>
            <w:pStyle w:val="TOC1"/>
            <w:tabs>
              <w:tab w:val="clear" w:pos="9356"/>
              <w:tab w:val="right" w:leader="dot" w:pos="8100"/>
            </w:tabs>
            <w:spacing w:line="360" w:lineRule="auto"/>
            <w:ind w:right="65"/>
            <w:rPr>
              <w:rFonts w:eastAsiaTheme="minorEastAsia"/>
              <w:b w:val="0"/>
            </w:rPr>
          </w:pPr>
          <w:hyperlink w:anchor="_Toc184272822" w:history="1">
            <w:r w:rsidR="0067013E">
              <w:rPr>
                <w:rStyle w:val="Hyperlink"/>
                <w:b w:val="0"/>
              </w:rPr>
              <w:t>ABSTRACT</w:t>
            </w:r>
            <w:r w:rsidR="0067013E">
              <w:rPr>
                <w:b w:val="0"/>
              </w:rPr>
              <w:tab/>
            </w:r>
            <w:r w:rsidR="0067013E">
              <w:rPr>
                <w:b w:val="0"/>
              </w:rPr>
              <w:fldChar w:fldCharType="begin"/>
            </w:r>
            <w:r w:rsidR="0067013E">
              <w:rPr>
                <w:b w:val="0"/>
              </w:rPr>
              <w:instrText xml:space="preserve"> PAGEREF _Toc184272822 \h </w:instrText>
            </w:r>
            <w:r w:rsidR="0067013E">
              <w:rPr>
                <w:b w:val="0"/>
              </w:rPr>
            </w:r>
            <w:r w:rsidR="0067013E">
              <w:rPr>
                <w:b w:val="0"/>
              </w:rPr>
              <w:fldChar w:fldCharType="separate"/>
            </w:r>
            <w:r w:rsidR="0067013E">
              <w:rPr>
                <w:b w:val="0"/>
              </w:rPr>
              <w:t>iii</w:t>
            </w:r>
            <w:r w:rsidR="0067013E">
              <w:rPr>
                <w:b w:val="0"/>
              </w:rPr>
              <w:fldChar w:fldCharType="end"/>
            </w:r>
          </w:hyperlink>
        </w:p>
        <w:p w14:paraId="2EF8E094" w14:textId="77777777" w:rsidR="00B01D46" w:rsidRDefault="00FE757F">
          <w:pPr>
            <w:pStyle w:val="TOC1"/>
            <w:tabs>
              <w:tab w:val="clear" w:pos="9356"/>
              <w:tab w:val="right" w:leader="dot" w:pos="8100"/>
            </w:tabs>
            <w:spacing w:line="360" w:lineRule="auto"/>
            <w:ind w:right="65"/>
            <w:rPr>
              <w:rFonts w:eastAsiaTheme="minorEastAsia"/>
              <w:b w:val="0"/>
            </w:rPr>
          </w:pPr>
          <w:hyperlink w:anchor="_Toc184272823" w:history="1">
            <w:r w:rsidR="0067013E">
              <w:rPr>
                <w:rStyle w:val="Hyperlink"/>
                <w:b w:val="0"/>
              </w:rPr>
              <w:t>DEDICATION</w:t>
            </w:r>
            <w:r w:rsidR="0067013E">
              <w:rPr>
                <w:b w:val="0"/>
              </w:rPr>
              <w:tab/>
            </w:r>
            <w:r w:rsidR="0067013E">
              <w:rPr>
                <w:b w:val="0"/>
              </w:rPr>
              <w:fldChar w:fldCharType="begin"/>
            </w:r>
            <w:r w:rsidR="0067013E">
              <w:rPr>
                <w:b w:val="0"/>
              </w:rPr>
              <w:instrText xml:space="preserve"> PAGEREF _Toc184272823 \h </w:instrText>
            </w:r>
            <w:r w:rsidR="0067013E">
              <w:rPr>
                <w:b w:val="0"/>
              </w:rPr>
            </w:r>
            <w:r w:rsidR="0067013E">
              <w:rPr>
                <w:b w:val="0"/>
              </w:rPr>
              <w:fldChar w:fldCharType="separate"/>
            </w:r>
            <w:r w:rsidR="0067013E">
              <w:rPr>
                <w:b w:val="0"/>
              </w:rPr>
              <w:t>iv</w:t>
            </w:r>
            <w:r w:rsidR="0067013E">
              <w:rPr>
                <w:b w:val="0"/>
              </w:rPr>
              <w:fldChar w:fldCharType="end"/>
            </w:r>
          </w:hyperlink>
        </w:p>
        <w:p w14:paraId="1CCC5939" w14:textId="77777777" w:rsidR="00B01D46" w:rsidRDefault="00FE757F">
          <w:pPr>
            <w:pStyle w:val="TOC1"/>
            <w:tabs>
              <w:tab w:val="clear" w:pos="9356"/>
              <w:tab w:val="right" w:leader="dot" w:pos="8100"/>
            </w:tabs>
            <w:spacing w:line="360" w:lineRule="auto"/>
            <w:ind w:right="65"/>
            <w:rPr>
              <w:rFonts w:eastAsiaTheme="minorEastAsia"/>
              <w:b w:val="0"/>
            </w:rPr>
          </w:pPr>
          <w:hyperlink w:anchor="_Toc184272824" w:history="1">
            <w:r w:rsidR="0067013E">
              <w:rPr>
                <w:rStyle w:val="Hyperlink"/>
                <w:b w:val="0"/>
              </w:rPr>
              <w:t>ACKNOWLEDGMENT</w:t>
            </w:r>
            <w:r w:rsidR="0067013E">
              <w:rPr>
                <w:b w:val="0"/>
              </w:rPr>
              <w:tab/>
            </w:r>
            <w:r w:rsidR="0067013E">
              <w:rPr>
                <w:b w:val="0"/>
              </w:rPr>
              <w:fldChar w:fldCharType="begin"/>
            </w:r>
            <w:r w:rsidR="0067013E">
              <w:rPr>
                <w:b w:val="0"/>
              </w:rPr>
              <w:instrText xml:space="preserve"> PAGEREF _Toc184272824 \h </w:instrText>
            </w:r>
            <w:r w:rsidR="0067013E">
              <w:rPr>
                <w:b w:val="0"/>
              </w:rPr>
            </w:r>
            <w:r w:rsidR="0067013E">
              <w:rPr>
                <w:b w:val="0"/>
              </w:rPr>
              <w:fldChar w:fldCharType="separate"/>
            </w:r>
            <w:r w:rsidR="0067013E">
              <w:rPr>
                <w:b w:val="0"/>
              </w:rPr>
              <w:t>v</w:t>
            </w:r>
            <w:r w:rsidR="0067013E">
              <w:rPr>
                <w:b w:val="0"/>
              </w:rPr>
              <w:fldChar w:fldCharType="end"/>
            </w:r>
          </w:hyperlink>
        </w:p>
        <w:p w14:paraId="66878FCF" w14:textId="77777777" w:rsidR="00B01D46" w:rsidRDefault="00FE757F">
          <w:pPr>
            <w:pStyle w:val="TOC1"/>
            <w:tabs>
              <w:tab w:val="clear" w:pos="9356"/>
              <w:tab w:val="right" w:leader="dot" w:pos="8100"/>
            </w:tabs>
            <w:spacing w:line="360" w:lineRule="auto"/>
            <w:ind w:right="65"/>
            <w:rPr>
              <w:rFonts w:eastAsiaTheme="minorEastAsia"/>
              <w:b w:val="0"/>
            </w:rPr>
          </w:pPr>
          <w:hyperlink w:anchor="_Toc184272825" w:history="1">
            <w:r w:rsidR="0067013E">
              <w:rPr>
                <w:rStyle w:val="Hyperlink"/>
                <w:b w:val="0"/>
              </w:rPr>
              <w:t>TABLE OF CONTENTS</w:t>
            </w:r>
            <w:r w:rsidR="0067013E">
              <w:rPr>
                <w:b w:val="0"/>
              </w:rPr>
              <w:tab/>
            </w:r>
            <w:r w:rsidR="0067013E">
              <w:rPr>
                <w:b w:val="0"/>
              </w:rPr>
              <w:fldChar w:fldCharType="begin"/>
            </w:r>
            <w:r w:rsidR="0067013E">
              <w:rPr>
                <w:b w:val="0"/>
              </w:rPr>
              <w:instrText xml:space="preserve"> PAGEREF _Toc184272825 \h </w:instrText>
            </w:r>
            <w:r w:rsidR="0067013E">
              <w:rPr>
                <w:b w:val="0"/>
              </w:rPr>
            </w:r>
            <w:r w:rsidR="0067013E">
              <w:rPr>
                <w:b w:val="0"/>
              </w:rPr>
              <w:fldChar w:fldCharType="separate"/>
            </w:r>
            <w:r w:rsidR="0067013E">
              <w:rPr>
                <w:b w:val="0"/>
              </w:rPr>
              <w:t>vi</w:t>
            </w:r>
            <w:r w:rsidR="0067013E">
              <w:rPr>
                <w:b w:val="0"/>
              </w:rPr>
              <w:fldChar w:fldCharType="end"/>
            </w:r>
          </w:hyperlink>
        </w:p>
        <w:p w14:paraId="79A4E990" w14:textId="77777777" w:rsidR="00B01D46" w:rsidRDefault="00FE757F">
          <w:pPr>
            <w:pStyle w:val="TOC1"/>
            <w:tabs>
              <w:tab w:val="clear" w:pos="9356"/>
              <w:tab w:val="right" w:leader="dot" w:pos="8100"/>
            </w:tabs>
            <w:spacing w:line="360" w:lineRule="auto"/>
            <w:ind w:right="65"/>
            <w:rPr>
              <w:rFonts w:eastAsiaTheme="minorEastAsia"/>
              <w:b w:val="0"/>
            </w:rPr>
          </w:pPr>
          <w:hyperlink w:anchor="_Toc184272826" w:history="1">
            <w:r w:rsidR="0067013E">
              <w:rPr>
                <w:rStyle w:val="Hyperlink"/>
                <w:b w:val="0"/>
              </w:rPr>
              <w:t>LIST OF TABLES</w:t>
            </w:r>
            <w:r w:rsidR="0067013E">
              <w:rPr>
                <w:b w:val="0"/>
              </w:rPr>
              <w:tab/>
            </w:r>
            <w:r w:rsidR="0067013E">
              <w:rPr>
                <w:b w:val="0"/>
              </w:rPr>
              <w:fldChar w:fldCharType="begin"/>
            </w:r>
            <w:r w:rsidR="0067013E">
              <w:rPr>
                <w:b w:val="0"/>
              </w:rPr>
              <w:instrText xml:space="preserve"> PAGEREF _Toc184272826 \h </w:instrText>
            </w:r>
            <w:r w:rsidR="0067013E">
              <w:rPr>
                <w:b w:val="0"/>
              </w:rPr>
            </w:r>
            <w:r w:rsidR="0067013E">
              <w:rPr>
                <w:b w:val="0"/>
              </w:rPr>
              <w:fldChar w:fldCharType="separate"/>
            </w:r>
            <w:r w:rsidR="0067013E">
              <w:rPr>
                <w:b w:val="0"/>
              </w:rPr>
              <w:t>xiv</w:t>
            </w:r>
            <w:r w:rsidR="0067013E">
              <w:rPr>
                <w:b w:val="0"/>
              </w:rPr>
              <w:fldChar w:fldCharType="end"/>
            </w:r>
          </w:hyperlink>
        </w:p>
        <w:p w14:paraId="46A132B2" w14:textId="77777777" w:rsidR="00B01D46" w:rsidRDefault="00FE757F">
          <w:pPr>
            <w:pStyle w:val="TOC1"/>
            <w:tabs>
              <w:tab w:val="clear" w:pos="9356"/>
              <w:tab w:val="right" w:leader="dot" w:pos="8100"/>
            </w:tabs>
            <w:spacing w:line="360" w:lineRule="auto"/>
            <w:ind w:right="65"/>
            <w:rPr>
              <w:rFonts w:eastAsiaTheme="minorEastAsia"/>
              <w:b w:val="0"/>
            </w:rPr>
          </w:pPr>
          <w:hyperlink w:anchor="_Toc184272827" w:history="1">
            <w:r w:rsidR="0067013E">
              <w:rPr>
                <w:rStyle w:val="Hyperlink"/>
                <w:b w:val="0"/>
              </w:rPr>
              <w:t>LIST OF FIGURES</w:t>
            </w:r>
            <w:r w:rsidR="0067013E">
              <w:rPr>
                <w:b w:val="0"/>
              </w:rPr>
              <w:tab/>
            </w:r>
            <w:r w:rsidR="0067013E">
              <w:rPr>
                <w:b w:val="0"/>
              </w:rPr>
              <w:fldChar w:fldCharType="begin"/>
            </w:r>
            <w:r w:rsidR="0067013E">
              <w:rPr>
                <w:b w:val="0"/>
              </w:rPr>
              <w:instrText xml:space="preserve"> PAGEREF _Toc184272827 \h </w:instrText>
            </w:r>
            <w:r w:rsidR="0067013E">
              <w:rPr>
                <w:b w:val="0"/>
              </w:rPr>
            </w:r>
            <w:r w:rsidR="0067013E">
              <w:rPr>
                <w:b w:val="0"/>
              </w:rPr>
              <w:fldChar w:fldCharType="separate"/>
            </w:r>
            <w:r w:rsidR="0067013E">
              <w:rPr>
                <w:b w:val="0"/>
              </w:rPr>
              <w:t>xvii</w:t>
            </w:r>
            <w:r w:rsidR="0067013E">
              <w:rPr>
                <w:b w:val="0"/>
              </w:rPr>
              <w:fldChar w:fldCharType="end"/>
            </w:r>
          </w:hyperlink>
        </w:p>
        <w:p w14:paraId="3122BA65" w14:textId="77777777" w:rsidR="00B01D46" w:rsidRDefault="00FE757F">
          <w:pPr>
            <w:pStyle w:val="TOC1"/>
            <w:tabs>
              <w:tab w:val="clear" w:pos="9356"/>
              <w:tab w:val="right" w:leader="dot" w:pos="8100"/>
            </w:tabs>
            <w:spacing w:line="360" w:lineRule="auto"/>
            <w:ind w:right="65"/>
            <w:rPr>
              <w:rFonts w:eastAsiaTheme="minorEastAsia"/>
              <w:b w:val="0"/>
            </w:rPr>
          </w:pPr>
          <w:hyperlink w:anchor="_Toc184272828" w:history="1">
            <w:r w:rsidR="0067013E">
              <w:rPr>
                <w:rStyle w:val="Hyperlink"/>
                <w:b w:val="0"/>
              </w:rPr>
              <w:t>LIST OF ABBREVIATIONS</w:t>
            </w:r>
            <w:r w:rsidR="0067013E">
              <w:rPr>
                <w:b w:val="0"/>
              </w:rPr>
              <w:tab/>
            </w:r>
            <w:r w:rsidR="0067013E">
              <w:rPr>
                <w:b w:val="0"/>
              </w:rPr>
              <w:fldChar w:fldCharType="begin"/>
            </w:r>
            <w:r w:rsidR="0067013E">
              <w:rPr>
                <w:b w:val="0"/>
              </w:rPr>
              <w:instrText xml:space="preserve"> PAGEREF _Toc184272828 \h </w:instrText>
            </w:r>
            <w:r w:rsidR="0067013E">
              <w:rPr>
                <w:b w:val="0"/>
              </w:rPr>
            </w:r>
            <w:r w:rsidR="0067013E">
              <w:rPr>
                <w:b w:val="0"/>
              </w:rPr>
              <w:fldChar w:fldCharType="separate"/>
            </w:r>
            <w:r w:rsidR="0067013E">
              <w:rPr>
                <w:b w:val="0"/>
              </w:rPr>
              <w:t>xviii</w:t>
            </w:r>
            <w:r w:rsidR="0067013E">
              <w:rPr>
                <w:b w:val="0"/>
              </w:rPr>
              <w:fldChar w:fldCharType="end"/>
            </w:r>
          </w:hyperlink>
        </w:p>
        <w:p w14:paraId="1C558577" w14:textId="77777777" w:rsidR="00B01D46" w:rsidRDefault="00FE757F">
          <w:pPr>
            <w:pStyle w:val="TOC1"/>
            <w:tabs>
              <w:tab w:val="clear" w:pos="9356"/>
              <w:tab w:val="right" w:leader="dot" w:pos="8100"/>
            </w:tabs>
            <w:spacing w:line="360" w:lineRule="auto"/>
            <w:ind w:right="65"/>
            <w:rPr>
              <w:rFonts w:eastAsiaTheme="minorEastAsia"/>
            </w:rPr>
          </w:pPr>
          <w:hyperlink w:anchor="_Toc184272829" w:history="1">
            <w:r w:rsidR="0067013E">
              <w:rPr>
                <w:rStyle w:val="Hyperlink"/>
              </w:rPr>
              <w:t>CHAPTER ONE</w:t>
            </w:r>
            <w:r w:rsidR="0067013E">
              <w:tab/>
            </w:r>
            <w:r w:rsidR="0067013E">
              <w:fldChar w:fldCharType="begin"/>
            </w:r>
            <w:r w:rsidR="0067013E">
              <w:instrText xml:space="preserve"> PAGEREF _Toc184272829 \h </w:instrText>
            </w:r>
            <w:r w:rsidR="0067013E">
              <w:fldChar w:fldCharType="separate"/>
            </w:r>
            <w:r w:rsidR="0067013E">
              <w:t>1</w:t>
            </w:r>
            <w:r w:rsidR="0067013E">
              <w:fldChar w:fldCharType="end"/>
            </w:r>
          </w:hyperlink>
        </w:p>
        <w:p w14:paraId="17EDF8BB" w14:textId="77777777" w:rsidR="00B01D46" w:rsidRDefault="00FE757F">
          <w:pPr>
            <w:pStyle w:val="TOC1"/>
            <w:tabs>
              <w:tab w:val="clear" w:pos="9356"/>
              <w:tab w:val="right" w:leader="dot" w:pos="8100"/>
            </w:tabs>
            <w:spacing w:line="360" w:lineRule="auto"/>
            <w:ind w:right="65"/>
            <w:rPr>
              <w:rFonts w:eastAsiaTheme="minorEastAsia"/>
            </w:rPr>
          </w:pPr>
          <w:hyperlink w:anchor="_Toc184272830" w:history="1">
            <w:r w:rsidR="0067013E">
              <w:rPr>
                <w:rStyle w:val="Hyperlink"/>
              </w:rPr>
              <w:t>INTRODUCTION AND BACKGROUND TO THE STUDY</w:t>
            </w:r>
            <w:r w:rsidR="0067013E">
              <w:tab/>
            </w:r>
            <w:r w:rsidR="0067013E">
              <w:fldChar w:fldCharType="begin"/>
            </w:r>
            <w:r w:rsidR="0067013E">
              <w:instrText xml:space="preserve"> PAGEREF _Toc184272830 \h </w:instrText>
            </w:r>
            <w:r w:rsidR="0067013E">
              <w:fldChar w:fldCharType="separate"/>
            </w:r>
            <w:r w:rsidR="0067013E">
              <w:t>1</w:t>
            </w:r>
            <w:r w:rsidR="0067013E">
              <w:fldChar w:fldCharType="end"/>
            </w:r>
          </w:hyperlink>
        </w:p>
        <w:p w14:paraId="1F6BD0E3" w14:textId="77777777" w:rsidR="00B01D46" w:rsidRDefault="00FE757F">
          <w:pPr>
            <w:pStyle w:val="TOC2"/>
            <w:rPr>
              <w:rFonts w:eastAsiaTheme="minorEastAsia"/>
              <w:color w:val="auto"/>
            </w:rPr>
          </w:pPr>
          <w:hyperlink w:anchor="_Toc184272831" w:history="1">
            <w:r w:rsidR="0067013E">
              <w:rPr>
                <w:rStyle w:val="Hyperlink"/>
              </w:rPr>
              <w:t>1.1 Introduction</w:t>
            </w:r>
            <w:r w:rsidR="0067013E">
              <w:tab/>
            </w:r>
            <w:r w:rsidR="0067013E">
              <w:fldChar w:fldCharType="begin"/>
            </w:r>
            <w:r w:rsidR="0067013E">
              <w:instrText xml:space="preserve"> PAGEREF _Toc184272831 \h </w:instrText>
            </w:r>
            <w:r w:rsidR="0067013E">
              <w:fldChar w:fldCharType="separate"/>
            </w:r>
            <w:r w:rsidR="0067013E">
              <w:t>1</w:t>
            </w:r>
            <w:r w:rsidR="0067013E">
              <w:fldChar w:fldCharType="end"/>
            </w:r>
          </w:hyperlink>
        </w:p>
        <w:p w14:paraId="06395BBA" w14:textId="77777777" w:rsidR="00B01D46" w:rsidRDefault="00FE757F">
          <w:pPr>
            <w:pStyle w:val="TOC3"/>
            <w:rPr>
              <w:rFonts w:ascii="Times New Roman" w:eastAsiaTheme="minorEastAsia" w:hAnsi="Times New Roman" w:cs="Times New Roman"/>
              <w:sz w:val="24"/>
              <w:szCs w:val="24"/>
            </w:rPr>
          </w:pPr>
          <w:hyperlink w:anchor="_Toc184272832" w:history="1">
            <w:r w:rsidR="0067013E">
              <w:rPr>
                <w:rStyle w:val="Hyperlink"/>
                <w:rFonts w:ascii="Times New Roman" w:hAnsi="Times New Roman" w:cs="Times New Roman"/>
                <w:sz w:val="24"/>
                <w:szCs w:val="24"/>
              </w:rPr>
              <w:t>1.1.1 Information Literate</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_Toc184272832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w:t>
            </w:r>
            <w:r w:rsidR="0067013E">
              <w:rPr>
                <w:rFonts w:ascii="Times New Roman" w:hAnsi="Times New Roman" w:cs="Times New Roman"/>
                <w:sz w:val="24"/>
                <w:szCs w:val="24"/>
              </w:rPr>
              <w:fldChar w:fldCharType="end"/>
            </w:r>
          </w:hyperlink>
        </w:p>
        <w:p w14:paraId="61809814" w14:textId="77777777" w:rsidR="00B01D46" w:rsidRDefault="00FE757F">
          <w:pPr>
            <w:pStyle w:val="TOC3"/>
            <w:rPr>
              <w:rFonts w:ascii="Times New Roman" w:eastAsiaTheme="minorEastAsia" w:hAnsi="Times New Roman" w:cs="Times New Roman"/>
              <w:sz w:val="24"/>
              <w:szCs w:val="24"/>
            </w:rPr>
          </w:pPr>
          <w:hyperlink w:anchor="_Toc184272833" w:history="1">
            <w:r w:rsidR="0067013E">
              <w:rPr>
                <w:rStyle w:val="Hyperlink"/>
                <w:rFonts w:ascii="Times New Roman" w:hAnsi="Times New Roman" w:cs="Times New Roman"/>
                <w:sz w:val="24"/>
                <w:szCs w:val="24"/>
              </w:rPr>
              <w:t>1.1.2 ILS and Medical Training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_Toc184272833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4</w:t>
            </w:r>
            <w:r w:rsidR="0067013E">
              <w:rPr>
                <w:rFonts w:ascii="Times New Roman" w:hAnsi="Times New Roman" w:cs="Times New Roman"/>
                <w:sz w:val="24"/>
                <w:szCs w:val="24"/>
              </w:rPr>
              <w:fldChar w:fldCharType="end"/>
            </w:r>
          </w:hyperlink>
        </w:p>
        <w:p w14:paraId="1D57293C" w14:textId="77777777" w:rsidR="00B01D46" w:rsidRDefault="00FE757F">
          <w:pPr>
            <w:pStyle w:val="TOC3"/>
            <w:rPr>
              <w:rFonts w:ascii="Times New Roman" w:eastAsiaTheme="minorEastAsia" w:hAnsi="Times New Roman" w:cs="Times New Roman"/>
              <w:sz w:val="24"/>
              <w:szCs w:val="24"/>
            </w:rPr>
          </w:pPr>
          <w:hyperlink w:anchor="_Toc184272834" w:history="1">
            <w:r w:rsidR="0067013E">
              <w:rPr>
                <w:rStyle w:val="Hyperlink"/>
                <w:rFonts w:ascii="Times New Roman" w:hAnsi="Times New Roman" w:cs="Times New Roman"/>
                <w:sz w:val="24"/>
                <w:szCs w:val="24"/>
              </w:rPr>
              <w:t>1.1.3 Global Perspective of ILS in Medical Education</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_Toc184272834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8</w:t>
            </w:r>
            <w:r w:rsidR="0067013E">
              <w:rPr>
                <w:rFonts w:ascii="Times New Roman" w:hAnsi="Times New Roman" w:cs="Times New Roman"/>
                <w:sz w:val="24"/>
                <w:szCs w:val="24"/>
              </w:rPr>
              <w:fldChar w:fldCharType="end"/>
            </w:r>
          </w:hyperlink>
        </w:p>
        <w:p w14:paraId="33D5A0D7" w14:textId="77777777" w:rsidR="00B01D46" w:rsidRDefault="00FE757F">
          <w:pPr>
            <w:pStyle w:val="TOC2"/>
            <w:rPr>
              <w:rFonts w:eastAsiaTheme="minorEastAsia"/>
              <w:color w:val="auto"/>
            </w:rPr>
          </w:pPr>
          <w:hyperlink w:anchor="_Toc184272835" w:history="1">
            <w:r w:rsidR="0067013E">
              <w:rPr>
                <w:rStyle w:val="Hyperlink"/>
              </w:rPr>
              <w:t>1.2 Background to the Study</w:t>
            </w:r>
            <w:r w:rsidR="0067013E">
              <w:tab/>
            </w:r>
            <w:r w:rsidR="0067013E">
              <w:fldChar w:fldCharType="begin"/>
            </w:r>
            <w:r w:rsidR="0067013E">
              <w:instrText xml:space="preserve"> PAGEREF _Toc184272835 \h </w:instrText>
            </w:r>
            <w:r w:rsidR="0067013E">
              <w:fldChar w:fldCharType="separate"/>
            </w:r>
            <w:r w:rsidR="0067013E">
              <w:t>12</w:t>
            </w:r>
            <w:r w:rsidR="0067013E">
              <w:fldChar w:fldCharType="end"/>
            </w:r>
          </w:hyperlink>
        </w:p>
        <w:p w14:paraId="25881ADE" w14:textId="77777777" w:rsidR="00B01D46" w:rsidRDefault="00FE757F">
          <w:pPr>
            <w:pStyle w:val="TOC3"/>
            <w:rPr>
              <w:rFonts w:ascii="Times New Roman" w:eastAsiaTheme="minorEastAsia" w:hAnsi="Times New Roman" w:cs="Times New Roman"/>
              <w:sz w:val="24"/>
              <w:szCs w:val="24"/>
            </w:rPr>
          </w:pPr>
          <w:hyperlink w:anchor="_Toc184272836" w:history="1">
            <w:r w:rsidR="0067013E">
              <w:rPr>
                <w:rStyle w:val="Hyperlink"/>
                <w:rFonts w:ascii="Times New Roman" w:hAnsi="Times New Roman" w:cs="Times New Roman"/>
                <w:sz w:val="24"/>
                <w:szCs w:val="24"/>
              </w:rPr>
              <w:t>1.2.1 University of Nairobi College of Health Sciences (CHS)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_Toc184272836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w:t>
            </w:r>
            <w:r w:rsidR="0067013E">
              <w:rPr>
                <w:rFonts w:ascii="Times New Roman" w:hAnsi="Times New Roman" w:cs="Times New Roman"/>
                <w:sz w:val="24"/>
                <w:szCs w:val="24"/>
              </w:rPr>
              <w:fldChar w:fldCharType="end"/>
            </w:r>
          </w:hyperlink>
        </w:p>
        <w:p w14:paraId="717B8A6A" w14:textId="77777777" w:rsidR="00B01D46" w:rsidRDefault="00FE757F">
          <w:pPr>
            <w:pStyle w:val="TOC3"/>
            <w:rPr>
              <w:rFonts w:ascii="Times New Roman" w:eastAsiaTheme="minorEastAsia" w:hAnsi="Times New Roman" w:cs="Times New Roman"/>
              <w:sz w:val="24"/>
              <w:szCs w:val="24"/>
            </w:rPr>
          </w:pPr>
          <w:hyperlink w:anchor="_Toc184272837" w:history="1">
            <w:r w:rsidR="0067013E">
              <w:rPr>
                <w:rStyle w:val="Hyperlink"/>
                <w:rFonts w:ascii="Times New Roman" w:hAnsi="Times New Roman" w:cs="Times New Roman"/>
                <w:sz w:val="24"/>
                <w:szCs w:val="24"/>
              </w:rPr>
              <w:t>1.2.2 Moi University College of Health Sciences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_Toc184272837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w:t>
            </w:r>
            <w:r w:rsidR="0067013E">
              <w:rPr>
                <w:rFonts w:ascii="Times New Roman" w:hAnsi="Times New Roman" w:cs="Times New Roman"/>
                <w:sz w:val="24"/>
                <w:szCs w:val="24"/>
              </w:rPr>
              <w:fldChar w:fldCharType="end"/>
            </w:r>
          </w:hyperlink>
        </w:p>
        <w:p w14:paraId="2B7A078F" w14:textId="77777777" w:rsidR="00B01D46" w:rsidRDefault="00FE757F">
          <w:pPr>
            <w:pStyle w:val="TOC2"/>
            <w:rPr>
              <w:rFonts w:eastAsiaTheme="minorEastAsia"/>
              <w:color w:val="auto"/>
            </w:rPr>
          </w:pPr>
          <w:hyperlink w:anchor="_Toc184272838" w:history="1">
            <w:r w:rsidR="0067013E">
              <w:rPr>
                <w:rStyle w:val="Hyperlink"/>
              </w:rPr>
              <w:t>1.3 Statement of the Problem</w:t>
            </w:r>
            <w:r w:rsidR="0067013E">
              <w:tab/>
            </w:r>
            <w:r w:rsidR="0067013E">
              <w:fldChar w:fldCharType="begin"/>
            </w:r>
            <w:r w:rsidR="0067013E">
              <w:instrText xml:space="preserve"> PAGEREF _Toc184272838 \h </w:instrText>
            </w:r>
            <w:r w:rsidR="0067013E">
              <w:fldChar w:fldCharType="separate"/>
            </w:r>
            <w:r w:rsidR="0067013E">
              <w:t>17</w:t>
            </w:r>
            <w:r w:rsidR="0067013E">
              <w:fldChar w:fldCharType="end"/>
            </w:r>
          </w:hyperlink>
        </w:p>
        <w:p w14:paraId="0380C6F4" w14:textId="77777777" w:rsidR="00B01D46" w:rsidRDefault="00FE757F">
          <w:pPr>
            <w:pStyle w:val="TOC2"/>
            <w:rPr>
              <w:rFonts w:eastAsiaTheme="minorEastAsia"/>
              <w:color w:val="auto"/>
            </w:rPr>
          </w:pPr>
          <w:hyperlink w:anchor="_Toc184272839" w:history="1">
            <w:r w:rsidR="0067013E">
              <w:rPr>
                <w:rStyle w:val="Hyperlink"/>
              </w:rPr>
              <w:t>1.4 Aim of the Study</w:t>
            </w:r>
            <w:r w:rsidR="0067013E">
              <w:tab/>
            </w:r>
            <w:r w:rsidR="0067013E">
              <w:fldChar w:fldCharType="begin"/>
            </w:r>
            <w:r w:rsidR="0067013E">
              <w:instrText xml:space="preserve"> PAGEREF _Toc184272839 \h </w:instrText>
            </w:r>
            <w:r w:rsidR="0067013E">
              <w:fldChar w:fldCharType="separate"/>
            </w:r>
            <w:r w:rsidR="0067013E">
              <w:t>20</w:t>
            </w:r>
            <w:r w:rsidR="0067013E">
              <w:fldChar w:fldCharType="end"/>
            </w:r>
          </w:hyperlink>
        </w:p>
        <w:p w14:paraId="7E5D357C" w14:textId="77777777" w:rsidR="00B01D46" w:rsidRDefault="00FE757F">
          <w:pPr>
            <w:pStyle w:val="TOC2"/>
            <w:rPr>
              <w:rFonts w:eastAsiaTheme="minorEastAsia"/>
              <w:color w:val="auto"/>
            </w:rPr>
          </w:pPr>
          <w:hyperlink w:anchor="_Toc184272840" w:history="1">
            <w:r w:rsidR="0067013E">
              <w:rPr>
                <w:rStyle w:val="Hyperlink"/>
              </w:rPr>
              <w:t>1.5 Objectives of the Study</w:t>
            </w:r>
            <w:r w:rsidR="0067013E">
              <w:tab/>
            </w:r>
            <w:r w:rsidR="0067013E">
              <w:fldChar w:fldCharType="begin"/>
            </w:r>
            <w:r w:rsidR="0067013E">
              <w:instrText xml:space="preserve"> PAGEREF _Toc184272840 \h </w:instrText>
            </w:r>
            <w:r w:rsidR="0067013E">
              <w:fldChar w:fldCharType="separate"/>
            </w:r>
            <w:r w:rsidR="0067013E">
              <w:t>20</w:t>
            </w:r>
            <w:r w:rsidR="0067013E">
              <w:fldChar w:fldCharType="end"/>
            </w:r>
          </w:hyperlink>
        </w:p>
        <w:p w14:paraId="58D9D4C0" w14:textId="77777777" w:rsidR="00B01D46" w:rsidRDefault="00FE757F">
          <w:pPr>
            <w:pStyle w:val="TOC2"/>
            <w:rPr>
              <w:rFonts w:eastAsiaTheme="minorEastAsia"/>
              <w:color w:val="auto"/>
            </w:rPr>
          </w:pPr>
          <w:hyperlink w:anchor="_Toc184272841" w:history="1">
            <w:r w:rsidR="0067013E">
              <w:rPr>
                <w:rStyle w:val="Hyperlink"/>
              </w:rPr>
              <w:t>1.6 Research Questions</w:t>
            </w:r>
            <w:r w:rsidR="0067013E">
              <w:tab/>
            </w:r>
            <w:r w:rsidR="0067013E">
              <w:fldChar w:fldCharType="begin"/>
            </w:r>
            <w:r w:rsidR="0067013E">
              <w:instrText xml:space="preserve"> PAGEREF _Toc184272841 \h </w:instrText>
            </w:r>
            <w:r w:rsidR="0067013E">
              <w:fldChar w:fldCharType="separate"/>
            </w:r>
            <w:r w:rsidR="0067013E">
              <w:t>20</w:t>
            </w:r>
            <w:r w:rsidR="0067013E">
              <w:fldChar w:fldCharType="end"/>
            </w:r>
          </w:hyperlink>
        </w:p>
        <w:p w14:paraId="37C3A996" w14:textId="77777777" w:rsidR="00B01D46" w:rsidRDefault="00FE757F">
          <w:pPr>
            <w:pStyle w:val="TOC2"/>
            <w:rPr>
              <w:rFonts w:eastAsiaTheme="minorEastAsia"/>
              <w:color w:val="auto"/>
            </w:rPr>
          </w:pPr>
          <w:hyperlink w:anchor="_Toc184272842" w:history="1">
            <w:r w:rsidR="0067013E">
              <w:rPr>
                <w:rStyle w:val="Hyperlink"/>
              </w:rPr>
              <w:t>1.7 Assumptions of the Study</w:t>
            </w:r>
            <w:r w:rsidR="0067013E">
              <w:tab/>
            </w:r>
            <w:r w:rsidR="0067013E">
              <w:fldChar w:fldCharType="begin"/>
            </w:r>
            <w:r w:rsidR="0067013E">
              <w:instrText xml:space="preserve"> PAGEREF _Toc184272842 \h </w:instrText>
            </w:r>
            <w:r w:rsidR="0067013E">
              <w:fldChar w:fldCharType="separate"/>
            </w:r>
            <w:r w:rsidR="0067013E">
              <w:t>21</w:t>
            </w:r>
            <w:r w:rsidR="0067013E">
              <w:fldChar w:fldCharType="end"/>
            </w:r>
          </w:hyperlink>
        </w:p>
        <w:p w14:paraId="684D9F2E" w14:textId="77777777" w:rsidR="00B01D46" w:rsidRDefault="00FE757F">
          <w:pPr>
            <w:pStyle w:val="TOC2"/>
            <w:rPr>
              <w:rFonts w:eastAsiaTheme="minorEastAsia"/>
              <w:color w:val="auto"/>
            </w:rPr>
          </w:pPr>
          <w:hyperlink w:anchor="_Toc184272843" w:history="1">
            <w:r w:rsidR="0067013E">
              <w:rPr>
                <w:rStyle w:val="Hyperlink"/>
              </w:rPr>
              <w:t>1.8 Significance of the Study</w:t>
            </w:r>
            <w:r w:rsidR="0067013E">
              <w:tab/>
            </w:r>
            <w:r w:rsidR="0067013E">
              <w:fldChar w:fldCharType="begin"/>
            </w:r>
            <w:r w:rsidR="0067013E">
              <w:instrText xml:space="preserve"> PAGEREF _Toc184272843 \h </w:instrText>
            </w:r>
            <w:r w:rsidR="0067013E">
              <w:fldChar w:fldCharType="separate"/>
            </w:r>
            <w:r w:rsidR="0067013E">
              <w:t>22</w:t>
            </w:r>
            <w:r w:rsidR="0067013E">
              <w:fldChar w:fldCharType="end"/>
            </w:r>
          </w:hyperlink>
        </w:p>
        <w:p w14:paraId="04E090B0" w14:textId="77777777" w:rsidR="00B01D46" w:rsidRDefault="00FE757F">
          <w:pPr>
            <w:pStyle w:val="TOC2"/>
            <w:rPr>
              <w:rFonts w:eastAsiaTheme="minorEastAsia"/>
              <w:color w:val="auto"/>
            </w:rPr>
          </w:pPr>
          <w:hyperlink w:anchor="_Toc184272844" w:history="1">
            <w:r w:rsidR="0067013E">
              <w:rPr>
                <w:rStyle w:val="Hyperlink"/>
              </w:rPr>
              <w:t>1.9 Scope and Limitations of the Study</w:t>
            </w:r>
            <w:r w:rsidR="0067013E">
              <w:tab/>
            </w:r>
            <w:r w:rsidR="0067013E">
              <w:fldChar w:fldCharType="begin"/>
            </w:r>
            <w:r w:rsidR="0067013E">
              <w:instrText xml:space="preserve"> PAGEREF _Toc184272844 \h </w:instrText>
            </w:r>
            <w:r w:rsidR="0067013E">
              <w:fldChar w:fldCharType="separate"/>
            </w:r>
            <w:r w:rsidR="0067013E">
              <w:t>23</w:t>
            </w:r>
            <w:r w:rsidR="0067013E">
              <w:fldChar w:fldCharType="end"/>
            </w:r>
          </w:hyperlink>
        </w:p>
        <w:p w14:paraId="361B75C6" w14:textId="77777777" w:rsidR="00B01D46" w:rsidRDefault="00FE757F">
          <w:pPr>
            <w:pStyle w:val="TOC3"/>
            <w:rPr>
              <w:rFonts w:ascii="Times New Roman" w:eastAsiaTheme="minorEastAsia" w:hAnsi="Times New Roman" w:cs="Times New Roman"/>
              <w:sz w:val="24"/>
              <w:szCs w:val="24"/>
            </w:rPr>
          </w:pPr>
          <w:hyperlink w:anchor="_Toc184272845" w:history="1">
            <w:r w:rsidR="0067013E">
              <w:rPr>
                <w:rStyle w:val="Hyperlink"/>
                <w:rFonts w:ascii="Times New Roman" w:hAnsi="Times New Roman" w:cs="Times New Roman"/>
                <w:sz w:val="24"/>
                <w:szCs w:val="24"/>
              </w:rPr>
              <w:t>1.9.1 Scope of the study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_Toc184272845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23</w:t>
            </w:r>
            <w:r w:rsidR="0067013E">
              <w:rPr>
                <w:rFonts w:ascii="Times New Roman" w:hAnsi="Times New Roman" w:cs="Times New Roman"/>
                <w:sz w:val="24"/>
                <w:szCs w:val="24"/>
              </w:rPr>
              <w:fldChar w:fldCharType="end"/>
            </w:r>
          </w:hyperlink>
        </w:p>
        <w:p w14:paraId="5681EB7E" w14:textId="77777777" w:rsidR="00B01D46" w:rsidRDefault="00FE757F">
          <w:pPr>
            <w:pStyle w:val="TOC3"/>
            <w:rPr>
              <w:rFonts w:ascii="Times New Roman" w:eastAsiaTheme="minorEastAsia" w:hAnsi="Times New Roman" w:cs="Times New Roman"/>
              <w:sz w:val="24"/>
              <w:szCs w:val="24"/>
            </w:rPr>
          </w:pPr>
          <w:hyperlink w:anchor="_Toc184272846" w:history="1">
            <w:r w:rsidR="0067013E">
              <w:rPr>
                <w:rStyle w:val="Hyperlink"/>
                <w:rFonts w:ascii="Times New Roman" w:hAnsi="Times New Roman" w:cs="Times New Roman"/>
                <w:sz w:val="24"/>
                <w:szCs w:val="24"/>
              </w:rPr>
              <w:t>1.9.2 Limitations of the Study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_Toc184272846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24</w:t>
            </w:r>
            <w:r w:rsidR="0067013E">
              <w:rPr>
                <w:rFonts w:ascii="Times New Roman" w:hAnsi="Times New Roman" w:cs="Times New Roman"/>
                <w:sz w:val="24"/>
                <w:szCs w:val="24"/>
              </w:rPr>
              <w:fldChar w:fldCharType="end"/>
            </w:r>
          </w:hyperlink>
        </w:p>
        <w:p w14:paraId="51343450" w14:textId="77777777" w:rsidR="00B01D46" w:rsidRDefault="00FE757F">
          <w:pPr>
            <w:pStyle w:val="TOC2"/>
            <w:rPr>
              <w:rFonts w:eastAsiaTheme="minorEastAsia"/>
              <w:color w:val="auto"/>
            </w:rPr>
          </w:pPr>
          <w:hyperlink w:anchor="_Toc184272847" w:history="1">
            <w:r w:rsidR="0067013E">
              <w:rPr>
                <w:rStyle w:val="Hyperlink"/>
              </w:rPr>
              <w:t>1.10 Operationalization of Terms Used in the Study</w:t>
            </w:r>
            <w:r w:rsidR="0067013E">
              <w:tab/>
            </w:r>
            <w:r w:rsidR="0067013E">
              <w:fldChar w:fldCharType="begin"/>
            </w:r>
            <w:r w:rsidR="0067013E">
              <w:instrText xml:space="preserve"> PAGEREF _Toc184272847 \h </w:instrText>
            </w:r>
            <w:r w:rsidR="0067013E">
              <w:fldChar w:fldCharType="separate"/>
            </w:r>
            <w:r w:rsidR="0067013E">
              <w:t>25</w:t>
            </w:r>
            <w:r w:rsidR="0067013E">
              <w:fldChar w:fldCharType="end"/>
            </w:r>
          </w:hyperlink>
        </w:p>
        <w:p w14:paraId="5AC7BE59" w14:textId="77777777" w:rsidR="00B01D46" w:rsidRDefault="00FE757F">
          <w:pPr>
            <w:pStyle w:val="TOC2"/>
            <w:rPr>
              <w:rFonts w:eastAsiaTheme="minorEastAsia"/>
              <w:color w:val="auto"/>
            </w:rPr>
          </w:pPr>
          <w:hyperlink w:anchor="_Toc184272848" w:history="1">
            <w:r w:rsidR="0067013E">
              <w:rPr>
                <w:rStyle w:val="Hyperlink"/>
              </w:rPr>
              <w:t>1.11 Structure of the Thesis</w:t>
            </w:r>
            <w:r w:rsidR="0067013E">
              <w:tab/>
            </w:r>
            <w:r w:rsidR="0067013E">
              <w:fldChar w:fldCharType="begin"/>
            </w:r>
            <w:r w:rsidR="0067013E">
              <w:instrText xml:space="preserve"> PAGEREF _Toc184272848 \h </w:instrText>
            </w:r>
            <w:r w:rsidR="0067013E">
              <w:fldChar w:fldCharType="separate"/>
            </w:r>
            <w:r w:rsidR="0067013E">
              <w:t>28</w:t>
            </w:r>
            <w:r w:rsidR="0067013E">
              <w:fldChar w:fldCharType="end"/>
            </w:r>
          </w:hyperlink>
        </w:p>
        <w:p w14:paraId="3BDE3BA4" w14:textId="77777777" w:rsidR="00B01D46" w:rsidRDefault="00FE757F">
          <w:pPr>
            <w:pStyle w:val="TOC2"/>
            <w:rPr>
              <w:rFonts w:eastAsiaTheme="minorEastAsia"/>
              <w:color w:val="auto"/>
            </w:rPr>
          </w:pPr>
          <w:hyperlink w:anchor="_Toc184272849" w:history="1">
            <w:r w:rsidR="0067013E">
              <w:rPr>
                <w:rStyle w:val="Hyperlink"/>
              </w:rPr>
              <w:t>1.12 Chapter Summary</w:t>
            </w:r>
            <w:r w:rsidR="0067013E">
              <w:tab/>
            </w:r>
            <w:r w:rsidR="0067013E">
              <w:fldChar w:fldCharType="begin"/>
            </w:r>
            <w:r w:rsidR="0067013E">
              <w:instrText xml:space="preserve"> PAGEREF _Toc184272849 \h </w:instrText>
            </w:r>
            <w:r w:rsidR="0067013E">
              <w:fldChar w:fldCharType="separate"/>
            </w:r>
            <w:r w:rsidR="0067013E">
              <w:t>29</w:t>
            </w:r>
            <w:r w:rsidR="0067013E">
              <w:fldChar w:fldCharType="end"/>
            </w:r>
          </w:hyperlink>
        </w:p>
        <w:p w14:paraId="57A2DE37" w14:textId="77777777" w:rsidR="00B01D46" w:rsidRDefault="00FE757F">
          <w:pPr>
            <w:pStyle w:val="TOC1"/>
            <w:tabs>
              <w:tab w:val="clear" w:pos="9356"/>
              <w:tab w:val="right" w:leader="dot" w:pos="8100"/>
            </w:tabs>
            <w:spacing w:line="360" w:lineRule="auto"/>
            <w:ind w:right="65"/>
            <w:rPr>
              <w:rFonts w:eastAsiaTheme="minorEastAsia"/>
            </w:rPr>
          </w:pPr>
          <w:hyperlink w:anchor="_Toc184272850" w:history="1">
            <w:r w:rsidR="0067013E">
              <w:rPr>
                <w:rStyle w:val="Hyperlink"/>
              </w:rPr>
              <w:t>CHAPTER TWO</w:t>
            </w:r>
            <w:r w:rsidR="0067013E">
              <w:tab/>
            </w:r>
            <w:r w:rsidR="0067013E">
              <w:fldChar w:fldCharType="begin"/>
            </w:r>
            <w:r w:rsidR="0067013E">
              <w:instrText xml:space="preserve"> PAGEREF _Toc184272850 \h </w:instrText>
            </w:r>
            <w:r w:rsidR="0067013E">
              <w:fldChar w:fldCharType="separate"/>
            </w:r>
            <w:r w:rsidR="0067013E">
              <w:t>30</w:t>
            </w:r>
            <w:r w:rsidR="0067013E">
              <w:fldChar w:fldCharType="end"/>
            </w:r>
          </w:hyperlink>
        </w:p>
        <w:p w14:paraId="1E33C371" w14:textId="77777777" w:rsidR="00B01D46" w:rsidRDefault="00FE757F">
          <w:pPr>
            <w:pStyle w:val="TOC1"/>
            <w:tabs>
              <w:tab w:val="clear" w:pos="9356"/>
              <w:tab w:val="right" w:leader="dot" w:pos="8100"/>
            </w:tabs>
            <w:spacing w:line="360" w:lineRule="auto"/>
            <w:ind w:right="65"/>
            <w:rPr>
              <w:rFonts w:eastAsiaTheme="minorEastAsia"/>
            </w:rPr>
          </w:pPr>
          <w:hyperlink w:anchor="_Toc184272851" w:history="1">
            <w:r w:rsidR="0067013E">
              <w:rPr>
                <w:rStyle w:val="Hyperlink"/>
              </w:rPr>
              <w:t>THEORETICAL FRAMEWORK</w:t>
            </w:r>
            <w:r w:rsidR="0067013E">
              <w:tab/>
            </w:r>
            <w:r w:rsidR="0067013E">
              <w:fldChar w:fldCharType="begin"/>
            </w:r>
            <w:r w:rsidR="0067013E">
              <w:instrText xml:space="preserve"> PAGEREF _Toc184272851 \h </w:instrText>
            </w:r>
            <w:r w:rsidR="0067013E">
              <w:fldChar w:fldCharType="separate"/>
            </w:r>
            <w:r w:rsidR="0067013E">
              <w:t>30</w:t>
            </w:r>
            <w:r w:rsidR="0067013E">
              <w:fldChar w:fldCharType="end"/>
            </w:r>
          </w:hyperlink>
        </w:p>
        <w:p w14:paraId="42DD8943" w14:textId="77777777" w:rsidR="00B01D46" w:rsidRDefault="00FE757F">
          <w:pPr>
            <w:pStyle w:val="TOC2"/>
            <w:rPr>
              <w:rFonts w:eastAsiaTheme="minorEastAsia"/>
              <w:color w:val="auto"/>
            </w:rPr>
          </w:pPr>
          <w:hyperlink w:anchor="_Toc184272852" w:history="1">
            <w:r w:rsidR="0067013E">
              <w:rPr>
                <w:rStyle w:val="Hyperlink"/>
              </w:rPr>
              <w:t>2.1 Introduction</w:t>
            </w:r>
            <w:r w:rsidR="0067013E">
              <w:tab/>
            </w:r>
            <w:r w:rsidR="0067013E">
              <w:fldChar w:fldCharType="begin"/>
            </w:r>
            <w:r w:rsidR="0067013E">
              <w:instrText xml:space="preserve"> PAGEREF _Toc184272852 \h </w:instrText>
            </w:r>
            <w:r w:rsidR="0067013E">
              <w:fldChar w:fldCharType="separate"/>
            </w:r>
            <w:r w:rsidR="0067013E">
              <w:t>30</w:t>
            </w:r>
            <w:r w:rsidR="0067013E">
              <w:fldChar w:fldCharType="end"/>
            </w:r>
          </w:hyperlink>
        </w:p>
        <w:p w14:paraId="47E7A68E" w14:textId="77777777" w:rsidR="00B01D46" w:rsidRDefault="00FE757F">
          <w:pPr>
            <w:pStyle w:val="TOC2"/>
            <w:rPr>
              <w:rFonts w:eastAsiaTheme="minorEastAsia"/>
              <w:color w:val="auto"/>
            </w:rPr>
          </w:pPr>
          <w:hyperlink w:anchor="_Toc184272853" w:history="1">
            <w:r w:rsidR="0067013E">
              <w:rPr>
                <w:rStyle w:val="Hyperlink"/>
              </w:rPr>
              <w:t>2.2 Theories Underpinning the Study</w:t>
            </w:r>
            <w:r w:rsidR="0067013E">
              <w:tab/>
            </w:r>
            <w:r w:rsidR="0067013E">
              <w:fldChar w:fldCharType="begin"/>
            </w:r>
            <w:r w:rsidR="0067013E">
              <w:instrText xml:space="preserve"> PAGEREF _Toc184272853 \h </w:instrText>
            </w:r>
            <w:r w:rsidR="0067013E">
              <w:fldChar w:fldCharType="separate"/>
            </w:r>
            <w:r w:rsidR="0067013E">
              <w:t>30</w:t>
            </w:r>
            <w:r w:rsidR="0067013E">
              <w:fldChar w:fldCharType="end"/>
            </w:r>
          </w:hyperlink>
        </w:p>
        <w:p w14:paraId="1CED7FE9" w14:textId="77777777" w:rsidR="00B01D46" w:rsidRDefault="00FE757F">
          <w:pPr>
            <w:pStyle w:val="TOC3"/>
            <w:rPr>
              <w:rFonts w:ascii="Times New Roman" w:eastAsiaTheme="minorEastAsia" w:hAnsi="Times New Roman" w:cs="Times New Roman"/>
              <w:sz w:val="24"/>
              <w:szCs w:val="24"/>
            </w:rPr>
          </w:pPr>
          <w:hyperlink w:anchor="_Toc184272854" w:history="1">
            <w:r w:rsidR="0067013E">
              <w:rPr>
                <w:rStyle w:val="Hyperlink"/>
                <w:rFonts w:ascii="Times New Roman" w:hAnsi="Times New Roman" w:cs="Times New Roman"/>
                <w:sz w:val="24"/>
                <w:szCs w:val="24"/>
              </w:rPr>
              <w:t>2.2.1 Sauce Model</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_Toc184272854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32</w:t>
            </w:r>
            <w:r w:rsidR="0067013E">
              <w:rPr>
                <w:rFonts w:ascii="Times New Roman" w:hAnsi="Times New Roman" w:cs="Times New Roman"/>
                <w:sz w:val="24"/>
                <w:szCs w:val="24"/>
              </w:rPr>
              <w:fldChar w:fldCharType="end"/>
            </w:r>
          </w:hyperlink>
        </w:p>
        <w:p w14:paraId="5E50DDD1"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855" w:history="1">
            <w:r w:rsidR="0067013E">
              <w:rPr>
                <w:rStyle w:val="Hyperlink"/>
                <w:rFonts w:ascii="Times New Roman" w:hAnsi="Times New Roman" w:cs="Times New Roman"/>
                <w:sz w:val="24"/>
                <w:szCs w:val="24"/>
              </w:rPr>
              <w:t>2.2.1.1 The Key Variables of the Sauce Model and their Relevancy to this Study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_Toc184272855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33</w:t>
            </w:r>
            <w:r w:rsidR="0067013E">
              <w:rPr>
                <w:rFonts w:ascii="Times New Roman" w:hAnsi="Times New Roman" w:cs="Times New Roman"/>
                <w:sz w:val="24"/>
                <w:szCs w:val="24"/>
              </w:rPr>
              <w:fldChar w:fldCharType="end"/>
            </w:r>
          </w:hyperlink>
        </w:p>
        <w:p w14:paraId="5F5A8266"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856" w:history="1">
            <w:r w:rsidR="0067013E">
              <w:rPr>
                <w:rStyle w:val="Hyperlink"/>
                <w:rFonts w:ascii="Times New Roman" w:hAnsi="Times New Roman" w:cs="Times New Roman"/>
                <w:sz w:val="24"/>
                <w:szCs w:val="24"/>
              </w:rPr>
              <w:t>2.2.1.2 Justification for using Sauce Model</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_Toc184272856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36</w:t>
            </w:r>
            <w:r w:rsidR="0067013E">
              <w:rPr>
                <w:rFonts w:ascii="Times New Roman" w:hAnsi="Times New Roman" w:cs="Times New Roman"/>
                <w:sz w:val="24"/>
                <w:szCs w:val="24"/>
              </w:rPr>
              <w:fldChar w:fldCharType="end"/>
            </w:r>
          </w:hyperlink>
        </w:p>
        <w:p w14:paraId="2E497D57"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857" w:history="1">
            <w:r w:rsidR="0067013E">
              <w:rPr>
                <w:rStyle w:val="Hyperlink"/>
                <w:rFonts w:ascii="Times New Roman" w:hAnsi="Times New Roman" w:cs="Times New Roman"/>
                <w:sz w:val="24"/>
                <w:szCs w:val="24"/>
              </w:rPr>
              <w:t>2.2.1.3 Gaps in the use of the Sauce Model</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_Toc184272857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37</w:t>
            </w:r>
            <w:r w:rsidR="0067013E">
              <w:rPr>
                <w:rFonts w:ascii="Times New Roman" w:hAnsi="Times New Roman" w:cs="Times New Roman"/>
                <w:sz w:val="24"/>
                <w:szCs w:val="24"/>
              </w:rPr>
              <w:fldChar w:fldCharType="end"/>
            </w:r>
          </w:hyperlink>
        </w:p>
        <w:p w14:paraId="545A36DD" w14:textId="77777777" w:rsidR="00B01D46" w:rsidRDefault="00FE757F">
          <w:pPr>
            <w:pStyle w:val="TOC3"/>
            <w:rPr>
              <w:rFonts w:ascii="Times New Roman" w:eastAsiaTheme="minorEastAsia" w:hAnsi="Times New Roman" w:cs="Times New Roman"/>
              <w:sz w:val="24"/>
              <w:szCs w:val="24"/>
            </w:rPr>
          </w:pPr>
          <w:hyperlink w:anchor="_Toc184272858" w:history="1">
            <w:r w:rsidR="0067013E">
              <w:rPr>
                <w:rStyle w:val="Hyperlink"/>
                <w:rFonts w:ascii="Times New Roman" w:hAnsi="Times New Roman" w:cs="Times New Roman"/>
                <w:sz w:val="24"/>
                <w:szCs w:val="24"/>
              </w:rPr>
              <w:t>2.2.2 Six Frames for Information Literacy Education Model</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_Toc184272858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38</w:t>
            </w:r>
            <w:r w:rsidR="0067013E">
              <w:rPr>
                <w:rFonts w:ascii="Times New Roman" w:hAnsi="Times New Roman" w:cs="Times New Roman"/>
                <w:sz w:val="24"/>
                <w:szCs w:val="24"/>
              </w:rPr>
              <w:fldChar w:fldCharType="end"/>
            </w:r>
          </w:hyperlink>
        </w:p>
        <w:p w14:paraId="23F7A855"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859" w:history="1">
            <w:r w:rsidR="0067013E">
              <w:rPr>
                <w:rStyle w:val="Hyperlink"/>
                <w:rFonts w:ascii="Times New Roman" w:hAnsi="Times New Roman" w:cs="Times New Roman"/>
                <w:sz w:val="24"/>
                <w:szCs w:val="24"/>
              </w:rPr>
              <w:t>2.2.2.1 Relevancy of the Theory to this Study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_Toc184272859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42</w:t>
            </w:r>
            <w:r w:rsidR="0067013E">
              <w:rPr>
                <w:rFonts w:ascii="Times New Roman" w:hAnsi="Times New Roman" w:cs="Times New Roman"/>
                <w:sz w:val="24"/>
                <w:szCs w:val="24"/>
              </w:rPr>
              <w:fldChar w:fldCharType="end"/>
            </w:r>
          </w:hyperlink>
        </w:p>
        <w:p w14:paraId="6F019BDE" w14:textId="77777777" w:rsidR="00B01D46" w:rsidRDefault="00FE757F">
          <w:pPr>
            <w:pStyle w:val="TOC3"/>
            <w:rPr>
              <w:rFonts w:ascii="Times New Roman" w:eastAsiaTheme="minorEastAsia" w:hAnsi="Times New Roman" w:cs="Times New Roman"/>
              <w:sz w:val="24"/>
              <w:szCs w:val="24"/>
            </w:rPr>
          </w:pPr>
          <w:hyperlink w:anchor="_Toc184272860" w:history="1">
            <w:r w:rsidR="0067013E">
              <w:rPr>
                <w:rStyle w:val="Hyperlink"/>
                <w:rFonts w:ascii="Times New Roman" w:hAnsi="Times New Roman" w:cs="Times New Roman"/>
                <w:sz w:val="24"/>
                <w:szCs w:val="24"/>
              </w:rPr>
              <w:t>2.2.3 Justification of using the two theories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_Toc184272860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43</w:t>
            </w:r>
            <w:r w:rsidR="0067013E">
              <w:rPr>
                <w:rFonts w:ascii="Times New Roman" w:hAnsi="Times New Roman" w:cs="Times New Roman"/>
                <w:sz w:val="24"/>
                <w:szCs w:val="24"/>
              </w:rPr>
              <w:fldChar w:fldCharType="end"/>
            </w:r>
          </w:hyperlink>
        </w:p>
        <w:p w14:paraId="2BC58F6E" w14:textId="77777777" w:rsidR="00B01D46" w:rsidRDefault="00FE757F">
          <w:pPr>
            <w:pStyle w:val="TOC2"/>
            <w:rPr>
              <w:rFonts w:eastAsiaTheme="minorEastAsia"/>
              <w:color w:val="auto"/>
            </w:rPr>
          </w:pPr>
          <w:hyperlink w:anchor="_Toc184272861" w:history="1">
            <w:r w:rsidR="0067013E">
              <w:rPr>
                <w:rStyle w:val="Hyperlink"/>
              </w:rPr>
              <w:t>2.3 Other Theories Relevant to the Study but not Applicable</w:t>
            </w:r>
            <w:r w:rsidR="0067013E">
              <w:tab/>
            </w:r>
            <w:r w:rsidR="0067013E">
              <w:fldChar w:fldCharType="begin"/>
            </w:r>
            <w:r w:rsidR="0067013E">
              <w:instrText xml:space="preserve"> PAGEREF _Toc184272861 \h </w:instrText>
            </w:r>
            <w:r w:rsidR="0067013E">
              <w:fldChar w:fldCharType="separate"/>
            </w:r>
            <w:r w:rsidR="0067013E">
              <w:t>45</w:t>
            </w:r>
            <w:r w:rsidR="0067013E">
              <w:fldChar w:fldCharType="end"/>
            </w:r>
          </w:hyperlink>
        </w:p>
        <w:p w14:paraId="551C4B7F" w14:textId="77777777" w:rsidR="00B01D46" w:rsidRDefault="00FE757F">
          <w:pPr>
            <w:pStyle w:val="TOC3"/>
            <w:rPr>
              <w:rFonts w:ascii="Times New Roman" w:eastAsiaTheme="minorEastAsia" w:hAnsi="Times New Roman" w:cs="Times New Roman"/>
              <w:sz w:val="24"/>
              <w:szCs w:val="24"/>
            </w:rPr>
          </w:pPr>
          <w:hyperlink w:anchor="_Toc184272862" w:history="1">
            <w:r w:rsidR="0067013E">
              <w:rPr>
                <w:rStyle w:val="Hyperlink"/>
                <w:rFonts w:ascii="Times New Roman" w:hAnsi="Times New Roman" w:cs="Times New Roman"/>
                <w:sz w:val="24"/>
                <w:szCs w:val="24"/>
              </w:rPr>
              <w:t>2.3.1 Big 6 Skills Model information Literacy Model by Eisenberg and Berkowitz</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_Toc184272862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46</w:t>
            </w:r>
            <w:r w:rsidR="0067013E">
              <w:rPr>
                <w:rFonts w:ascii="Times New Roman" w:hAnsi="Times New Roman" w:cs="Times New Roman"/>
                <w:sz w:val="24"/>
                <w:szCs w:val="24"/>
              </w:rPr>
              <w:fldChar w:fldCharType="end"/>
            </w:r>
          </w:hyperlink>
        </w:p>
        <w:p w14:paraId="39892D7D" w14:textId="77777777" w:rsidR="00B01D46" w:rsidRDefault="00FE757F">
          <w:pPr>
            <w:pStyle w:val="TOC3"/>
            <w:rPr>
              <w:rFonts w:ascii="Times New Roman" w:eastAsiaTheme="minorEastAsia" w:hAnsi="Times New Roman" w:cs="Times New Roman"/>
              <w:sz w:val="24"/>
              <w:szCs w:val="24"/>
            </w:rPr>
          </w:pPr>
          <w:hyperlink w:anchor="_Toc184272863" w:history="1">
            <w:r w:rsidR="0067013E">
              <w:rPr>
                <w:rStyle w:val="Hyperlink"/>
                <w:rFonts w:ascii="Times New Roman" w:hAnsi="Times New Roman" w:cs="Times New Roman"/>
                <w:sz w:val="24"/>
                <w:szCs w:val="24"/>
              </w:rPr>
              <w:t>2.3.2 Jerome Seymour Bruner’s Theory of Discovery Learning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_Toc184272863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46</w:t>
            </w:r>
            <w:r w:rsidR="0067013E">
              <w:rPr>
                <w:rFonts w:ascii="Times New Roman" w:hAnsi="Times New Roman" w:cs="Times New Roman"/>
                <w:sz w:val="24"/>
                <w:szCs w:val="24"/>
              </w:rPr>
              <w:fldChar w:fldCharType="end"/>
            </w:r>
          </w:hyperlink>
        </w:p>
        <w:p w14:paraId="5EA2F2E5" w14:textId="77777777" w:rsidR="00B01D46" w:rsidRDefault="00FE757F">
          <w:pPr>
            <w:pStyle w:val="TOC2"/>
            <w:rPr>
              <w:rFonts w:eastAsiaTheme="minorEastAsia"/>
              <w:color w:val="auto"/>
            </w:rPr>
          </w:pPr>
          <w:hyperlink w:anchor="_Toc184272864" w:history="1">
            <w:r w:rsidR="0067013E">
              <w:rPr>
                <w:rStyle w:val="Hyperlink"/>
              </w:rPr>
              <w:t>2.4 Chapter Summary</w:t>
            </w:r>
            <w:r w:rsidR="0067013E">
              <w:tab/>
            </w:r>
            <w:r w:rsidR="0067013E">
              <w:fldChar w:fldCharType="begin"/>
            </w:r>
            <w:r w:rsidR="0067013E">
              <w:instrText xml:space="preserve"> PAGEREF _Toc184272864 \h </w:instrText>
            </w:r>
            <w:r w:rsidR="0067013E">
              <w:fldChar w:fldCharType="separate"/>
            </w:r>
            <w:r w:rsidR="0067013E">
              <w:t>47</w:t>
            </w:r>
            <w:r w:rsidR="0067013E">
              <w:fldChar w:fldCharType="end"/>
            </w:r>
          </w:hyperlink>
        </w:p>
        <w:p w14:paraId="2C4D16E8" w14:textId="77777777" w:rsidR="00B01D46" w:rsidRDefault="00FE757F">
          <w:pPr>
            <w:pStyle w:val="TOC1"/>
            <w:tabs>
              <w:tab w:val="clear" w:pos="9356"/>
              <w:tab w:val="right" w:leader="dot" w:pos="8100"/>
            </w:tabs>
            <w:spacing w:line="360" w:lineRule="auto"/>
            <w:ind w:right="65"/>
            <w:rPr>
              <w:rFonts w:eastAsiaTheme="minorEastAsia"/>
            </w:rPr>
          </w:pPr>
          <w:hyperlink w:anchor="_Toc184272865" w:history="1">
            <w:r w:rsidR="0067013E">
              <w:rPr>
                <w:rStyle w:val="Hyperlink"/>
              </w:rPr>
              <w:t>CHAPTER THREE</w:t>
            </w:r>
            <w:r w:rsidR="0067013E">
              <w:tab/>
            </w:r>
            <w:r w:rsidR="0067013E">
              <w:fldChar w:fldCharType="begin"/>
            </w:r>
            <w:r w:rsidR="0067013E">
              <w:instrText xml:space="preserve"> PAGEREF _Toc184272865 \h </w:instrText>
            </w:r>
            <w:r w:rsidR="0067013E">
              <w:fldChar w:fldCharType="separate"/>
            </w:r>
            <w:r w:rsidR="0067013E">
              <w:t>49</w:t>
            </w:r>
            <w:r w:rsidR="0067013E">
              <w:fldChar w:fldCharType="end"/>
            </w:r>
          </w:hyperlink>
        </w:p>
        <w:p w14:paraId="24748259" w14:textId="77777777" w:rsidR="00B01D46" w:rsidRDefault="00FE757F">
          <w:pPr>
            <w:pStyle w:val="TOC1"/>
            <w:tabs>
              <w:tab w:val="clear" w:pos="9356"/>
              <w:tab w:val="right" w:leader="dot" w:pos="8100"/>
            </w:tabs>
            <w:spacing w:line="360" w:lineRule="auto"/>
            <w:ind w:right="65"/>
            <w:rPr>
              <w:rFonts w:eastAsiaTheme="minorEastAsia"/>
            </w:rPr>
          </w:pPr>
          <w:hyperlink w:anchor="_Toc184272866" w:history="1">
            <w:r w:rsidR="0067013E">
              <w:rPr>
                <w:rStyle w:val="Hyperlink"/>
              </w:rPr>
              <w:t>LITERATURE REVIEW</w:t>
            </w:r>
            <w:r w:rsidR="0067013E">
              <w:tab/>
            </w:r>
            <w:r w:rsidR="0067013E">
              <w:fldChar w:fldCharType="begin"/>
            </w:r>
            <w:r w:rsidR="0067013E">
              <w:instrText xml:space="preserve"> PAGEREF _Toc184272866 \h </w:instrText>
            </w:r>
            <w:r w:rsidR="0067013E">
              <w:fldChar w:fldCharType="separate"/>
            </w:r>
            <w:r w:rsidR="0067013E">
              <w:t>49</w:t>
            </w:r>
            <w:r w:rsidR="0067013E">
              <w:fldChar w:fldCharType="end"/>
            </w:r>
          </w:hyperlink>
        </w:p>
        <w:p w14:paraId="24B94F6C" w14:textId="77777777" w:rsidR="00B01D46" w:rsidRDefault="00FE757F">
          <w:pPr>
            <w:pStyle w:val="TOC2"/>
            <w:rPr>
              <w:rFonts w:eastAsiaTheme="minorEastAsia"/>
              <w:color w:val="auto"/>
            </w:rPr>
          </w:pPr>
          <w:hyperlink w:anchor="_Toc184272867" w:history="1">
            <w:r w:rsidR="0067013E">
              <w:rPr>
                <w:rStyle w:val="Hyperlink"/>
              </w:rPr>
              <w:t>3.1 Introduction</w:t>
            </w:r>
            <w:r w:rsidR="0067013E">
              <w:tab/>
            </w:r>
            <w:r w:rsidR="0067013E">
              <w:fldChar w:fldCharType="begin"/>
            </w:r>
            <w:r w:rsidR="0067013E">
              <w:instrText xml:space="preserve"> PAGEREF _Toc184272867 \h </w:instrText>
            </w:r>
            <w:r w:rsidR="0067013E">
              <w:fldChar w:fldCharType="separate"/>
            </w:r>
            <w:r w:rsidR="0067013E">
              <w:t>49</w:t>
            </w:r>
            <w:r w:rsidR="0067013E">
              <w:fldChar w:fldCharType="end"/>
            </w:r>
          </w:hyperlink>
        </w:p>
        <w:p w14:paraId="7428B9D3" w14:textId="77777777" w:rsidR="00B01D46" w:rsidRDefault="00FE757F">
          <w:pPr>
            <w:pStyle w:val="TOC2"/>
            <w:rPr>
              <w:rFonts w:eastAsiaTheme="minorEastAsia"/>
              <w:color w:val="auto"/>
            </w:rPr>
          </w:pPr>
          <w:hyperlink w:anchor="_Toc184272868" w:history="1">
            <w:r w:rsidR="0067013E">
              <w:rPr>
                <w:rStyle w:val="Hyperlink"/>
              </w:rPr>
              <w:t>3.2 Information Literacy Skills</w:t>
            </w:r>
            <w:r w:rsidR="0067013E">
              <w:tab/>
            </w:r>
            <w:r w:rsidR="0067013E">
              <w:fldChar w:fldCharType="begin"/>
            </w:r>
            <w:r w:rsidR="0067013E">
              <w:instrText xml:space="preserve"> PAGEREF _Toc184272868 \h </w:instrText>
            </w:r>
            <w:r w:rsidR="0067013E">
              <w:fldChar w:fldCharType="separate"/>
            </w:r>
            <w:r w:rsidR="0067013E">
              <w:t>50</w:t>
            </w:r>
            <w:r w:rsidR="0067013E">
              <w:fldChar w:fldCharType="end"/>
            </w:r>
          </w:hyperlink>
        </w:p>
        <w:p w14:paraId="596DBA74" w14:textId="77777777" w:rsidR="00B01D46" w:rsidRDefault="00FE757F">
          <w:pPr>
            <w:pStyle w:val="TOC2"/>
            <w:rPr>
              <w:rFonts w:eastAsiaTheme="minorEastAsia"/>
              <w:color w:val="auto"/>
            </w:rPr>
          </w:pPr>
          <w:hyperlink w:anchor="_Toc184272869" w:history="1">
            <w:r w:rsidR="0067013E">
              <w:rPr>
                <w:rStyle w:val="Hyperlink"/>
              </w:rPr>
              <w:t>3.3 History of Information Literacy Skills</w:t>
            </w:r>
            <w:r w:rsidR="0067013E">
              <w:tab/>
            </w:r>
            <w:r w:rsidR="0067013E">
              <w:fldChar w:fldCharType="begin"/>
            </w:r>
            <w:r w:rsidR="0067013E">
              <w:instrText xml:space="preserve"> PAGEREF _Toc184272869 \h </w:instrText>
            </w:r>
            <w:r w:rsidR="0067013E">
              <w:fldChar w:fldCharType="separate"/>
            </w:r>
            <w:r w:rsidR="0067013E">
              <w:t>51</w:t>
            </w:r>
            <w:r w:rsidR="0067013E">
              <w:fldChar w:fldCharType="end"/>
            </w:r>
          </w:hyperlink>
        </w:p>
        <w:p w14:paraId="6196D612" w14:textId="77777777" w:rsidR="00B01D46" w:rsidRDefault="00FE757F">
          <w:pPr>
            <w:pStyle w:val="TOC2"/>
            <w:rPr>
              <w:rFonts w:eastAsiaTheme="minorEastAsia"/>
              <w:color w:val="auto"/>
            </w:rPr>
          </w:pPr>
          <w:hyperlink w:anchor="_Toc184272870" w:history="1">
            <w:r w:rsidR="0067013E">
              <w:rPr>
                <w:rStyle w:val="Hyperlink"/>
              </w:rPr>
              <w:t>3.4 Status of Information Literacy Skills in Universities</w:t>
            </w:r>
            <w:r w:rsidR="0067013E">
              <w:tab/>
            </w:r>
            <w:r w:rsidR="0067013E">
              <w:fldChar w:fldCharType="begin"/>
            </w:r>
            <w:r w:rsidR="0067013E">
              <w:instrText xml:space="preserve"> PAGEREF _Toc184272870 \h </w:instrText>
            </w:r>
            <w:r w:rsidR="0067013E">
              <w:fldChar w:fldCharType="separate"/>
            </w:r>
            <w:r w:rsidR="0067013E">
              <w:t>53</w:t>
            </w:r>
            <w:r w:rsidR="0067013E">
              <w:fldChar w:fldCharType="end"/>
            </w:r>
          </w:hyperlink>
        </w:p>
        <w:p w14:paraId="729F59E3" w14:textId="77777777" w:rsidR="00B01D46" w:rsidRDefault="00FE757F">
          <w:pPr>
            <w:pStyle w:val="TOC2"/>
            <w:rPr>
              <w:rFonts w:eastAsiaTheme="minorEastAsia"/>
              <w:color w:val="auto"/>
            </w:rPr>
          </w:pPr>
          <w:hyperlink w:anchor="_Toc184272871" w:history="1">
            <w:r w:rsidR="0067013E">
              <w:rPr>
                <w:rStyle w:val="Hyperlink"/>
              </w:rPr>
              <w:t>3.5 ILS Policy and Curricula Facilitating ILS in Universities</w:t>
            </w:r>
            <w:r w:rsidR="0067013E">
              <w:tab/>
            </w:r>
            <w:r w:rsidR="0067013E">
              <w:fldChar w:fldCharType="begin"/>
            </w:r>
            <w:r w:rsidR="0067013E">
              <w:instrText xml:space="preserve"> PAGEREF _Toc184272871 \h </w:instrText>
            </w:r>
            <w:r w:rsidR="0067013E">
              <w:fldChar w:fldCharType="separate"/>
            </w:r>
            <w:r w:rsidR="0067013E">
              <w:t>59</w:t>
            </w:r>
            <w:r w:rsidR="0067013E">
              <w:fldChar w:fldCharType="end"/>
            </w:r>
          </w:hyperlink>
        </w:p>
        <w:p w14:paraId="66484223" w14:textId="77777777" w:rsidR="00B01D46" w:rsidRDefault="00FE757F">
          <w:pPr>
            <w:pStyle w:val="TOC3"/>
            <w:rPr>
              <w:rFonts w:ascii="Times New Roman" w:eastAsiaTheme="minorEastAsia" w:hAnsi="Times New Roman" w:cs="Times New Roman"/>
              <w:sz w:val="24"/>
              <w:szCs w:val="24"/>
            </w:rPr>
          </w:pPr>
          <w:hyperlink w:anchor="_Toc184272872" w:history="1">
            <w:r w:rsidR="0067013E">
              <w:rPr>
                <w:rStyle w:val="Hyperlink"/>
                <w:rFonts w:ascii="Times New Roman" w:hAnsi="Times New Roman" w:cs="Times New Roman"/>
                <w:sz w:val="24"/>
                <w:szCs w:val="24"/>
              </w:rPr>
              <w:t>3.5.1 Policy and Regulatory Framework available to Facilitate ILS in Universities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_Toc184272872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59</w:t>
            </w:r>
            <w:r w:rsidR="0067013E">
              <w:rPr>
                <w:rFonts w:ascii="Times New Roman" w:hAnsi="Times New Roman" w:cs="Times New Roman"/>
                <w:sz w:val="24"/>
                <w:szCs w:val="24"/>
              </w:rPr>
              <w:fldChar w:fldCharType="end"/>
            </w:r>
          </w:hyperlink>
        </w:p>
        <w:p w14:paraId="7D1E2F79" w14:textId="77777777" w:rsidR="00B01D46" w:rsidRDefault="00FE757F">
          <w:pPr>
            <w:pStyle w:val="TOC3"/>
            <w:rPr>
              <w:rFonts w:ascii="Times New Roman" w:eastAsiaTheme="minorEastAsia" w:hAnsi="Times New Roman" w:cs="Times New Roman"/>
              <w:sz w:val="24"/>
              <w:szCs w:val="24"/>
            </w:rPr>
          </w:pPr>
          <w:hyperlink w:anchor="_Toc184272873" w:history="1">
            <w:r w:rsidR="0067013E">
              <w:rPr>
                <w:rStyle w:val="Hyperlink"/>
                <w:rFonts w:ascii="Times New Roman" w:hAnsi="Times New Roman" w:cs="Times New Roman"/>
                <w:sz w:val="24"/>
                <w:szCs w:val="24"/>
              </w:rPr>
              <w:t>3.5.2 Information Literacy Skills Curriculum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_Toc184272873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62</w:t>
            </w:r>
            <w:r w:rsidR="0067013E">
              <w:rPr>
                <w:rFonts w:ascii="Times New Roman" w:hAnsi="Times New Roman" w:cs="Times New Roman"/>
                <w:sz w:val="24"/>
                <w:szCs w:val="24"/>
              </w:rPr>
              <w:fldChar w:fldCharType="end"/>
            </w:r>
          </w:hyperlink>
        </w:p>
        <w:p w14:paraId="0A103157" w14:textId="77777777" w:rsidR="00B01D46" w:rsidRDefault="00FE757F">
          <w:pPr>
            <w:pStyle w:val="TOC2"/>
            <w:rPr>
              <w:rFonts w:eastAsiaTheme="minorEastAsia"/>
              <w:color w:val="auto"/>
            </w:rPr>
          </w:pPr>
          <w:hyperlink w:anchor="_Toc184272874" w:history="1">
            <w:r w:rsidR="0067013E">
              <w:rPr>
                <w:rStyle w:val="Hyperlink"/>
              </w:rPr>
              <w:t>3.6 ILS Understanding</w:t>
            </w:r>
            <w:r w:rsidR="0067013E">
              <w:tab/>
            </w:r>
            <w:r w:rsidR="0067013E">
              <w:fldChar w:fldCharType="begin"/>
            </w:r>
            <w:r w:rsidR="0067013E">
              <w:instrText xml:space="preserve"> PAGEREF _Toc184272874 \h </w:instrText>
            </w:r>
            <w:r w:rsidR="0067013E">
              <w:fldChar w:fldCharType="separate"/>
            </w:r>
            <w:r w:rsidR="0067013E">
              <w:t>66</w:t>
            </w:r>
            <w:r w:rsidR="0067013E">
              <w:fldChar w:fldCharType="end"/>
            </w:r>
          </w:hyperlink>
        </w:p>
        <w:p w14:paraId="2A419E2A" w14:textId="77777777" w:rsidR="00B01D46" w:rsidRDefault="00FE757F">
          <w:pPr>
            <w:pStyle w:val="TOC2"/>
            <w:rPr>
              <w:rFonts w:eastAsiaTheme="minorEastAsia"/>
              <w:color w:val="auto"/>
            </w:rPr>
          </w:pPr>
          <w:hyperlink w:anchor="_Toc184272875" w:history="1">
            <w:r w:rsidR="0067013E">
              <w:rPr>
                <w:rStyle w:val="Hyperlink"/>
              </w:rPr>
              <w:t>3.7 ILS Knowledge and Skills Possessed by Staff</w:t>
            </w:r>
            <w:r w:rsidR="0067013E">
              <w:tab/>
            </w:r>
            <w:r w:rsidR="0067013E">
              <w:fldChar w:fldCharType="begin"/>
            </w:r>
            <w:r w:rsidR="0067013E">
              <w:instrText xml:space="preserve"> PAGEREF _Toc184272875 \h </w:instrText>
            </w:r>
            <w:r w:rsidR="0067013E">
              <w:fldChar w:fldCharType="separate"/>
            </w:r>
            <w:r w:rsidR="0067013E">
              <w:t>69</w:t>
            </w:r>
            <w:r w:rsidR="0067013E">
              <w:fldChar w:fldCharType="end"/>
            </w:r>
          </w:hyperlink>
        </w:p>
        <w:p w14:paraId="325D76A4" w14:textId="77777777" w:rsidR="00B01D46" w:rsidRDefault="00FE757F">
          <w:pPr>
            <w:pStyle w:val="TOC2"/>
            <w:rPr>
              <w:rFonts w:eastAsiaTheme="minorEastAsia"/>
              <w:color w:val="auto"/>
            </w:rPr>
          </w:pPr>
          <w:hyperlink w:anchor="_Toc184272876" w:history="1">
            <w:r w:rsidR="0067013E">
              <w:rPr>
                <w:rStyle w:val="Hyperlink"/>
              </w:rPr>
              <w:t>3.8 Integration of ICT and ILS</w:t>
            </w:r>
            <w:r w:rsidR="0067013E">
              <w:tab/>
            </w:r>
            <w:r w:rsidR="0067013E">
              <w:fldChar w:fldCharType="begin"/>
            </w:r>
            <w:r w:rsidR="0067013E">
              <w:instrText xml:space="preserve"> PAGEREF _Toc184272876 \h </w:instrText>
            </w:r>
            <w:r w:rsidR="0067013E">
              <w:fldChar w:fldCharType="separate"/>
            </w:r>
            <w:r w:rsidR="0067013E">
              <w:t>71</w:t>
            </w:r>
            <w:r w:rsidR="0067013E">
              <w:fldChar w:fldCharType="end"/>
            </w:r>
          </w:hyperlink>
        </w:p>
        <w:p w14:paraId="469D530F" w14:textId="77777777" w:rsidR="00B01D46" w:rsidRDefault="00FE757F">
          <w:pPr>
            <w:pStyle w:val="TOC2"/>
            <w:rPr>
              <w:rFonts w:eastAsiaTheme="minorEastAsia"/>
              <w:color w:val="auto"/>
            </w:rPr>
          </w:pPr>
          <w:hyperlink w:anchor="_Toc184272877" w:history="1">
            <w:r w:rsidR="0067013E">
              <w:rPr>
                <w:rStyle w:val="Hyperlink"/>
              </w:rPr>
              <w:t>3.9 Chapter Summary</w:t>
            </w:r>
            <w:r w:rsidR="0067013E">
              <w:tab/>
            </w:r>
            <w:r w:rsidR="0067013E">
              <w:fldChar w:fldCharType="begin"/>
            </w:r>
            <w:r w:rsidR="0067013E">
              <w:instrText xml:space="preserve"> PAGEREF _Toc184272877 \h </w:instrText>
            </w:r>
            <w:r w:rsidR="0067013E">
              <w:fldChar w:fldCharType="separate"/>
            </w:r>
            <w:r w:rsidR="0067013E">
              <w:t>76</w:t>
            </w:r>
            <w:r w:rsidR="0067013E">
              <w:fldChar w:fldCharType="end"/>
            </w:r>
          </w:hyperlink>
        </w:p>
        <w:p w14:paraId="1C884C5B" w14:textId="77777777" w:rsidR="00B01D46" w:rsidRDefault="00FE757F">
          <w:pPr>
            <w:pStyle w:val="TOC1"/>
            <w:tabs>
              <w:tab w:val="clear" w:pos="9356"/>
              <w:tab w:val="right" w:leader="dot" w:pos="8100"/>
            </w:tabs>
            <w:spacing w:line="360" w:lineRule="auto"/>
            <w:ind w:right="65"/>
            <w:rPr>
              <w:rFonts w:eastAsiaTheme="minorEastAsia"/>
            </w:rPr>
          </w:pPr>
          <w:hyperlink w:anchor="_Toc184272878" w:history="1">
            <w:r w:rsidR="0067013E">
              <w:rPr>
                <w:rStyle w:val="Hyperlink"/>
              </w:rPr>
              <w:t>CHAPTER FOUR</w:t>
            </w:r>
            <w:r w:rsidR="0067013E">
              <w:tab/>
            </w:r>
            <w:r w:rsidR="0067013E">
              <w:fldChar w:fldCharType="begin"/>
            </w:r>
            <w:r w:rsidR="0067013E">
              <w:instrText xml:space="preserve"> PAGEREF _Toc184272878 \h </w:instrText>
            </w:r>
            <w:r w:rsidR="0067013E">
              <w:fldChar w:fldCharType="separate"/>
            </w:r>
            <w:r w:rsidR="0067013E">
              <w:t>78</w:t>
            </w:r>
            <w:r w:rsidR="0067013E">
              <w:fldChar w:fldCharType="end"/>
            </w:r>
          </w:hyperlink>
        </w:p>
        <w:p w14:paraId="33E5F3BC" w14:textId="77777777" w:rsidR="00B01D46" w:rsidRDefault="00FE757F">
          <w:pPr>
            <w:pStyle w:val="TOC1"/>
            <w:tabs>
              <w:tab w:val="clear" w:pos="9356"/>
              <w:tab w:val="right" w:leader="dot" w:pos="8100"/>
            </w:tabs>
            <w:spacing w:line="360" w:lineRule="auto"/>
            <w:ind w:right="65"/>
            <w:rPr>
              <w:rFonts w:eastAsiaTheme="minorEastAsia"/>
            </w:rPr>
          </w:pPr>
          <w:hyperlink w:anchor="_Toc184272879" w:history="1">
            <w:r w:rsidR="0067013E">
              <w:rPr>
                <w:rStyle w:val="Hyperlink"/>
              </w:rPr>
              <w:t>RESEARCH METHODOLOGY</w:t>
            </w:r>
            <w:r w:rsidR="0067013E">
              <w:tab/>
            </w:r>
            <w:r w:rsidR="0067013E">
              <w:fldChar w:fldCharType="begin"/>
            </w:r>
            <w:r w:rsidR="0067013E">
              <w:instrText xml:space="preserve"> PAGEREF _Toc184272879 \h </w:instrText>
            </w:r>
            <w:r w:rsidR="0067013E">
              <w:fldChar w:fldCharType="separate"/>
            </w:r>
            <w:r w:rsidR="0067013E">
              <w:t>78</w:t>
            </w:r>
            <w:r w:rsidR="0067013E">
              <w:fldChar w:fldCharType="end"/>
            </w:r>
          </w:hyperlink>
        </w:p>
        <w:p w14:paraId="17C44160" w14:textId="77777777" w:rsidR="00B01D46" w:rsidRDefault="00FE757F">
          <w:pPr>
            <w:pStyle w:val="TOC2"/>
            <w:rPr>
              <w:rFonts w:eastAsiaTheme="minorEastAsia"/>
              <w:color w:val="auto"/>
            </w:rPr>
          </w:pPr>
          <w:hyperlink w:anchor="_Toc184272880" w:history="1">
            <w:r w:rsidR="0067013E">
              <w:rPr>
                <w:rStyle w:val="Hyperlink"/>
              </w:rPr>
              <w:t>4.1 Introduction</w:t>
            </w:r>
            <w:r w:rsidR="0067013E">
              <w:tab/>
            </w:r>
            <w:r w:rsidR="0067013E">
              <w:fldChar w:fldCharType="begin"/>
            </w:r>
            <w:r w:rsidR="0067013E">
              <w:instrText xml:space="preserve"> PAGEREF _Toc184272880 \h </w:instrText>
            </w:r>
            <w:r w:rsidR="0067013E">
              <w:fldChar w:fldCharType="separate"/>
            </w:r>
            <w:r w:rsidR="0067013E">
              <w:t>78</w:t>
            </w:r>
            <w:r w:rsidR="0067013E">
              <w:fldChar w:fldCharType="end"/>
            </w:r>
          </w:hyperlink>
        </w:p>
        <w:p w14:paraId="5F0CBDB0" w14:textId="77777777" w:rsidR="00B01D46" w:rsidRDefault="00FE757F">
          <w:pPr>
            <w:pStyle w:val="TOC2"/>
            <w:rPr>
              <w:rFonts w:eastAsiaTheme="minorEastAsia"/>
              <w:color w:val="auto"/>
            </w:rPr>
          </w:pPr>
          <w:hyperlink w:anchor="_Toc184272881" w:history="1">
            <w:r w:rsidR="0067013E">
              <w:rPr>
                <w:rStyle w:val="Hyperlink"/>
              </w:rPr>
              <w:t>4.2 Research Paradigm</w:t>
            </w:r>
            <w:r w:rsidR="0067013E">
              <w:tab/>
            </w:r>
            <w:r w:rsidR="0067013E">
              <w:fldChar w:fldCharType="begin"/>
            </w:r>
            <w:r w:rsidR="0067013E">
              <w:instrText xml:space="preserve"> PAGEREF _Toc184272881 \h </w:instrText>
            </w:r>
            <w:r w:rsidR="0067013E">
              <w:fldChar w:fldCharType="separate"/>
            </w:r>
            <w:r w:rsidR="0067013E">
              <w:t>78</w:t>
            </w:r>
            <w:r w:rsidR="0067013E">
              <w:fldChar w:fldCharType="end"/>
            </w:r>
          </w:hyperlink>
        </w:p>
        <w:p w14:paraId="06D60386" w14:textId="77777777" w:rsidR="00B01D46" w:rsidRDefault="00FE757F">
          <w:pPr>
            <w:pStyle w:val="TOC3"/>
            <w:rPr>
              <w:rFonts w:ascii="Times New Roman" w:eastAsiaTheme="minorEastAsia" w:hAnsi="Times New Roman" w:cs="Times New Roman"/>
              <w:sz w:val="24"/>
              <w:szCs w:val="24"/>
            </w:rPr>
          </w:pPr>
          <w:hyperlink w:anchor="_Toc184272882" w:history="1">
            <w:r w:rsidR="0067013E">
              <w:rPr>
                <w:rStyle w:val="Hyperlink"/>
                <w:rFonts w:ascii="Times New Roman" w:hAnsi="Times New Roman" w:cs="Times New Roman"/>
                <w:sz w:val="24"/>
                <w:szCs w:val="24"/>
              </w:rPr>
              <w:t>4.2.1 Pragmatist Paradigm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_Toc184272882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80</w:t>
            </w:r>
            <w:r w:rsidR="0067013E">
              <w:rPr>
                <w:rFonts w:ascii="Times New Roman" w:hAnsi="Times New Roman" w:cs="Times New Roman"/>
                <w:sz w:val="24"/>
                <w:szCs w:val="24"/>
              </w:rPr>
              <w:fldChar w:fldCharType="end"/>
            </w:r>
          </w:hyperlink>
        </w:p>
        <w:p w14:paraId="5B51E573" w14:textId="77777777" w:rsidR="00B01D46" w:rsidRDefault="00FE757F">
          <w:pPr>
            <w:pStyle w:val="TOC2"/>
            <w:rPr>
              <w:rFonts w:eastAsiaTheme="minorEastAsia"/>
              <w:color w:val="auto"/>
            </w:rPr>
          </w:pPr>
          <w:hyperlink w:anchor="_Toc184272883" w:history="1">
            <w:r w:rsidR="0067013E">
              <w:rPr>
                <w:rStyle w:val="Hyperlink"/>
              </w:rPr>
              <w:t>4.3 Research Approaches</w:t>
            </w:r>
            <w:r w:rsidR="0067013E">
              <w:tab/>
            </w:r>
            <w:r w:rsidR="0067013E">
              <w:fldChar w:fldCharType="begin"/>
            </w:r>
            <w:r w:rsidR="0067013E">
              <w:instrText xml:space="preserve"> PAGEREF _Toc184272883 \h </w:instrText>
            </w:r>
            <w:r w:rsidR="0067013E">
              <w:fldChar w:fldCharType="separate"/>
            </w:r>
            <w:r w:rsidR="0067013E">
              <w:t>83</w:t>
            </w:r>
            <w:r w:rsidR="0067013E">
              <w:fldChar w:fldCharType="end"/>
            </w:r>
          </w:hyperlink>
        </w:p>
        <w:p w14:paraId="6FDC4856" w14:textId="77777777" w:rsidR="00B01D46" w:rsidRDefault="00FE757F">
          <w:pPr>
            <w:pStyle w:val="TOC3"/>
            <w:rPr>
              <w:rFonts w:ascii="Times New Roman" w:eastAsiaTheme="minorEastAsia" w:hAnsi="Times New Roman" w:cs="Times New Roman"/>
              <w:sz w:val="24"/>
              <w:szCs w:val="24"/>
            </w:rPr>
          </w:pPr>
          <w:hyperlink w:anchor="_Toc184272884" w:history="1">
            <w:r w:rsidR="0067013E">
              <w:rPr>
                <w:rStyle w:val="Hyperlink"/>
                <w:rFonts w:ascii="Times New Roman" w:hAnsi="Times New Roman" w:cs="Times New Roman"/>
                <w:sz w:val="24"/>
                <w:szCs w:val="24"/>
              </w:rPr>
              <w:t>4.3.1 Mixed Method</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_Toc184272884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85</w:t>
            </w:r>
            <w:r w:rsidR="0067013E">
              <w:rPr>
                <w:rFonts w:ascii="Times New Roman" w:hAnsi="Times New Roman" w:cs="Times New Roman"/>
                <w:sz w:val="24"/>
                <w:szCs w:val="24"/>
              </w:rPr>
              <w:fldChar w:fldCharType="end"/>
            </w:r>
          </w:hyperlink>
        </w:p>
        <w:p w14:paraId="70D00A18" w14:textId="77777777" w:rsidR="00B01D46" w:rsidRDefault="00FE757F">
          <w:pPr>
            <w:pStyle w:val="TOC2"/>
            <w:rPr>
              <w:rFonts w:eastAsiaTheme="minorEastAsia"/>
              <w:color w:val="auto"/>
            </w:rPr>
          </w:pPr>
          <w:hyperlink w:anchor="_Toc184272885" w:history="1">
            <w:r w:rsidR="0067013E">
              <w:rPr>
                <w:rStyle w:val="Hyperlink"/>
              </w:rPr>
              <w:t>4.4 Research Design</w:t>
            </w:r>
            <w:r w:rsidR="0067013E">
              <w:tab/>
            </w:r>
            <w:r w:rsidR="0067013E">
              <w:fldChar w:fldCharType="begin"/>
            </w:r>
            <w:r w:rsidR="0067013E">
              <w:instrText xml:space="preserve"> PAGEREF _Toc184272885 \h </w:instrText>
            </w:r>
            <w:r w:rsidR="0067013E">
              <w:fldChar w:fldCharType="separate"/>
            </w:r>
            <w:r w:rsidR="0067013E">
              <w:t>88</w:t>
            </w:r>
            <w:r w:rsidR="0067013E">
              <w:fldChar w:fldCharType="end"/>
            </w:r>
          </w:hyperlink>
        </w:p>
        <w:p w14:paraId="7820287C" w14:textId="77777777" w:rsidR="00B01D46" w:rsidRDefault="00FE757F">
          <w:pPr>
            <w:pStyle w:val="TOC3"/>
            <w:rPr>
              <w:rFonts w:ascii="Times New Roman" w:eastAsiaTheme="minorEastAsia" w:hAnsi="Times New Roman" w:cs="Times New Roman"/>
              <w:sz w:val="24"/>
              <w:szCs w:val="24"/>
            </w:rPr>
          </w:pPr>
          <w:hyperlink w:anchor="_Toc184272886" w:history="1">
            <w:r w:rsidR="0067013E">
              <w:rPr>
                <w:rStyle w:val="Hyperlink"/>
                <w:rFonts w:ascii="Times New Roman" w:hAnsi="Times New Roman" w:cs="Times New Roman"/>
                <w:sz w:val="24"/>
                <w:szCs w:val="24"/>
              </w:rPr>
              <w:t>4.4.1 Case Study Research Design</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_Toc184272886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89</w:t>
            </w:r>
            <w:r w:rsidR="0067013E">
              <w:rPr>
                <w:rFonts w:ascii="Times New Roman" w:hAnsi="Times New Roman" w:cs="Times New Roman"/>
                <w:sz w:val="24"/>
                <w:szCs w:val="24"/>
              </w:rPr>
              <w:fldChar w:fldCharType="end"/>
            </w:r>
          </w:hyperlink>
        </w:p>
        <w:p w14:paraId="04BE214D" w14:textId="77777777" w:rsidR="00B01D46" w:rsidRDefault="00FE757F">
          <w:pPr>
            <w:pStyle w:val="TOC3"/>
            <w:rPr>
              <w:rFonts w:ascii="Times New Roman" w:eastAsiaTheme="minorEastAsia" w:hAnsi="Times New Roman" w:cs="Times New Roman"/>
              <w:sz w:val="24"/>
              <w:szCs w:val="24"/>
            </w:rPr>
          </w:pPr>
          <w:hyperlink w:anchor="_Toc184272887" w:history="1">
            <w:r w:rsidR="0067013E">
              <w:rPr>
                <w:rStyle w:val="Hyperlink"/>
                <w:rFonts w:ascii="Times New Roman" w:hAnsi="Times New Roman" w:cs="Times New Roman"/>
                <w:sz w:val="24"/>
                <w:szCs w:val="24"/>
              </w:rPr>
              <w:t>4.4.2 Descriptive Survey Design</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_Toc184272887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91</w:t>
            </w:r>
            <w:r w:rsidR="0067013E">
              <w:rPr>
                <w:rFonts w:ascii="Times New Roman" w:hAnsi="Times New Roman" w:cs="Times New Roman"/>
                <w:sz w:val="24"/>
                <w:szCs w:val="24"/>
              </w:rPr>
              <w:fldChar w:fldCharType="end"/>
            </w:r>
          </w:hyperlink>
        </w:p>
        <w:p w14:paraId="0D102B04" w14:textId="77777777" w:rsidR="00B01D46" w:rsidRDefault="00FE757F">
          <w:pPr>
            <w:pStyle w:val="TOC2"/>
            <w:rPr>
              <w:rFonts w:eastAsiaTheme="minorEastAsia"/>
              <w:color w:val="auto"/>
            </w:rPr>
          </w:pPr>
          <w:hyperlink w:anchor="_Toc184272888" w:history="1">
            <w:r w:rsidR="0067013E">
              <w:rPr>
                <w:rStyle w:val="Hyperlink"/>
              </w:rPr>
              <w:t>4.5 Population of the Study</w:t>
            </w:r>
            <w:r w:rsidR="0067013E">
              <w:tab/>
            </w:r>
            <w:r w:rsidR="0067013E">
              <w:fldChar w:fldCharType="begin"/>
            </w:r>
            <w:r w:rsidR="0067013E">
              <w:instrText xml:space="preserve"> PAGEREF _Toc184272888 \h </w:instrText>
            </w:r>
            <w:r w:rsidR="0067013E">
              <w:fldChar w:fldCharType="separate"/>
            </w:r>
            <w:r w:rsidR="0067013E">
              <w:t>92</w:t>
            </w:r>
            <w:r w:rsidR="0067013E">
              <w:fldChar w:fldCharType="end"/>
            </w:r>
          </w:hyperlink>
        </w:p>
        <w:p w14:paraId="404EFA17" w14:textId="77777777" w:rsidR="00B01D46" w:rsidRDefault="00FE757F">
          <w:pPr>
            <w:pStyle w:val="TOC3"/>
            <w:rPr>
              <w:rFonts w:ascii="Times New Roman" w:eastAsiaTheme="minorEastAsia" w:hAnsi="Times New Roman" w:cs="Times New Roman"/>
              <w:sz w:val="24"/>
              <w:szCs w:val="24"/>
            </w:rPr>
          </w:pPr>
          <w:hyperlink w:anchor="_Toc184272889" w:history="1">
            <w:r w:rsidR="0067013E">
              <w:rPr>
                <w:rStyle w:val="Hyperlink"/>
                <w:rFonts w:ascii="Times New Roman" w:hAnsi="Times New Roman" w:cs="Times New Roman"/>
                <w:sz w:val="24"/>
                <w:szCs w:val="24"/>
              </w:rPr>
              <w:t>4.5.1 Medicine, Dentistry, and Nursing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_Toc184272889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92</w:t>
            </w:r>
            <w:r w:rsidR="0067013E">
              <w:rPr>
                <w:rFonts w:ascii="Times New Roman" w:hAnsi="Times New Roman" w:cs="Times New Roman"/>
                <w:sz w:val="24"/>
                <w:szCs w:val="24"/>
              </w:rPr>
              <w:fldChar w:fldCharType="end"/>
            </w:r>
          </w:hyperlink>
        </w:p>
        <w:p w14:paraId="30DD22B1" w14:textId="77777777" w:rsidR="00B01D46" w:rsidRDefault="00FE757F">
          <w:pPr>
            <w:pStyle w:val="TOC3"/>
            <w:rPr>
              <w:rFonts w:ascii="Times New Roman" w:eastAsiaTheme="minorEastAsia" w:hAnsi="Times New Roman" w:cs="Times New Roman"/>
              <w:sz w:val="24"/>
              <w:szCs w:val="24"/>
            </w:rPr>
          </w:pPr>
          <w:hyperlink w:anchor="_Toc184272890" w:history="1">
            <w:r w:rsidR="0067013E">
              <w:rPr>
                <w:rStyle w:val="Hyperlink"/>
                <w:rFonts w:ascii="Times New Roman" w:hAnsi="Times New Roman" w:cs="Times New Roman"/>
                <w:sz w:val="24"/>
                <w:szCs w:val="24"/>
              </w:rPr>
              <w:t>4.5.2 Heads of Departments and Lecturers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_Toc184272890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93</w:t>
            </w:r>
            <w:r w:rsidR="0067013E">
              <w:rPr>
                <w:rFonts w:ascii="Times New Roman" w:hAnsi="Times New Roman" w:cs="Times New Roman"/>
                <w:sz w:val="24"/>
                <w:szCs w:val="24"/>
              </w:rPr>
              <w:fldChar w:fldCharType="end"/>
            </w:r>
          </w:hyperlink>
        </w:p>
        <w:p w14:paraId="2E88AE14" w14:textId="77777777" w:rsidR="00B01D46" w:rsidRDefault="00FE757F">
          <w:pPr>
            <w:pStyle w:val="TOC3"/>
            <w:rPr>
              <w:rFonts w:ascii="Times New Roman" w:eastAsiaTheme="minorEastAsia" w:hAnsi="Times New Roman" w:cs="Times New Roman"/>
              <w:sz w:val="24"/>
              <w:szCs w:val="24"/>
            </w:rPr>
          </w:pPr>
          <w:hyperlink w:anchor="_Toc184272891" w:history="1">
            <w:r w:rsidR="0067013E">
              <w:rPr>
                <w:rStyle w:val="Hyperlink"/>
                <w:rFonts w:ascii="Times New Roman" w:hAnsi="Times New Roman" w:cs="Times New Roman"/>
                <w:sz w:val="24"/>
                <w:szCs w:val="24"/>
              </w:rPr>
              <w:t>4.5.3 University Librarians and Medical Librarians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_Toc184272891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95</w:t>
            </w:r>
            <w:r w:rsidR="0067013E">
              <w:rPr>
                <w:rFonts w:ascii="Times New Roman" w:hAnsi="Times New Roman" w:cs="Times New Roman"/>
                <w:sz w:val="24"/>
                <w:szCs w:val="24"/>
              </w:rPr>
              <w:fldChar w:fldCharType="end"/>
            </w:r>
          </w:hyperlink>
        </w:p>
        <w:p w14:paraId="4C8AFD92" w14:textId="77777777" w:rsidR="00B01D46" w:rsidRDefault="00FE757F">
          <w:pPr>
            <w:pStyle w:val="TOC2"/>
            <w:rPr>
              <w:rFonts w:eastAsiaTheme="minorEastAsia"/>
              <w:color w:val="auto"/>
            </w:rPr>
          </w:pPr>
          <w:hyperlink w:anchor="_Toc184272892" w:history="1">
            <w:r w:rsidR="0067013E">
              <w:rPr>
                <w:rStyle w:val="Hyperlink"/>
              </w:rPr>
              <w:t>4.6 Sampling Procedure</w:t>
            </w:r>
            <w:r w:rsidR="0067013E">
              <w:tab/>
            </w:r>
            <w:r w:rsidR="0067013E">
              <w:fldChar w:fldCharType="begin"/>
            </w:r>
            <w:r w:rsidR="0067013E">
              <w:instrText xml:space="preserve"> PAGEREF _Toc184272892 \h </w:instrText>
            </w:r>
            <w:r w:rsidR="0067013E">
              <w:fldChar w:fldCharType="separate"/>
            </w:r>
            <w:r w:rsidR="0067013E">
              <w:t>95</w:t>
            </w:r>
            <w:r w:rsidR="0067013E">
              <w:fldChar w:fldCharType="end"/>
            </w:r>
          </w:hyperlink>
        </w:p>
        <w:p w14:paraId="0B2EAEBF" w14:textId="77777777" w:rsidR="00B01D46" w:rsidRDefault="00FE757F">
          <w:pPr>
            <w:pStyle w:val="TOC3"/>
            <w:rPr>
              <w:rFonts w:ascii="Times New Roman" w:eastAsiaTheme="minorEastAsia" w:hAnsi="Times New Roman" w:cs="Times New Roman"/>
              <w:sz w:val="24"/>
              <w:szCs w:val="24"/>
            </w:rPr>
          </w:pPr>
          <w:hyperlink w:anchor="_Toc184272893" w:history="1">
            <w:r w:rsidR="0067013E">
              <w:rPr>
                <w:rStyle w:val="Hyperlink"/>
                <w:rFonts w:ascii="Times New Roman" w:hAnsi="Times New Roman" w:cs="Times New Roman"/>
                <w:sz w:val="24"/>
                <w:szCs w:val="24"/>
              </w:rPr>
              <w:t>4.6.1 Sample Size</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_Toc184272893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98</w:t>
            </w:r>
            <w:r w:rsidR="0067013E">
              <w:rPr>
                <w:rFonts w:ascii="Times New Roman" w:hAnsi="Times New Roman" w:cs="Times New Roman"/>
                <w:sz w:val="24"/>
                <w:szCs w:val="24"/>
              </w:rPr>
              <w:fldChar w:fldCharType="end"/>
            </w:r>
          </w:hyperlink>
        </w:p>
        <w:p w14:paraId="18F28DA9"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894" w:history="1">
            <w:r w:rsidR="0067013E">
              <w:rPr>
                <w:rStyle w:val="Hyperlink"/>
                <w:rFonts w:ascii="Times New Roman" w:hAnsi="Times New Roman" w:cs="Times New Roman"/>
                <w:sz w:val="24"/>
                <w:szCs w:val="24"/>
              </w:rPr>
              <w:t>4.6.1.1 Sample Size for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_Toc184272894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98</w:t>
            </w:r>
            <w:r w:rsidR="0067013E">
              <w:rPr>
                <w:rFonts w:ascii="Times New Roman" w:hAnsi="Times New Roman" w:cs="Times New Roman"/>
                <w:sz w:val="24"/>
                <w:szCs w:val="24"/>
              </w:rPr>
              <w:fldChar w:fldCharType="end"/>
            </w:r>
          </w:hyperlink>
        </w:p>
        <w:p w14:paraId="2C314FAF"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895" w:history="1">
            <w:r w:rsidR="0067013E">
              <w:rPr>
                <w:rStyle w:val="Hyperlink"/>
                <w:rFonts w:ascii="Times New Roman" w:hAnsi="Times New Roman" w:cs="Times New Roman"/>
                <w:sz w:val="24"/>
                <w:szCs w:val="24"/>
              </w:rPr>
              <w:t>4.6.1.2 Sampling Procedure of Lecturers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_Toc184272895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100</w:t>
            </w:r>
            <w:r w:rsidR="0067013E">
              <w:rPr>
                <w:rFonts w:ascii="Times New Roman" w:hAnsi="Times New Roman" w:cs="Times New Roman"/>
                <w:sz w:val="24"/>
                <w:szCs w:val="24"/>
              </w:rPr>
              <w:fldChar w:fldCharType="end"/>
            </w:r>
          </w:hyperlink>
        </w:p>
        <w:p w14:paraId="7ACAA464"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896" w:history="1">
            <w:r w:rsidR="0067013E">
              <w:rPr>
                <w:rStyle w:val="Hyperlink"/>
                <w:rFonts w:ascii="Times New Roman" w:hAnsi="Times New Roman" w:cs="Times New Roman"/>
                <w:sz w:val="24"/>
                <w:szCs w:val="24"/>
              </w:rPr>
              <w:t>4.6.1.3 Sampling Procedure of University Librarians, Medical Librarians and HODs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_Toc184272896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101</w:t>
            </w:r>
            <w:r w:rsidR="0067013E">
              <w:rPr>
                <w:rFonts w:ascii="Times New Roman" w:hAnsi="Times New Roman" w:cs="Times New Roman"/>
                <w:sz w:val="24"/>
                <w:szCs w:val="24"/>
              </w:rPr>
              <w:fldChar w:fldCharType="end"/>
            </w:r>
          </w:hyperlink>
        </w:p>
        <w:p w14:paraId="4B119CE5" w14:textId="77777777" w:rsidR="00B01D46" w:rsidRDefault="00FE757F">
          <w:pPr>
            <w:pStyle w:val="TOC2"/>
            <w:rPr>
              <w:rFonts w:eastAsiaTheme="minorEastAsia"/>
              <w:color w:val="auto"/>
            </w:rPr>
          </w:pPr>
          <w:hyperlink w:anchor="_Toc184272897" w:history="1">
            <w:r w:rsidR="0067013E">
              <w:rPr>
                <w:rStyle w:val="Hyperlink"/>
              </w:rPr>
              <w:t>4.7 Data Collection Methods</w:t>
            </w:r>
            <w:r w:rsidR="0067013E">
              <w:tab/>
            </w:r>
            <w:r w:rsidR="0067013E">
              <w:fldChar w:fldCharType="begin"/>
            </w:r>
            <w:r w:rsidR="0067013E">
              <w:instrText xml:space="preserve"> PAGEREF _Toc184272897 \h </w:instrText>
            </w:r>
            <w:r w:rsidR="0067013E">
              <w:fldChar w:fldCharType="separate"/>
            </w:r>
            <w:r w:rsidR="0067013E">
              <w:t>101</w:t>
            </w:r>
            <w:r w:rsidR="0067013E">
              <w:fldChar w:fldCharType="end"/>
            </w:r>
          </w:hyperlink>
        </w:p>
        <w:p w14:paraId="7DBCCDBC" w14:textId="77777777" w:rsidR="00B01D46" w:rsidRDefault="00FE757F">
          <w:pPr>
            <w:pStyle w:val="TOC3"/>
            <w:rPr>
              <w:rFonts w:ascii="Times New Roman" w:eastAsiaTheme="minorEastAsia" w:hAnsi="Times New Roman" w:cs="Times New Roman"/>
              <w:sz w:val="24"/>
              <w:szCs w:val="24"/>
            </w:rPr>
          </w:pPr>
          <w:hyperlink w:anchor="_Toc184272898" w:history="1">
            <w:r w:rsidR="0067013E">
              <w:rPr>
                <w:rStyle w:val="Hyperlink"/>
                <w:rFonts w:ascii="Times New Roman" w:hAnsi="Times New Roman" w:cs="Times New Roman"/>
                <w:sz w:val="24"/>
                <w:szCs w:val="24"/>
              </w:rPr>
              <w:t>4.7.1 Interviews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_Toc184272898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102</w:t>
            </w:r>
            <w:r w:rsidR="0067013E">
              <w:rPr>
                <w:rFonts w:ascii="Times New Roman" w:hAnsi="Times New Roman" w:cs="Times New Roman"/>
                <w:sz w:val="24"/>
                <w:szCs w:val="24"/>
              </w:rPr>
              <w:fldChar w:fldCharType="end"/>
            </w:r>
          </w:hyperlink>
        </w:p>
        <w:p w14:paraId="4F2DAF9D" w14:textId="77777777" w:rsidR="00B01D46" w:rsidRDefault="00FE757F">
          <w:pPr>
            <w:pStyle w:val="TOC3"/>
            <w:rPr>
              <w:rFonts w:ascii="Times New Roman" w:eastAsiaTheme="minorEastAsia" w:hAnsi="Times New Roman" w:cs="Times New Roman"/>
              <w:sz w:val="24"/>
              <w:szCs w:val="24"/>
            </w:rPr>
          </w:pPr>
          <w:hyperlink w:anchor="_Toc184272899" w:history="1">
            <w:r w:rsidR="0067013E">
              <w:rPr>
                <w:rStyle w:val="Hyperlink"/>
                <w:rFonts w:ascii="Times New Roman" w:hAnsi="Times New Roman" w:cs="Times New Roman"/>
                <w:sz w:val="24"/>
                <w:szCs w:val="24"/>
              </w:rPr>
              <w:t>4.7.2 Self- administered Questionnaire</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_Toc184272899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104</w:t>
            </w:r>
            <w:r w:rsidR="0067013E">
              <w:rPr>
                <w:rFonts w:ascii="Times New Roman" w:hAnsi="Times New Roman" w:cs="Times New Roman"/>
                <w:sz w:val="24"/>
                <w:szCs w:val="24"/>
              </w:rPr>
              <w:fldChar w:fldCharType="end"/>
            </w:r>
          </w:hyperlink>
        </w:p>
        <w:p w14:paraId="26B6FFDD" w14:textId="77777777" w:rsidR="00B01D46" w:rsidRDefault="00FE757F">
          <w:pPr>
            <w:pStyle w:val="TOC3"/>
            <w:rPr>
              <w:rFonts w:ascii="Times New Roman" w:eastAsiaTheme="minorEastAsia" w:hAnsi="Times New Roman" w:cs="Times New Roman"/>
              <w:sz w:val="24"/>
              <w:szCs w:val="24"/>
            </w:rPr>
          </w:pPr>
          <w:hyperlink w:anchor="_Toc184272900" w:history="1">
            <w:r w:rsidR="0067013E">
              <w:rPr>
                <w:rStyle w:val="Hyperlink"/>
                <w:rFonts w:ascii="Times New Roman" w:hAnsi="Times New Roman" w:cs="Times New Roman"/>
                <w:sz w:val="24"/>
                <w:szCs w:val="24"/>
              </w:rPr>
              <w:t>4.7.3 Document Analysis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_Toc184272900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106</w:t>
            </w:r>
            <w:r w:rsidR="0067013E">
              <w:rPr>
                <w:rFonts w:ascii="Times New Roman" w:hAnsi="Times New Roman" w:cs="Times New Roman"/>
                <w:sz w:val="24"/>
                <w:szCs w:val="24"/>
              </w:rPr>
              <w:fldChar w:fldCharType="end"/>
            </w:r>
          </w:hyperlink>
        </w:p>
        <w:p w14:paraId="5582955B" w14:textId="77777777" w:rsidR="00B01D46" w:rsidRDefault="00FE757F">
          <w:pPr>
            <w:pStyle w:val="TOC2"/>
            <w:rPr>
              <w:rFonts w:eastAsiaTheme="minorEastAsia"/>
              <w:color w:val="auto"/>
            </w:rPr>
          </w:pPr>
          <w:hyperlink w:anchor="_Toc184272901" w:history="1">
            <w:r w:rsidR="0067013E">
              <w:rPr>
                <w:rStyle w:val="Hyperlink"/>
              </w:rPr>
              <w:t>4.8 Data Collection Procedures</w:t>
            </w:r>
            <w:r w:rsidR="0067013E">
              <w:tab/>
            </w:r>
            <w:r w:rsidR="0067013E">
              <w:fldChar w:fldCharType="begin"/>
            </w:r>
            <w:r w:rsidR="0067013E">
              <w:instrText xml:space="preserve"> PAGEREF _Toc184272901 \h </w:instrText>
            </w:r>
            <w:r w:rsidR="0067013E">
              <w:fldChar w:fldCharType="separate"/>
            </w:r>
            <w:r w:rsidR="0067013E">
              <w:t>107</w:t>
            </w:r>
            <w:r w:rsidR="0067013E">
              <w:fldChar w:fldCharType="end"/>
            </w:r>
          </w:hyperlink>
        </w:p>
        <w:p w14:paraId="0DA89642" w14:textId="77777777" w:rsidR="00B01D46" w:rsidRDefault="00FE757F">
          <w:pPr>
            <w:pStyle w:val="TOC2"/>
            <w:rPr>
              <w:rFonts w:eastAsiaTheme="minorEastAsia"/>
              <w:color w:val="auto"/>
            </w:rPr>
          </w:pPr>
          <w:hyperlink w:anchor="_Toc184272902" w:history="1">
            <w:r w:rsidR="0067013E">
              <w:rPr>
                <w:rStyle w:val="Hyperlink"/>
              </w:rPr>
              <w:t>4.9 Data Validity and Reliability</w:t>
            </w:r>
            <w:r w:rsidR="0067013E">
              <w:tab/>
            </w:r>
            <w:r w:rsidR="0067013E">
              <w:fldChar w:fldCharType="begin"/>
            </w:r>
            <w:r w:rsidR="0067013E">
              <w:instrText xml:space="preserve"> PAGEREF _Toc184272902 \h </w:instrText>
            </w:r>
            <w:r w:rsidR="0067013E">
              <w:fldChar w:fldCharType="separate"/>
            </w:r>
            <w:r w:rsidR="0067013E">
              <w:t>109</w:t>
            </w:r>
            <w:r w:rsidR="0067013E">
              <w:fldChar w:fldCharType="end"/>
            </w:r>
          </w:hyperlink>
        </w:p>
        <w:p w14:paraId="17991F6C" w14:textId="77777777" w:rsidR="00B01D46" w:rsidRDefault="00FE757F">
          <w:pPr>
            <w:pStyle w:val="TOC3"/>
            <w:rPr>
              <w:rFonts w:ascii="Times New Roman" w:eastAsiaTheme="minorEastAsia" w:hAnsi="Times New Roman" w:cs="Times New Roman"/>
              <w:sz w:val="24"/>
              <w:szCs w:val="24"/>
            </w:rPr>
          </w:pPr>
          <w:hyperlink w:anchor="_Toc184272903" w:history="1">
            <w:r w:rsidR="0067013E">
              <w:rPr>
                <w:rStyle w:val="Hyperlink"/>
                <w:rFonts w:ascii="Times New Roman" w:hAnsi="Times New Roman" w:cs="Times New Roman"/>
                <w:sz w:val="24"/>
                <w:szCs w:val="24"/>
              </w:rPr>
              <w:t>4.9.1 Validity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_Toc184272903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109</w:t>
            </w:r>
            <w:r w:rsidR="0067013E">
              <w:rPr>
                <w:rFonts w:ascii="Times New Roman" w:hAnsi="Times New Roman" w:cs="Times New Roman"/>
                <w:sz w:val="24"/>
                <w:szCs w:val="24"/>
              </w:rPr>
              <w:fldChar w:fldCharType="end"/>
            </w:r>
          </w:hyperlink>
        </w:p>
        <w:p w14:paraId="6857239C" w14:textId="77777777" w:rsidR="00B01D46" w:rsidRDefault="00FE757F">
          <w:pPr>
            <w:pStyle w:val="TOC3"/>
            <w:rPr>
              <w:rFonts w:ascii="Times New Roman" w:eastAsiaTheme="minorEastAsia" w:hAnsi="Times New Roman" w:cs="Times New Roman"/>
              <w:sz w:val="24"/>
              <w:szCs w:val="24"/>
            </w:rPr>
          </w:pPr>
          <w:hyperlink w:anchor="_Toc184272904" w:history="1">
            <w:r w:rsidR="0067013E">
              <w:rPr>
                <w:rStyle w:val="Hyperlink"/>
                <w:rFonts w:ascii="Times New Roman" w:hAnsi="Times New Roman" w:cs="Times New Roman"/>
                <w:sz w:val="24"/>
                <w:szCs w:val="24"/>
              </w:rPr>
              <w:t>4.9.2 Reliability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_Toc184272904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110</w:t>
            </w:r>
            <w:r w:rsidR="0067013E">
              <w:rPr>
                <w:rFonts w:ascii="Times New Roman" w:hAnsi="Times New Roman" w:cs="Times New Roman"/>
                <w:sz w:val="24"/>
                <w:szCs w:val="24"/>
              </w:rPr>
              <w:fldChar w:fldCharType="end"/>
            </w:r>
          </w:hyperlink>
        </w:p>
        <w:p w14:paraId="71FE0C68" w14:textId="77777777" w:rsidR="00B01D46" w:rsidRDefault="00FE757F">
          <w:pPr>
            <w:pStyle w:val="TOC3"/>
            <w:rPr>
              <w:rFonts w:ascii="Times New Roman" w:eastAsiaTheme="minorEastAsia" w:hAnsi="Times New Roman" w:cs="Times New Roman"/>
              <w:sz w:val="24"/>
              <w:szCs w:val="24"/>
            </w:rPr>
          </w:pPr>
          <w:hyperlink w:anchor="_Toc184272905" w:history="1">
            <w:r w:rsidR="0067013E">
              <w:rPr>
                <w:rStyle w:val="Hyperlink"/>
                <w:rFonts w:ascii="Times New Roman" w:eastAsiaTheme="majorEastAsia" w:hAnsi="Times New Roman" w:cs="Times New Roman"/>
                <w:sz w:val="24"/>
                <w:szCs w:val="24"/>
              </w:rPr>
              <w:t>4.9.3 Pilot Study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_Toc184272905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111</w:t>
            </w:r>
            <w:r w:rsidR="0067013E">
              <w:rPr>
                <w:rFonts w:ascii="Times New Roman" w:hAnsi="Times New Roman" w:cs="Times New Roman"/>
                <w:sz w:val="24"/>
                <w:szCs w:val="24"/>
              </w:rPr>
              <w:fldChar w:fldCharType="end"/>
            </w:r>
          </w:hyperlink>
        </w:p>
        <w:p w14:paraId="3A2EF1D6" w14:textId="77777777" w:rsidR="00B01D46" w:rsidRDefault="00FE757F">
          <w:pPr>
            <w:pStyle w:val="TOC3"/>
            <w:rPr>
              <w:rFonts w:ascii="Times New Roman" w:eastAsiaTheme="minorEastAsia" w:hAnsi="Times New Roman" w:cs="Times New Roman"/>
              <w:sz w:val="24"/>
              <w:szCs w:val="24"/>
            </w:rPr>
          </w:pPr>
          <w:hyperlink w:anchor="_Toc184272906" w:history="1">
            <w:r w:rsidR="0067013E">
              <w:rPr>
                <w:rStyle w:val="Hyperlink"/>
                <w:rFonts w:ascii="Times New Roman" w:hAnsi="Times New Roman" w:cs="Times New Roman"/>
                <w:sz w:val="24"/>
                <w:szCs w:val="24"/>
              </w:rPr>
              <w:t>4.9.4 Cronbach’s Alpha</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_Toc184272906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112</w:t>
            </w:r>
            <w:r w:rsidR="0067013E">
              <w:rPr>
                <w:rFonts w:ascii="Times New Roman" w:hAnsi="Times New Roman" w:cs="Times New Roman"/>
                <w:sz w:val="24"/>
                <w:szCs w:val="24"/>
              </w:rPr>
              <w:fldChar w:fldCharType="end"/>
            </w:r>
          </w:hyperlink>
        </w:p>
        <w:p w14:paraId="3600628E" w14:textId="77777777" w:rsidR="00B01D46" w:rsidRDefault="00FE757F">
          <w:pPr>
            <w:pStyle w:val="TOC2"/>
            <w:rPr>
              <w:rFonts w:eastAsiaTheme="minorEastAsia"/>
              <w:color w:val="auto"/>
            </w:rPr>
          </w:pPr>
          <w:hyperlink w:anchor="_Toc184272907" w:history="1">
            <w:r w:rsidR="0067013E">
              <w:rPr>
                <w:rStyle w:val="Hyperlink"/>
              </w:rPr>
              <w:t>4.11 Data Analysis Strategies</w:t>
            </w:r>
            <w:r w:rsidR="0067013E">
              <w:tab/>
            </w:r>
            <w:r w:rsidR="0067013E">
              <w:fldChar w:fldCharType="begin"/>
            </w:r>
            <w:r w:rsidR="0067013E">
              <w:instrText xml:space="preserve"> PAGEREF _Toc184272907 \h </w:instrText>
            </w:r>
            <w:r w:rsidR="0067013E">
              <w:fldChar w:fldCharType="separate"/>
            </w:r>
            <w:r w:rsidR="0067013E">
              <w:t>113</w:t>
            </w:r>
            <w:r w:rsidR="0067013E">
              <w:fldChar w:fldCharType="end"/>
            </w:r>
          </w:hyperlink>
        </w:p>
        <w:p w14:paraId="47D1A3D3" w14:textId="77777777" w:rsidR="00B01D46" w:rsidRDefault="00FE757F">
          <w:pPr>
            <w:pStyle w:val="TOC2"/>
            <w:rPr>
              <w:rFonts w:eastAsiaTheme="minorEastAsia"/>
              <w:color w:val="auto"/>
            </w:rPr>
          </w:pPr>
          <w:hyperlink w:anchor="_Toc184272908" w:history="1">
            <w:r w:rsidR="0067013E">
              <w:rPr>
                <w:rStyle w:val="Hyperlink"/>
              </w:rPr>
              <w:t>4.12 Ethical Issues</w:t>
            </w:r>
            <w:r w:rsidR="0067013E">
              <w:tab/>
            </w:r>
            <w:r w:rsidR="0067013E">
              <w:fldChar w:fldCharType="begin"/>
            </w:r>
            <w:r w:rsidR="0067013E">
              <w:instrText xml:space="preserve"> PAGEREF _Toc184272908 \h </w:instrText>
            </w:r>
            <w:r w:rsidR="0067013E">
              <w:fldChar w:fldCharType="separate"/>
            </w:r>
            <w:r w:rsidR="0067013E">
              <w:t>115</w:t>
            </w:r>
            <w:r w:rsidR="0067013E">
              <w:fldChar w:fldCharType="end"/>
            </w:r>
          </w:hyperlink>
        </w:p>
        <w:p w14:paraId="50869F02" w14:textId="77777777" w:rsidR="00B01D46" w:rsidRDefault="00FE757F">
          <w:pPr>
            <w:pStyle w:val="TOC2"/>
            <w:rPr>
              <w:rFonts w:eastAsiaTheme="minorEastAsia"/>
              <w:color w:val="auto"/>
            </w:rPr>
          </w:pPr>
          <w:hyperlink w:anchor="_Toc184272909" w:history="1">
            <w:r w:rsidR="0067013E">
              <w:rPr>
                <w:rStyle w:val="Hyperlink"/>
              </w:rPr>
              <w:t>4.13 Chapter Summary</w:t>
            </w:r>
            <w:r w:rsidR="0067013E">
              <w:tab/>
            </w:r>
            <w:r w:rsidR="0067013E">
              <w:fldChar w:fldCharType="begin"/>
            </w:r>
            <w:r w:rsidR="0067013E">
              <w:instrText xml:space="preserve"> PAGEREF _Toc184272909 \h </w:instrText>
            </w:r>
            <w:r w:rsidR="0067013E">
              <w:fldChar w:fldCharType="separate"/>
            </w:r>
            <w:r w:rsidR="0067013E">
              <w:t>116</w:t>
            </w:r>
            <w:r w:rsidR="0067013E">
              <w:fldChar w:fldCharType="end"/>
            </w:r>
          </w:hyperlink>
        </w:p>
        <w:p w14:paraId="578EE2E5" w14:textId="77777777" w:rsidR="00B01D46" w:rsidRDefault="00FE757F">
          <w:pPr>
            <w:pStyle w:val="TOC1"/>
            <w:tabs>
              <w:tab w:val="clear" w:pos="9356"/>
              <w:tab w:val="right" w:leader="dot" w:pos="8100"/>
            </w:tabs>
            <w:spacing w:line="360" w:lineRule="auto"/>
            <w:ind w:right="65"/>
            <w:rPr>
              <w:rFonts w:eastAsiaTheme="minorEastAsia"/>
            </w:rPr>
          </w:pPr>
          <w:hyperlink w:anchor="_Toc184272910" w:history="1">
            <w:r w:rsidR="0067013E">
              <w:rPr>
                <w:rStyle w:val="Hyperlink"/>
              </w:rPr>
              <w:t>CHAPTER FIVE</w:t>
            </w:r>
            <w:r w:rsidR="0067013E">
              <w:tab/>
            </w:r>
            <w:r w:rsidR="0067013E">
              <w:fldChar w:fldCharType="begin"/>
            </w:r>
            <w:r w:rsidR="0067013E">
              <w:instrText xml:space="preserve"> PAGEREF _Toc184272910 \h </w:instrText>
            </w:r>
            <w:r w:rsidR="0067013E">
              <w:fldChar w:fldCharType="separate"/>
            </w:r>
            <w:r w:rsidR="0067013E">
              <w:t>117</w:t>
            </w:r>
            <w:r w:rsidR="0067013E">
              <w:fldChar w:fldCharType="end"/>
            </w:r>
          </w:hyperlink>
        </w:p>
        <w:p w14:paraId="1FA35CDC" w14:textId="77777777" w:rsidR="00B01D46" w:rsidRDefault="00FE757F">
          <w:pPr>
            <w:pStyle w:val="TOC1"/>
            <w:tabs>
              <w:tab w:val="clear" w:pos="9356"/>
              <w:tab w:val="right" w:leader="dot" w:pos="8100"/>
            </w:tabs>
            <w:spacing w:line="360" w:lineRule="auto"/>
            <w:ind w:right="65"/>
            <w:rPr>
              <w:rFonts w:eastAsiaTheme="minorEastAsia"/>
            </w:rPr>
          </w:pPr>
          <w:hyperlink w:anchor="_Toc184272911" w:history="1">
            <w:r w:rsidR="0067013E">
              <w:rPr>
                <w:rStyle w:val="Hyperlink"/>
              </w:rPr>
              <w:t>DATA PRESENTATION, ANALYSIS AND INTERPRETATION</w:t>
            </w:r>
            <w:r w:rsidR="0067013E">
              <w:tab/>
            </w:r>
            <w:r w:rsidR="0067013E">
              <w:fldChar w:fldCharType="begin"/>
            </w:r>
            <w:r w:rsidR="0067013E">
              <w:instrText xml:space="preserve"> PAGEREF _Toc184272911 \h </w:instrText>
            </w:r>
            <w:r w:rsidR="0067013E">
              <w:fldChar w:fldCharType="separate"/>
            </w:r>
            <w:r w:rsidR="0067013E">
              <w:t>117</w:t>
            </w:r>
            <w:r w:rsidR="0067013E">
              <w:fldChar w:fldCharType="end"/>
            </w:r>
          </w:hyperlink>
        </w:p>
        <w:p w14:paraId="592E2C74" w14:textId="77777777" w:rsidR="00B01D46" w:rsidRDefault="00FE757F">
          <w:pPr>
            <w:pStyle w:val="TOC2"/>
            <w:rPr>
              <w:rFonts w:eastAsiaTheme="minorEastAsia"/>
              <w:color w:val="auto"/>
            </w:rPr>
          </w:pPr>
          <w:hyperlink w:anchor="_Toc184272912" w:history="1">
            <w:r w:rsidR="0067013E">
              <w:rPr>
                <w:rStyle w:val="Hyperlink"/>
              </w:rPr>
              <w:t>5.1 Introduction</w:t>
            </w:r>
            <w:r w:rsidR="0067013E">
              <w:tab/>
            </w:r>
            <w:r w:rsidR="0067013E">
              <w:fldChar w:fldCharType="begin"/>
            </w:r>
            <w:r w:rsidR="0067013E">
              <w:instrText xml:space="preserve"> PAGEREF _Toc184272912 \h </w:instrText>
            </w:r>
            <w:r w:rsidR="0067013E">
              <w:fldChar w:fldCharType="separate"/>
            </w:r>
            <w:r w:rsidR="0067013E">
              <w:t>117</w:t>
            </w:r>
            <w:r w:rsidR="0067013E">
              <w:fldChar w:fldCharType="end"/>
            </w:r>
          </w:hyperlink>
        </w:p>
        <w:p w14:paraId="5B6C3162" w14:textId="77777777" w:rsidR="00B01D46" w:rsidRDefault="00FE757F">
          <w:pPr>
            <w:pStyle w:val="TOC2"/>
            <w:rPr>
              <w:rFonts w:eastAsiaTheme="minorEastAsia"/>
              <w:color w:val="auto"/>
            </w:rPr>
          </w:pPr>
          <w:hyperlink w:anchor="_Toc184272913" w:history="1">
            <w:r w:rsidR="0067013E">
              <w:rPr>
                <w:rStyle w:val="Hyperlink"/>
              </w:rPr>
              <w:t>5.2 Response Rate</w:t>
            </w:r>
            <w:r w:rsidR="0067013E">
              <w:tab/>
            </w:r>
            <w:r w:rsidR="0067013E">
              <w:fldChar w:fldCharType="begin"/>
            </w:r>
            <w:r w:rsidR="0067013E">
              <w:instrText xml:space="preserve"> PAGEREF _Toc184272913 \h </w:instrText>
            </w:r>
            <w:r w:rsidR="0067013E">
              <w:fldChar w:fldCharType="separate"/>
            </w:r>
            <w:r w:rsidR="0067013E">
              <w:t>118</w:t>
            </w:r>
            <w:r w:rsidR="0067013E">
              <w:fldChar w:fldCharType="end"/>
            </w:r>
          </w:hyperlink>
        </w:p>
        <w:p w14:paraId="60AF753C" w14:textId="77777777" w:rsidR="00B01D46" w:rsidRDefault="00FE757F">
          <w:pPr>
            <w:pStyle w:val="TOC2"/>
            <w:rPr>
              <w:rFonts w:eastAsiaTheme="minorEastAsia"/>
              <w:color w:val="auto"/>
            </w:rPr>
          </w:pPr>
          <w:hyperlink w:anchor="_Toc184272914" w:history="1">
            <w:r w:rsidR="0067013E">
              <w:rPr>
                <w:rStyle w:val="Hyperlink"/>
              </w:rPr>
              <w:t>5.3 Respondents' Background Information</w:t>
            </w:r>
            <w:r w:rsidR="0067013E">
              <w:tab/>
            </w:r>
            <w:r w:rsidR="0067013E">
              <w:fldChar w:fldCharType="begin"/>
            </w:r>
            <w:r w:rsidR="0067013E">
              <w:instrText xml:space="preserve"> PAGEREF _Toc184272914 \h </w:instrText>
            </w:r>
            <w:r w:rsidR="0067013E">
              <w:fldChar w:fldCharType="separate"/>
            </w:r>
            <w:r w:rsidR="0067013E">
              <w:t>119</w:t>
            </w:r>
            <w:r w:rsidR="0067013E">
              <w:fldChar w:fldCharType="end"/>
            </w:r>
          </w:hyperlink>
        </w:p>
        <w:p w14:paraId="46316992" w14:textId="77777777" w:rsidR="00B01D46" w:rsidRDefault="00FE757F">
          <w:pPr>
            <w:pStyle w:val="TOC3"/>
            <w:rPr>
              <w:rFonts w:ascii="Times New Roman" w:eastAsiaTheme="minorEastAsia" w:hAnsi="Times New Roman" w:cs="Times New Roman"/>
              <w:sz w:val="24"/>
              <w:szCs w:val="24"/>
            </w:rPr>
          </w:pPr>
          <w:hyperlink w:anchor="_Toc184272915" w:history="1">
            <w:r w:rsidR="0067013E">
              <w:rPr>
                <w:rStyle w:val="Hyperlink"/>
                <w:rFonts w:ascii="Times New Roman" w:hAnsi="Times New Roman" w:cs="Times New Roman"/>
                <w:sz w:val="24"/>
                <w:szCs w:val="24"/>
              </w:rPr>
              <w:t>5.3.1 Students Demographic Data</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_Toc184272915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120</w:t>
            </w:r>
            <w:r w:rsidR="0067013E">
              <w:rPr>
                <w:rFonts w:ascii="Times New Roman" w:hAnsi="Times New Roman" w:cs="Times New Roman"/>
                <w:sz w:val="24"/>
                <w:szCs w:val="24"/>
              </w:rPr>
              <w:fldChar w:fldCharType="end"/>
            </w:r>
          </w:hyperlink>
        </w:p>
        <w:p w14:paraId="70ABD9A8" w14:textId="77777777" w:rsidR="00B01D46" w:rsidRDefault="00FE757F">
          <w:pPr>
            <w:pStyle w:val="TOC3"/>
            <w:rPr>
              <w:rFonts w:ascii="Times New Roman" w:eastAsiaTheme="minorEastAsia" w:hAnsi="Times New Roman" w:cs="Times New Roman"/>
              <w:sz w:val="24"/>
              <w:szCs w:val="24"/>
            </w:rPr>
          </w:pPr>
          <w:hyperlink w:anchor="_Toc184272916" w:history="1">
            <w:r w:rsidR="0067013E">
              <w:rPr>
                <w:rStyle w:val="Hyperlink"/>
                <w:rFonts w:ascii="Times New Roman" w:hAnsi="Times New Roman" w:cs="Times New Roman"/>
                <w:sz w:val="24"/>
                <w:szCs w:val="24"/>
              </w:rPr>
              <w:t>5.3.2 Lecturers Demographic Data</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_Toc184272916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120</w:t>
            </w:r>
            <w:r w:rsidR="0067013E">
              <w:rPr>
                <w:rFonts w:ascii="Times New Roman" w:hAnsi="Times New Roman" w:cs="Times New Roman"/>
                <w:sz w:val="24"/>
                <w:szCs w:val="24"/>
              </w:rPr>
              <w:fldChar w:fldCharType="end"/>
            </w:r>
          </w:hyperlink>
        </w:p>
        <w:p w14:paraId="0BC9F726" w14:textId="77777777" w:rsidR="00B01D46" w:rsidRDefault="00FE757F">
          <w:pPr>
            <w:pStyle w:val="TOC3"/>
            <w:rPr>
              <w:rFonts w:ascii="Times New Roman" w:eastAsiaTheme="minorEastAsia" w:hAnsi="Times New Roman" w:cs="Times New Roman"/>
              <w:sz w:val="24"/>
              <w:szCs w:val="24"/>
            </w:rPr>
          </w:pPr>
          <w:hyperlink w:anchor="_Toc184272917" w:history="1">
            <w:r w:rsidR="0067013E">
              <w:rPr>
                <w:rStyle w:val="Hyperlink"/>
                <w:rFonts w:ascii="Times New Roman" w:hAnsi="Times New Roman" w:cs="Times New Roman"/>
                <w:sz w:val="24"/>
                <w:szCs w:val="24"/>
              </w:rPr>
              <w:t>5.3.3 Demographic Data of University Librarians, Heads Medical Librarians and Heads of Departments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_Toc184272917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122</w:t>
            </w:r>
            <w:r w:rsidR="0067013E">
              <w:rPr>
                <w:rFonts w:ascii="Times New Roman" w:hAnsi="Times New Roman" w:cs="Times New Roman"/>
                <w:sz w:val="24"/>
                <w:szCs w:val="24"/>
              </w:rPr>
              <w:fldChar w:fldCharType="end"/>
            </w:r>
          </w:hyperlink>
        </w:p>
        <w:p w14:paraId="5E1B1CAF"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18" w:history="1">
            <w:r w:rsidR="0067013E">
              <w:rPr>
                <w:rStyle w:val="Hyperlink"/>
                <w:rFonts w:ascii="Times New Roman" w:hAnsi="Times New Roman" w:cs="Times New Roman"/>
                <w:sz w:val="24"/>
                <w:szCs w:val="24"/>
              </w:rPr>
              <w:t>5.3.3.1 Demographic Data of University Librarians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_Toc184272918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122</w:t>
            </w:r>
            <w:r w:rsidR="0067013E">
              <w:rPr>
                <w:rFonts w:ascii="Times New Roman" w:hAnsi="Times New Roman" w:cs="Times New Roman"/>
                <w:sz w:val="24"/>
                <w:szCs w:val="24"/>
              </w:rPr>
              <w:fldChar w:fldCharType="end"/>
            </w:r>
          </w:hyperlink>
        </w:p>
        <w:p w14:paraId="51284209"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19" w:history="1">
            <w:r w:rsidR="0067013E">
              <w:rPr>
                <w:rStyle w:val="Hyperlink"/>
                <w:rFonts w:ascii="Times New Roman" w:hAnsi="Times New Roman" w:cs="Times New Roman"/>
                <w:sz w:val="24"/>
                <w:szCs w:val="24"/>
              </w:rPr>
              <w:t>5.3.3.2 Demographic Data of Head Medical Librarians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_Toc184272919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123</w:t>
            </w:r>
            <w:r w:rsidR="0067013E">
              <w:rPr>
                <w:rFonts w:ascii="Times New Roman" w:hAnsi="Times New Roman" w:cs="Times New Roman"/>
                <w:sz w:val="24"/>
                <w:szCs w:val="24"/>
              </w:rPr>
              <w:fldChar w:fldCharType="end"/>
            </w:r>
          </w:hyperlink>
        </w:p>
        <w:p w14:paraId="107A32A8"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20" w:history="1">
            <w:r w:rsidR="0067013E">
              <w:rPr>
                <w:rStyle w:val="Hyperlink"/>
                <w:rFonts w:ascii="Times New Roman" w:hAnsi="Times New Roman" w:cs="Times New Roman"/>
                <w:sz w:val="24"/>
                <w:szCs w:val="24"/>
              </w:rPr>
              <w:t>5.3.3.3 Demographic data of Head of Departments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_Toc184272920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124</w:t>
            </w:r>
            <w:r w:rsidR="0067013E">
              <w:rPr>
                <w:rFonts w:ascii="Times New Roman" w:hAnsi="Times New Roman" w:cs="Times New Roman"/>
                <w:sz w:val="24"/>
                <w:szCs w:val="24"/>
              </w:rPr>
              <w:fldChar w:fldCharType="end"/>
            </w:r>
          </w:hyperlink>
        </w:p>
        <w:p w14:paraId="3AF61346" w14:textId="77777777" w:rsidR="00B01D46" w:rsidRDefault="00FE757F">
          <w:pPr>
            <w:pStyle w:val="TOC2"/>
            <w:rPr>
              <w:rFonts w:eastAsiaTheme="minorEastAsia"/>
              <w:color w:val="auto"/>
            </w:rPr>
          </w:pPr>
          <w:hyperlink w:anchor="_Toc184272921" w:history="1">
            <w:r w:rsidR="0067013E">
              <w:rPr>
                <w:rStyle w:val="Hyperlink"/>
              </w:rPr>
              <w:t>5.4 Data Presentation and Analysis Based on Themes from Research Objectives</w:t>
            </w:r>
            <w:r w:rsidR="0067013E">
              <w:tab/>
            </w:r>
            <w:r w:rsidR="0067013E">
              <w:fldChar w:fldCharType="begin"/>
            </w:r>
            <w:r w:rsidR="0067013E">
              <w:instrText xml:space="preserve"> PAGEREF _Toc184272921 \h </w:instrText>
            </w:r>
            <w:r w:rsidR="0067013E">
              <w:fldChar w:fldCharType="separate"/>
            </w:r>
            <w:r w:rsidR="0067013E">
              <w:t>124</w:t>
            </w:r>
            <w:r w:rsidR="0067013E">
              <w:fldChar w:fldCharType="end"/>
            </w:r>
          </w:hyperlink>
        </w:p>
        <w:p w14:paraId="0D4E3FC5" w14:textId="77777777" w:rsidR="00B01D46" w:rsidRDefault="00FE757F">
          <w:pPr>
            <w:pStyle w:val="TOC3"/>
            <w:rPr>
              <w:rFonts w:ascii="Times New Roman" w:eastAsiaTheme="minorEastAsia" w:hAnsi="Times New Roman" w:cs="Times New Roman"/>
              <w:sz w:val="24"/>
              <w:szCs w:val="24"/>
            </w:rPr>
          </w:pPr>
          <w:hyperlink w:anchor="_Toc184272922" w:history="1">
            <w:r w:rsidR="0067013E">
              <w:rPr>
                <w:rStyle w:val="Hyperlink"/>
                <w:rFonts w:ascii="Times New Roman" w:hAnsi="Times New Roman" w:cs="Times New Roman"/>
                <w:sz w:val="24"/>
                <w:szCs w:val="24"/>
              </w:rPr>
              <w:t>5.4.1 Status of ILS among 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_Toc184272922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125</w:t>
            </w:r>
            <w:r w:rsidR="0067013E">
              <w:rPr>
                <w:rFonts w:ascii="Times New Roman" w:hAnsi="Times New Roman" w:cs="Times New Roman"/>
                <w:sz w:val="24"/>
                <w:szCs w:val="24"/>
              </w:rPr>
              <w:fldChar w:fldCharType="end"/>
            </w:r>
          </w:hyperlink>
        </w:p>
        <w:p w14:paraId="0DF12C28"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23" w:history="1">
            <w:r w:rsidR="0067013E">
              <w:rPr>
                <w:rStyle w:val="Hyperlink"/>
                <w:rFonts w:ascii="Times New Roman" w:hAnsi="Times New Roman" w:cs="Times New Roman"/>
                <w:sz w:val="24"/>
                <w:szCs w:val="24"/>
              </w:rPr>
              <w:t>5.4.1.1 Students’ response on ILS parameters to determine their ILS status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_Toc184272923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126</w:t>
            </w:r>
            <w:r w:rsidR="0067013E">
              <w:rPr>
                <w:rFonts w:ascii="Times New Roman" w:hAnsi="Times New Roman" w:cs="Times New Roman"/>
                <w:sz w:val="24"/>
                <w:szCs w:val="24"/>
              </w:rPr>
              <w:fldChar w:fldCharType="end"/>
            </w:r>
          </w:hyperlink>
        </w:p>
        <w:p w14:paraId="7837A7DC" w14:textId="77777777" w:rsidR="00B01D46" w:rsidRDefault="00FE757F">
          <w:pPr>
            <w:pStyle w:val="TOC5"/>
            <w:rPr>
              <w:rFonts w:ascii="Times New Roman" w:hAnsi="Times New Roman" w:cs="Times New Roman"/>
              <w:sz w:val="24"/>
              <w:szCs w:val="24"/>
            </w:rPr>
          </w:pPr>
          <w:hyperlink w:anchor="_Toc184272924" w:history="1">
            <w:r w:rsidR="0067013E">
              <w:rPr>
                <w:rStyle w:val="Hyperlink"/>
                <w:rFonts w:ascii="Times New Roman" w:hAnsi="Times New Roman" w:cs="Times New Roman"/>
                <w:sz w:val="24"/>
                <w:szCs w:val="24"/>
              </w:rPr>
              <w:t>5.4.1.1.1 ILS status of medical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_Toc184272924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126</w:t>
            </w:r>
            <w:r w:rsidR="0067013E">
              <w:rPr>
                <w:rFonts w:ascii="Times New Roman" w:hAnsi="Times New Roman" w:cs="Times New Roman"/>
                <w:sz w:val="24"/>
                <w:szCs w:val="24"/>
              </w:rPr>
              <w:fldChar w:fldCharType="end"/>
            </w:r>
          </w:hyperlink>
        </w:p>
        <w:p w14:paraId="0A2F9F02" w14:textId="77777777" w:rsidR="00B01D46" w:rsidRDefault="00FE757F">
          <w:pPr>
            <w:pStyle w:val="TOC5"/>
            <w:rPr>
              <w:rFonts w:ascii="Times New Roman" w:hAnsi="Times New Roman" w:cs="Times New Roman"/>
              <w:sz w:val="24"/>
              <w:szCs w:val="24"/>
            </w:rPr>
          </w:pPr>
          <w:hyperlink w:anchor="_Toc184272925" w:history="1">
            <w:r w:rsidR="0067013E">
              <w:rPr>
                <w:rStyle w:val="Hyperlink"/>
                <w:rFonts w:ascii="Times New Roman" w:hAnsi="Times New Roman" w:cs="Times New Roman"/>
                <w:sz w:val="24"/>
                <w:szCs w:val="24"/>
              </w:rPr>
              <w:t>5.4.1.1.2 Information Skills Levels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_Toc184272925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127</w:t>
            </w:r>
            <w:r w:rsidR="0067013E">
              <w:rPr>
                <w:rFonts w:ascii="Times New Roman" w:hAnsi="Times New Roman" w:cs="Times New Roman"/>
                <w:sz w:val="24"/>
                <w:szCs w:val="24"/>
              </w:rPr>
              <w:fldChar w:fldCharType="end"/>
            </w:r>
          </w:hyperlink>
        </w:p>
        <w:p w14:paraId="5FF3BB68" w14:textId="77777777" w:rsidR="00B01D46" w:rsidRDefault="00FE757F">
          <w:pPr>
            <w:pStyle w:val="TOC5"/>
            <w:rPr>
              <w:rFonts w:ascii="Times New Roman" w:hAnsi="Times New Roman" w:cs="Times New Roman"/>
              <w:sz w:val="24"/>
              <w:szCs w:val="24"/>
            </w:rPr>
          </w:pPr>
          <w:hyperlink w:anchor="_Toc184272926" w:history="1">
            <w:r w:rsidR="0067013E">
              <w:rPr>
                <w:rStyle w:val="Hyperlink"/>
                <w:rFonts w:ascii="Times New Roman" w:eastAsia="Calibri" w:hAnsi="Times New Roman" w:cs="Times New Roman"/>
                <w:sz w:val="24"/>
                <w:szCs w:val="24"/>
              </w:rPr>
              <w:t xml:space="preserve">5.4.1.1.3 </w:t>
            </w:r>
            <w:r w:rsidR="0067013E">
              <w:rPr>
                <w:rStyle w:val="Hyperlink"/>
                <w:rFonts w:ascii="Times New Roman" w:hAnsi="Times New Roman" w:cs="Times New Roman"/>
                <w:sz w:val="24"/>
                <w:szCs w:val="24"/>
              </w:rPr>
              <w:t>Numeracy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_Toc184272926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128</w:t>
            </w:r>
            <w:r w:rsidR="0067013E">
              <w:rPr>
                <w:rFonts w:ascii="Times New Roman" w:hAnsi="Times New Roman" w:cs="Times New Roman"/>
                <w:sz w:val="24"/>
                <w:szCs w:val="24"/>
              </w:rPr>
              <w:fldChar w:fldCharType="end"/>
            </w:r>
          </w:hyperlink>
        </w:p>
        <w:p w14:paraId="24698104" w14:textId="77777777" w:rsidR="00B01D46" w:rsidRDefault="00FE757F">
          <w:pPr>
            <w:pStyle w:val="TOC5"/>
            <w:rPr>
              <w:rFonts w:ascii="Times New Roman" w:hAnsi="Times New Roman" w:cs="Times New Roman"/>
              <w:sz w:val="24"/>
              <w:szCs w:val="24"/>
            </w:rPr>
          </w:pPr>
          <w:hyperlink w:anchor="_Toc184272927" w:history="1">
            <w:r w:rsidR="0067013E">
              <w:rPr>
                <w:rStyle w:val="Hyperlink"/>
                <w:rFonts w:ascii="Times New Roman" w:hAnsi="Times New Roman" w:cs="Times New Roman"/>
                <w:sz w:val="24"/>
                <w:szCs w:val="24"/>
              </w:rPr>
              <w:t>5.4.1.1.4 Problem-Solving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_Toc184272927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128</w:t>
            </w:r>
            <w:r w:rsidR="0067013E">
              <w:rPr>
                <w:rFonts w:ascii="Times New Roman" w:hAnsi="Times New Roman" w:cs="Times New Roman"/>
                <w:sz w:val="24"/>
                <w:szCs w:val="24"/>
              </w:rPr>
              <w:fldChar w:fldCharType="end"/>
            </w:r>
          </w:hyperlink>
        </w:p>
        <w:p w14:paraId="7E873012" w14:textId="77777777" w:rsidR="00B01D46" w:rsidRDefault="00FE757F">
          <w:pPr>
            <w:pStyle w:val="TOC5"/>
            <w:rPr>
              <w:rFonts w:ascii="Times New Roman" w:hAnsi="Times New Roman" w:cs="Times New Roman"/>
              <w:sz w:val="24"/>
              <w:szCs w:val="24"/>
            </w:rPr>
          </w:pPr>
          <w:hyperlink w:anchor="_Toc184272928" w:history="1">
            <w:r w:rsidR="0067013E">
              <w:rPr>
                <w:rStyle w:val="Hyperlink"/>
                <w:rFonts w:ascii="Times New Roman" w:hAnsi="Times New Roman" w:cs="Times New Roman"/>
                <w:sz w:val="24"/>
                <w:szCs w:val="24"/>
              </w:rPr>
              <w:t>5.4.1.1.5 Communication</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_Toc184272928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129</w:t>
            </w:r>
            <w:r w:rsidR="0067013E">
              <w:rPr>
                <w:rFonts w:ascii="Times New Roman" w:hAnsi="Times New Roman" w:cs="Times New Roman"/>
                <w:sz w:val="24"/>
                <w:szCs w:val="24"/>
              </w:rPr>
              <w:fldChar w:fldCharType="end"/>
            </w:r>
          </w:hyperlink>
        </w:p>
        <w:p w14:paraId="234C1688" w14:textId="77777777" w:rsidR="00B01D46" w:rsidRDefault="00FE757F">
          <w:pPr>
            <w:pStyle w:val="TOC5"/>
            <w:rPr>
              <w:rFonts w:ascii="Times New Roman" w:hAnsi="Times New Roman" w:cs="Times New Roman"/>
              <w:sz w:val="24"/>
              <w:szCs w:val="24"/>
            </w:rPr>
          </w:pPr>
          <w:hyperlink w:anchor="_Toc184272929" w:history="1">
            <w:r w:rsidR="0067013E">
              <w:rPr>
                <w:rStyle w:val="Hyperlink"/>
                <w:rFonts w:ascii="Times New Roman" w:eastAsiaTheme="minorHAnsi" w:hAnsi="Times New Roman" w:cs="Times New Roman"/>
                <w:bCs/>
                <w:sz w:val="24"/>
                <w:szCs w:val="24"/>
              </w:rPr>
              <w:t>5.4.1.</w:t>
            </w:r>
            <w:r w:rsidR="0067013E">
              <w:rPr>
                <w:rStyle w:val="Hyperlink"/>
                <w:rFonts w:ascii="Times New Roman" w:hAnsi="Times New Roman" w:cs="Times New Roman"/>
                <w:sz w:val="24"/>
                <w:szCs w:val="24"/>
              </w:rPr>
              <w:t>1.</w:t>
            </w:r>
            <w:r w:rsidR="0067013E">
              <w:rPr>
                <w:rStyle w:val="Hyperlink"/>
                <w:rFonts w:ascii="Times New Roman" w:eastAsiaTheme="minorHAnsi" w:hAnsi="Times New Roman" w:cs="Times New Roman"/>
                <w:bCs/>
                <w:sz w:val="24"/>
                <w:szCs w:val="24"/>
              </w:rPr>
              <w:t>6 Self-Management</w:t>
            </w:r>
            <w:r w:rsidR="0067013E">
              <w:rPr>
                <w:rStyle w:val="Hyperlink"/>
                <w:rFonts w:ascii="Times New Roman" w:hAnsi="Times New Roman" w:cs="Times New Roman"/>
                <w:sz w:val="24"/>
                <w:szCs w:val="24"/>
              </w:rPr>
              <w:t xml:space="preserve"> and Competitive</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_Toc184272929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129</w:t>
            </w:r>
            <w:r w:rsidR="0067013E">
              <w:rPr>
                <w:rFonts w:ascii="Times New Roman" w:hAnsi="Times New Roman" w:cs="Times New Roman"/>
                <w:sz w:val="24"/>
                <w:szCs w:val="24"/>
              </w:rPr>
              <w:fldChar w:fldCharType="end"/>
            </w:r>
          </w:hyperlink>
        </w:p>
        <w:p w14:paraId="390919C7" w14:textId="77777777" w:rsidR="00B01D46" w:rsidRDefault="00FE757F">
          <w:pPr>
            <w:pStyle w:val="TOC5"/>
            <w:rPr>
              <w:rFonts w:ascii="Times New Roman" w:hAnsi="Times New Roman" w:cs="Times New Roman"/>
              <w:sz w:val="24"/>
              <w:szCs w:val="24"/>
            </w:rPr>
          </w:pPr>
          <w:hyperlink w:anchor="_Toc184272930" w:history="1">
            <w:r w:rsidR="0067013E">
              <w:rPr>
                <w:rStyle w:val="Hyperlink"/>
                <w:rFonts w:ascii="Times New Roman" w:hAnsi="Times New Roman" w:cs="Times New Roman"/>
                <w:sz w:val="24"/>
                <w:szCs w:val="24"/>
              </w:rPr>
              <w:t>5.4.1.1.7 Social and Co-operative</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_Toc184272930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130</w:t>
            </w:r>
            <w:r w:rsidR="0067013E">
              <w:rPr>
                <w:rFonts w:ascii="Times New Roman" w:hAnsi="Times New Roman" w:cs="Times New Roman"/>
                <w:sz w:val="24"/>
                <w:szCs w:val="24"/>
              </w:rPr>
              <w:fldChar w:fldCharType="end"/>
            </w:r>
          </w:hyperlink>
        </w:p>
        <w:p w14:paraId="2D2EADE0" w14:textId="77777777" w:rsidR="00B01D46" w:rsidRDefault="00FE757F">
          <w:pPr>
            <w:pStyle w:val="TOC5"/>
            <w:rPr>
              <w:rFonts w:ascii="Times New Roman" w:hAnsi="Times New Roman" w:cs="Times New Roman"/>
              <w:sz w:val="24"/>
              <w:szCs w:val="24"/>
            </w:rPr>
          </w:pPr>
          <w:hyperlink w:anchor="_Toc184272931" w:history="1">
            <w:r w:rsidR="0067013E">
              <w:rPr>
                <w:rStyle w:val="Hyperlink"/>
                <w:rFonts w:ascii="Times New Roman" w:hAnsi="Times New Roman" w:cs="Times New Roman"/>
                <w:sz w:val="24"/>
                <w:szCs w:val="24"/>
              </w:rPr>
              <w:t>5.4.1.1.8 Labor and Learning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_Toc184272931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131</w:t>
            </w:r>
            <w:r w:rsidR="0067013E">
              <w:rPr>
                <w:rFonts w:ascii="Times New Roman" w:hAnsi="Times New Roman" w:cs="Times New Roman"/>
                <w:sz w:val="24"/>
                <w:szCs w:val="24"/>
              </w:rPr>
              <w:fldChar w:fldCharType="end"/>
            </w:r>
          </w:hyperlink>
        </w:p>
        <w:p w14:paraId="72D14842"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32" w:history="1">
            <w:r w:rsidR="0067013E">
              <w:rPr>
                <w:rStyle w:val="Hyperlink"/>
                <w:rFonts w:ascii="Times New Roman" w:hAnsi="Times New Roman" w:cs="Times New Roman"/>
                <w:sz w:val="24"/>
                <w:szCs w:val="24"/>
              </w:rPr>
              <w:t>5.4.1.2 Lecturers’ Response on ILS Parameter to Determine ILS Status of Medical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_Toc184272932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131</w:t>
            </w:r>
            <w:r w:rsidR="0067013E">
              <w:rPr>
                <w:rFonts w:ascii="Times New Roman" w:hAnsi="Times New Roman" w:cs="Times New Roman"/>
                <w:sz w:val="24"/>
                <w:szCs w:val="24"/>
              </w:rPr>
              <w:fldChar w:fldCharType="end"/>
            </w:r>
          </w:hyperlink>
        </w:p>
        <w:p w14:paraId="61CDFCAB" w14:textId="77777777" w:rsidR="00B01D46" w:rsidRDefault="00FE757F">
          <w:pPr>
            <w:pStyle w:val="TOC5"/>
            <w:rPr>
              <w:rFonts w:ascii="Times New Roman" w:hAnsi="Times New Roman" w:cs="Times New Roman"/>
              <w:sz w:val="24"/>
              <w:szCs w:val="24"/>
            </w:rPr>
          </w:pPr>
          <w:hyperlink w:anchor="_Toc184272933" w:history="1">
            <w:r w:rsidR="0067013E">
              <w:rPr>
                <w:rStyle w:val="Hyperlink"/>
                <w:rFonts w:ascii="Times New Roman" w:hAnsi="Times New Roman" w:cs="Times New Roman"/>
                <w:sz w:val="24"/>
                <w:szCs w:val="24"/>
              </w:rPr>
              <w:t>5.4.1.2.1 ILS Status of Medical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_Toc184272933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131</w:t>
            </w:r>
            <w:r w:rsidR="0067013E">
              <w:rPr>
                <w:rFonts w:ascii="Times New Roman" w:hAnsi="Times New Roman" w:cs="Times New Roman"/>
                <w:sz w:val="24"/>
                <w:szCs w:val="24"/>
              </w:rPr>
              <w:fldChar w:fldCharType="end"/>
            </w:r>
          </w:hyperlink>
        </w:p>
        <w:p w14:paraId="36630D27" w14:textId="77777777" w:rsidR="00B01D46" w:rsidRDefault="00FE757F">
          <w:pPr>
            <w:pStyle w:val="TOC5"/>
            <w:rPr>
              <w:rFonts w:ascii="Times New Roman" w:hAnsi="Times New Roman" w:cs="Times New Roman"/>
              <w:sz w:val="24"/>
              <w:szCs w:val="24"/>
            </w:rPr>
          </w:pPr>
          <w:hyperlink w:anchor="_Toc184272934" w:history="1">
            <w:r w:rsidR="0067013E">
              <w:rPr>
                <w:rStyle w:val="Hyperlink"/>
                <w:rFonts w:ascii="Times New Roman" w:hAnsi="Times New Roman" w:cs="Times New Roman"/>
                <w:sz w:val="24"/>
                <w:szCs w:val="24"/>
              </w:rPr>
              <w:t>5.4.1.2.2 Information Skills Level</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_Toc184272934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132</w:t>
            </w:r>
            <w:r w:rsidR="0067013E">
              <w:rPr>
                <w:rFonts w:ascii="Times New Roman" w:hAnsi="Times New Roman" w:cs="Times New Roman"/>
                <w:sz w:val="24"/>
                <w:szCs w:val="24"/>
              </w:rPr>
              <w:fldChar w:fldCharType="end"/>
            </w:r>
          </w:hyperlink>
        </w:p>
        <w:p w14:paraId="10FC73A0" w14:textId="77777777" w:rsidR="00B01D46" w:rsidRDefault="00FE757F">
          <w:pPr>
            <w:pStyle w:val="TOC5"/>
            <w:rPr>
              <w:rFonts w:ascii="Times New Roman" w:hAnsi="Times New Roman" w:cs="Times New Roman"/>
              <w:sz w:val="24"/>
              <w:szCs w:val="24"/>
            </w:rPr>
          </w:pPr>
          <w:hyperlink w:anchor="_Toc184272935" w:history="1">
            <w:r w:rsidR="0067013E">
              <w:rPr>
                <w:rStyle w:val="Hyperlink"/>
                <w:rFonts w:ascii="Times New Roman" w:hAnsi="Times New Roman" w:cs="Times New Roman"/>
                <w:sz w:val="24"/>
                <w:szCs w:val="24"/>
              </w:rPr>
              <w:t>5.4.1.2.3 Numeracy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_Toc184272935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133</w:t>
            </w:r>
            <w:r w:rsidR="0067013E">
              <w:rPr>
                <w:rFonts w:ascii="Times New Roman" w:hAnsi="Times New Roman" w:cs="Times New Roman"/>
                <w:sz w:val="24"/>
                <w:szCs w:val="24"/>
              </w:rPr>
              <w:fldChar w:fldCharType="end"/>
            </w:r>
          </w:hyperlink>
        </w:p>
        <w:p w14:paraId="3FEC8E87" w14:textId="77777777" w:rsidR="00B01D46" w:rsidRDefault="00FE757F">
          <w:pPr>
            <w:pStyle w:val="TOC5"/>
            <w:rPr>
              <w:rFonts w:ascii="Times New Roman" w:hAnsi="Times New Roman" w:cs="Times New Roman"/>
              <w:sz w:val="24"/>
              <w:szCs w:val="24"/>
            </w:rPr>
          </w:pPr>
          <w:hyperlink w:anchor="_Toc184272936" w:history="1">
            <w:r w:rsidR="0067013E">
              <w:rPr>
                <w:rStyle w:val="Hyperlink"/>
                <w:rFonts w:ascii="Times New Roman" w:hAnsi="Times New Roman" w:cs="Times New Roman"/>
                <w:sz w:val="24"/>
                <w:szCs w:val="24"/>
              </w:rPr>
              <w:t>5.4.1.2.4 Problem-Solving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_Toc184272936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133</w:t>
            </w:r>
            <w:r w:rsidR="0067013E">
              <w:rPr>
                <w:rFonts w:ascii="Times New Roman" w:hAnsi="Times New Roman" w:cs="Times New Roman"/>
                <w:sz w:val="24"/>
                <w:szCs w:val="24"/>
              </w:rPr>
              <w:fldChar w:fldCharType="end"/>
            </w:r>
          </w:hyperlink>
        </w:p>
        <w:p w14:paraId="71249CDE" w14:textId="77777777" w:rsidR="00B01D46" w:rsidRDefault="00FE757F">
          <w:pPr>
            <w:pStyle w:val="TOC5"/>
            <w:rPr>
              <w:rFonts w:ascii="Times New Roman" w:hAnsi="Times New Roman" w:cs="Times New Roman"/>
              <w:sz w:val="24"/>
              <w:szCs w:val="24"/>
            </w:rPr>
          </w:pPr>
          <w:hyperlink w:anchor="_Toc184272937" w:history="1">
            <w:r w:rsidR="0067013E">
              <w:rPr>
                <w:rStyle w:val="Hyperlink"/>
                <w:rFonts w:ascii="Times New Roman" w:hAnsi="Times New Roman" w:cs="Times New Roman"/>
                <w:sz w:val="24"/>
                <w:szCs w:val="24"/>
              </w:rPr>
              <w:t>5.4.1.2.5 Communication</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_Toc184272937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134</w:t>
            </w:r>
            <w:r w:rsidR="0067013E">
              <w:rPr>
                <w:rFonts w:ascii="Times New Roman" w:hAnsi="Times New Roman" w:cs="Times New Roman"/>
                <w:sz w:val="24"/>
                <w:szCs w:val="24"/>
              </w:rPr>
              <w:fldChar w:fldCharType="end"/>
            </w:r>
          </w:hyperlink>
        </w:p>
        <w:p w14:paraId="24A2E9F6" w14:textId="77777777" w:rsidR="00B01D46" w:rsidRDefault="00FE757F">
          <w:pPr>
            <w:pStyle w:val="TOC5"/>
            <w:rPr>
              <w:rFonts w:ascii="Times New Roman" w:hAnsi="Times New Roman" w:cs="Times New Roman"/>
              <w:sz w:val="24"/>
              <w:szCs w:val="24"/>
            </w:rPr>
          </w:pPr>
          <w:hyperlink w:anchor="_Toc184272938" w:history="1">
            <w:r w:rsidR="0067013E">
              <w:rPr>
                <w:rStyle w:val="Hyperlink"/>
                <w:rFonts w:ascii="Times New Roman" w:hAnsi="Times New Roman" w:cs="Times New Roman"/>
                <w:sz w:val="24"/>
                <w:szCs w:val="24"/>
              </w:rPr>
              <w:t>5.4.1.2.6 Self-Management and Competitive</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_Toc184272938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134</w:t>
            </w:r>
            <w:r w:rsidR="0067013E">
              <w:rPr>
                <w:rFonts w:ascii="Times New Roman" w:hAnsi="Times New Roman" w:cs="Times New Roman"/>
                <w:sz w:val="24"/>
                <w:szCs w:val="24"/>
              </w:rPr>
              <w:fldChar w:fldCharType="end"/>
            </w:r>
          </w:hyperlink>
        </w:p>
        <w:p w14:paraId="18F638D8" w14:textId="77777777" w:rsidR="00B01D46" w:rsidRDefault="00FE757F">
          <w:pPr>
            <w:pStyle w:val="TOC5"/>
            <w:rPr>
              <w:rFonts w:ascii="Times New Roman" w:hAnsi="Times New Roman" w:cs="Times New Roman"/>
              <w:sz w:val="24"/>
              <w:szCs w:val="24"/>
            </w:rPr>
          </w:pPr>
          <w:hyperlink w:anchor="_Toc184272939" w:history="1">
            <w:r w:rsidR="0067013E">
              <w:rPr>
                <w:rStyle w:val="Hyperlink"/>
                <w:rFonts w:ascii="Times New Roman" w:hAnsi="Times New Roman" w:cs="Times New Roman"/>
                <w:sz w:val="24"/>
                <w:szCs w:val="24"/>
              </w:rPr>
              <w:t>5.4.1.2.7 Social and Co-operative</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_Toc184272939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135</w:t>
            </w:r>
            <w:r w:rsidR="0067013E">
              <w:rPr>
                <w:rFonts w:ascii="Times New Roman" w:hAnsi="Times New Roman" w:cs="Times New Roman"/>
                <w:sz w:val="24"/>
                <w:szCs w:val="24"/>
              </w:rPr>
              <w:fldChar w:fldCharType="end"/>
            </w:r>
          </w:hyperlink>
        </w:p>
        <w:p w14:paraId="38EF6BF8" w14:textId="77777777" w:rsidR="00B01D46" w:rsidRDefault="00FE757F">
          <w:pPr>
            <w:pStyle w:val="TOC5"/>
            <w:rPr>
              <w:rFonts w:ascii="Times New Roman" w:hAnsi="Times New Roman" w:cs="Times New Roman"/>
              <w:sz w:val="24"/>
              <w:szCs w:val="24"/>
            </w:rPr>
          </w:pPr>
          <w:hyperlink w:anchor="_Toc184272940" w:history="1">
            <w:r w:rsidR="0067013E">
              <w:rPr>
                <w:rStyle w:val="Hyperlink"/>
                <w:rFonts w:ascii="Times New Roman" w:hAnsi="Times New Roman" w:cs="Times New Roman"/>
                <w:sz w:val="24"/>
                <w:szCs w:val="24"/>
              </w:rPr>
              <w:t>5.4.1.2.8 Labor and Learning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_Toc184272940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135</w:t>
            </w:r>
            <w:r w:rsidR="0067013E">
              <w:rPr>
                <w:rFonts w:ascii="Times New Roman" w:hAnsi="Times New Roman" w:cs="Times New Roman"/>
                <w:sz w:val="24"/>
                <w:szCs w:val="24"/>
              </w:rPr>
              <w:fldChar w:fldCharType="end"/>
            </w:r>
          </w:hyperlink>
        </w:p>
        <w:p w14:paraId="540DD718" w14:textId="77777777" w:rsidR="00B01D46" w:rsidRDefault="00FE757F">
          <w:pPr>
            <w:pStyle w:val="TOC3"/>
            <w:rPr>
              <w:rFonts w:ascii="Times New Roman" w:eastAsiaTheme="minorEastAsia" w:hAnsi="Times New Roman" w:cs="Times New Roman"/>
              <w:sz w:val="24"/>
              <w:szCs w:val="24"/>
            </w:rPr>
          </w:pPr>
          <w:hyperlink w:anchor="_Toc184272941" w:history="1">
            <w:r w:rsidR="0067013E">
              <w:rPr>
                <w:rStyle w:val="Hyperlink"/>
                <w:rFonts w:ascii="Times New Roman" w:hAnsi="Times New Roman" w:cs="Times New Roman"/>
                <w:sz w:val="24"/>
                <w:szCs w:val="24"/>
              </w:rPr>
              <w:t>5.4.2 ILS policy and Curricula supporting delivery of ILS to 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_Toc184272941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137</w:t>
            </w:r>
            <w:r w:rsidR="0067013E">
              <w:rPr>
                <w:rFonts w:ascii="Times New Roman" w:hAnsi="Times New Roman" w:cs="Times New Roman"/>
                <w:sz w:val="24"/>
                <w:szCs w:val="24"/>
              </w:rPr>
              <w:fldChar w:fldCharType="end"/>
            </w:r>
          </w:hyperlink>
        </w:p>
        <w:p w14:paraId="320190EE"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42" w:history="1">
            <w:r w:rsidR="0067013E">
              <w:rPr>
                <w:rStyle w:val="Hyperlink"/>
                <w:rFonts w:ascii="Times New Roman" w:hAnsi="Times New Roman" w:cs="Times New Roman"/>
                <w:sz w:val="24"/>
                <w:szCs w:val="24"/>
              </w:rPr>
              <w:t>5</w:t>
            </w:r>
            <w:r w:rsidR="0067013E">
              <w:rPr>
                <w:rStyle w:val="Hyperlink"/>
                <w:rFonts w:ascii="Times New Roman" w:hAnsi="Times New Roman" w:cs="Times New Roman"/>
                <w:bCs/>
                <w:sz w:val="24"/>
                <w:szCs w:val="24"/>
              </w:rPr>
              <w:t>.4.2.1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_Toc184272942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137</w:t>
            </w:r>
            <w:r w:rsidR="0067013E">
              <w:rPr>
                <w:rFonts w:ascii="Times New Roman" w:hAnsi="Times New Roman" w:cs="Times New Roman"/>
                <w:sz w:val="24"/>
                <w:szCs w:val="24"/>
              </w:rPr>
              <w:fldChar w:fldCharType="end"/>
            </w:r>
          </w:hyperlink>
        </w:p>
        <w:p w14:paraId="0121D2CE" w14:textId="77777777" w:rsidR="00B01D46" w:rsidRDefault="00FE757F">
          <w:pPr>
            <w:pStyle w:val="TOC5"/>
            <w:rPr>
              <w:rFonts w:ascii="Times New Roman" w:hAnsi="Times New Roman" w:cs="Times New Roman"/>
              <w:sz w:val="24"/>
              <w:szCs w:val="24"/>
            </w:rPr>
          </w:pPr>
          <w:hyperlink w:anchor="_Toc184272943" w:history="1">
            <w:r w:rsidR="0067013E">
              <w:rPr>
                <w:rStyle w:val="Hyperlink"/>
                <w:rFonts w:ascii="Times New Roman" w:hAnsi="Times New Roman" w:cs="Times New Roman"/>
                <w:sz w:val="24"/>
                <w:szCs w:val="24"/>
              </w:rPr>
              <w:t>5.4.2.1.1 The availability of a Formal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_Toc184272943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137</w:t>
            </w:r>
            <w:r w:rsidR="0067013E">
              <w:rPr>
                <w:rFonts w:ascii="Times New Roman" w:hAnsi="Times New Roman" w:cs="Times New Roman"/>
                <w:sz w:val="24"/>
                <w:szCs w:val="24"/>
              </w:rPr>
              <w:fldChar w:fldCharType="end"/>
            </w:r>
          </w:hyperlink>
        </w:p>
        <w:p w14:paraId="09A0E23C" w14:textId="77777777" w:rsidR="00B01D46" w:rsidRDefault="00FE757F">
          <w:pPr>
            <w:pStyle w:val="TOC5"/>
            <w:rPr>
              <w:rFonts w:ascii="Times New Roman" w:hAnsi="Times New Roman" w:cs="Times New Roman"/>
              <w:sz w:val="24"/>
              <w:szCs w:val="24"/>
            </w:rPr>
          </w:pPr>
          <w:hyperlink w:anchor="_Toc184272944" w:history="1">
            <w:r w:rsidR="0067013E">
              <w:rPr>
                <w:rStyle w:val="Hyperlink"/>
                <w:rFonts w:ascii="Times New Roman" w:hAnsi="Times New Roman" w:cs="Times New Roman"/>
                <w:sz w:val="24"/>
                <w:szCs w:val="24"/>
              </w:rPr>
              <w:t>5.4.2.1.2 Covered in the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_Toc184272944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139</w:t>
            </w:r>
            <w:r w:rsidR="0067013E">
              <w:rPr>
                <w:rFonts w:ascii="Times New Roman" w:hAnsi="Times New Roman" w:cs="Times New Roman"/>
                <w:sz w:val="24"/>
                <w:szCs w:val="24"/>
              </w:rPr>
              <w:fldChar w:fldCharType="end"/>
            </w:r>
          </w:hyperlink>
        </w:p>
        <w:p w14:paraId="7C13D084" w14:textId="77777777" w:rsidR="00B01D46" w:rsidRDefault="00FE757F">
          <w:pPr>
            <w:pStyle w:val="TOC5"/>
            <w:rPr>
              <w:rFonts w:ascii="Times New Roman" w:hAnsi="Times New Roman" w:cs="Times New Roman"/>
              <w:sz w:val="24"/>
              <w:szCs w:val="24"/>
            </w:rPr>
          </w:pPr>
          <w:hyperlink w:anchor="_Toc184272945" w:history="1">
            <w:r w:rsidR="0067013E">
              <w:rPr>
                <w:rStyle w:val="Hyperlink"/>
                <w:rFonts w:ascii="Times New Roman" w:hAnsi="Times New Roman" w:cs="Times New Roman"/>
                <w:sz w:val="24"/>
                <w:szCs w:val="24"/>
              </w:rPr>
              <w:t>5.4.2.1.3 Formulation and Implementation of the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_Toc184272945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142</w:t>
            </w:r>
            <w:r w:rsidR="0067013E">
              <w:rPr>
                <w:rFonts w:ascii="Times New Roman" w:hAnsi="Times New Roman" w:cs="Times New Roman"/>
                <w:sz w:val="24"/>
                <w:szCs w:val="24"/>
              </w:rPr>
              <w:fldChar w:fldCharType="end"/>
            </w:r>
          </w:hyperlink>
        </w:p>
        <w:p w14:paraId="1F33508D" w14:textId="77777777" w:rsidR="00B01D46" w:rsidRDefault="00FE757F">
          <w:pPr>
            <w:pStyle w:val="TOC5"/>
            <w:rPr>
              <w:rFonts w:ascii="Times New Roman" w:hAnsi="Times New Roman" w:cs="Times New Roman"/>
              <w:sz w:val="24"/>
              <w:szCs w:val="24"/>
            </w:rPr>
          </w:pPr>
          <w:hyperlink w:anchor="_Toc184272946" w:history="1">
            <w:r w:rsidR="0067013E">
              <w:rPr>
                <w:rStyle w:val="Hyperlink"/>
                <w:rFonts w:ascii="Times New Roman" w:hAnsi="Times New Roman" w:cs="Times New Roman"/>
                <w:sz w:val="24"/>
                <w:szCs w:val="24"/>
              </w:rPr>
              <w:t>5.4.2.1.4 Adequacy of the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_Toc184272946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143</w:t>
            </w:r>
            <w:r w:rsidR="0067013E">
              <w:rPr>
                <w:rFonts w:ascii="Times New Roman" w:hAnsi="Times New Roman" w:cs="Times New Roman"/>
                <w:sz w:val="24"/>
                <w:szCs w:val="24"/>
              </w:rPr>
              <w:fldChar w:fldCharType="end"/>
            </w:r>
          </w:hyperlink>
        </w:p>
        <w:p w14:paraId="0EA6055F"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47" w:history="1">
            <w:r w:rsidR="0067013E">
              <w:rPr>
                <w:rStyle w:val="Hyperlink"/>
                <w:rFonts w:ascii="Times New Roman" w:hAnsi="Times New Roman" w:cs="Times New Roman"/>
                <w:sz w:val="24"/>
                <w:szCs w:val="24"/>
              </w:rPr>
              <w:t>5.4.2.2 ILS curricula and the methods of delivery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_Toc184272947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144</w:t>
            </w:r>
            <w:r w:rsidR="0067013E">
              <w:rPr>
                <w:rFonts w:ascii="Times New Roman" w:hAnsi="Times New Roman" w:cs="Times New Roman"/>
                <w:sz w:val="24"/>
                <w:szCs w:val="24"/>
              </w:rPr>
              <w:fldChar w:fldCharType="end"/>
            </w:r>
          </w:hyperlink>
        </w:p>
        <w:p w14:paraId="1228C051" w14:textId="77777777" w:rsidR="00B01D46" w:rsidRDefault="00FE757F">
          <w:pPr>
            <w:pStyle w:val="TOC5"/>
            <w:rPr>
              <w:rFonts w:ascii="Times New Roman" w:hAnsi="Times New Roman" w:cs="Times New Roman"/>
              <w:sz w:val="24"/>
              <w:szCs w:val="24"/>
            </w:rPr>
          </w:pPr>
          <w:hyperlink w:anchor="_Toc184272948" w:history="1">
            <w:r w:rsidR="0067013E">
              <w:rPr>
                <w:rStyle w:val="Hyperlink"/>
                <w:rFonts w:ascii="Times New Roman" w:hAnsi="Times New Roman" w:cs="Times New Roman"/>
                <w:sz w:val="24"/>
                <w:szCs w:val="24"/>
              </w:rPr>
              <w:t>5.4.2.2.1 Existence of ILS Curriculum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_Toc184272948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145</w:t>
            </w:r>
            <w:r w:rsidR="0067013E">
              <w:rPr>
                <w:rFonts w:ascii="Times New Roman" w:hAnsi="Times New Roman" w:cs="Times New Roman"/>
                <w:sz w:val="24"/>
                <w:szCs w:val="24"/>
              </w:rPr>
              <w:fldChar w:fldCharType="end"/>
            </w:r>
          </w:hyperlink>
        </w:p>
        <w:p w14:paraId="40669CBF" w14:textId="77777777" w:rsidR="00B01D46" w:rsidRDefault="00FE757F">
          <w:pPr>
            <w:pStyle w:val="TOC5"/>
            <w:rPr>
              <w:rFonts w:ascii="Times New Roman" w:hAnsi="Times New Roman" w:cs="Times New Roman"/>
              <w:sz w:val="24"/>
              <w:szCs w:val="24"/>
            </w:rPr>
          </w:pPr>
          <w:hyperlink w:anchor="_Toc184272949" w:history="1">
            <w:r w:rsidR="0067013E">
              <w:rPr>
                <w:rStyle w:val="Hyperlink"/>
                <w:rFonts w:ascii="Times New Roman" w:hAnsi="Times New Roman" w:cs="Times New Roman"/>
                <w:sz w:val="24"/>
                <w:szCs w:val="24"/>
              </w:rPr>
              <w:t>5.4.2.2.2 Topics Covered by the ILS Curriculum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_Toc184272949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146</w:t>
            </w:r>
            <w:r w:rsidR="0067013E">
              <w:rPr>
                <w:rFonts w:ascii="Times New Roman" w:hAnsi="Times New Roman" w:cs="Times New Roman"/>
                <w:sz w:val="24"/>
                <w:szCs w:val="24"/>
              </w:rPr>
              <w:fldChar w:fldCharType="end"/>
            </w:r>
          </w:hyperlink>
        </w:p>
        <w:p w14:paraId="3B982381" w14:textId="77777777" w:rsidR="00B01D46" w:rsidRDefault="00FE757F">
          <w:pPr>
            <w:pStyle w:val="TOC5"/>
            <w:rPr>
              <w:rFonts w:ascii="Times New Roman" w:hAnsi="Times New Roman" w:cs="Times New Roman"/>
              <w:sz w:val="24"/>
              <w:szCs w:val="24"/>
            </w:rPr>
          </w:pPr>
          <w:hyperlink w:anchor="_Toc184272951" w:history="1">
            <w:r w:rsidR="0067013E">
              <w:rPr>
                <w:rStyle w:val="Hyperlink"/>
                <w:rFonts w:ascii="Times New Roman" w:hAnsi="Times New Roman" w:cs="Times New Roman"/>
                <w:sz w:val="24"/>
                <w:szCs w:val="24"/>
              </w:rPr>
              <w:t>5.4.2.2.3 Methods of ILS Delivery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_Toc184272951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149</w:t>
            </w:r>
            <w:r w:rsidR="0067013E">
              <w:rPr>
                <w:rFonts w:ascii="Times New Roman" w:hAnsi="Times New Roman" w:cs="Times New Roman"/>
                <w:sz w:val="24"/>
                <w:szCs w:val="24"/>
              </w:rPr>
              <w:fldChar w:fldCharType="end"/>
            </w:r>
          </w:hyperlink>
        </w:p>
        <w:p w14:paraId="5696D6B7" w14:textId="77777777" w:rsidR="00B01D46" w:rsidRDefault="00FE757F">
          <w:pPr>
            <w:pStyle w:val="TOC5"/>
            <w:rPr>
              <w:rFonts w:ascii="Times New Roman" w:hAnsi="Times New Roman" w:cs="Times New Roman"/>
              <w:sz w:val="24"/>
              <w:szCs w:val="24"/>
            </w:rPr>
          </w:pPr>
          <w:hyperlink w:anchor="_Toc184272952" w:history="1">
            <w:r w:rsidR="0067013E">
              <w:rPr>
                <w:rStyle w:val="Hyperlink"/>
                <w:rFonts w:ascii="Times New Roman" w:hAnsi="Times New Roman" w:cs="Times New Roman"/>
                <w:sz w:val="24"/>
                <w:szCs w:val="24"/>
              </w:rPr>
              <w:t>5.4.2.2.4 Who Teaches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_Toc184272952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152</w:t>
            </w:r>
            <w:r w:rsidR="0067013E">
              <w:rPr>
                <w:rFonts w:ascii="Times New Roman" w:hAnsi="Times New Roman" w:cs="Times New Roman"/>
                <w:sz w:val="24"/>
                <w:szCs w:val="24"/>
              </w:rPr>
              <w:fldChar w:fldCharType="end"/>
            </w:r>
          </w:hyperlink>
        </w:p>
        <w:p w14:paraId="73B815ED" w14:textId="77777777" w:rsidR="00B01D46" w:rsidRDefault="00FE757F">
          <w:pPr>
            <w:pStyle w:val="TOC5"/>
            <w:rPr>
              <w:rFonts w:ascii="Times New Roman" w:hAnsi="Times New Roman" w:cs="Times New Roman"/>
              <w:sz w:val="24"/>
              <w:szCs w:val="24"/>
            </w:rPr>
          </w:pPr>
          <w:hyperlink w:anchor="_Toc184272953" w:history="1">
            <w:r w:rsidR="0067013E">
              <w:rPr>
                <w:rStyle w:val="Hyperlink"/>
                <w:rFonts w:ascii="Times New Roman" w:hAnsi="Times New Roman" w:cs="Times New Roman"/>
                <w:sz w:val="24"/>
                <w:szCs w:val="24"/>
              </w:rPr>
              <w:t>5.4.2.2.5 Techniques for Assessing the Effectiveness of the ILS Curriculum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_Toc184272953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153</w:t>
            </w:r>
            <w:r w:rsidR="0067013E">
              <w:rPr>
                <w:rFonts w:ascii="Times New Roman" w:hAnsi="Times New Roman" w:cs="Times New Roman"/>
                <w:sz w:val="24"/>
                <w:szCs w:val="24"/>
              </w:rPr>
              <w:fldChar w:fldCharType="end"/>
            </w:r>
          </w:hyperlink>
        </w:p>
        <w:p w14:paraId="782E1111" w14:textId="77777777" w:rsidR="00B01D46" w:rsidRDefault="00FE757F">
          <w:pPr>
            <w:pStyle w:val="TOC3"/>
            <w:rPr>
              <w:rFonts w:ascii="Times New Roman" w:eastAsiaTheme="minorEastAsia" w:hAnsi="Times New Roman" w:cs="Times New Roman"/>
              <w:sz w:val="24"/>
              <w:szCs w:val="24"/>
            </w:rPr>
          </w:pPr>
          <w:hyperlink w:anchor="_Toc184272954" w:history="1">
            <w:r w:rsidR="0067013E">
              <w:rPr>
                <w:rStyle w:val="Hyperlink"/>
                <w:rFonts w:ascii="Times New Roman" w:hAnsi="Times New Roman" w:cs="Times New Roman"/>
                <w:sz w:val="24"/>
                <w:szCs w:val="24"/>
              </w:rPr>
              <w:t>5.4.3 ILS Understanding among Undergraduate Medical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_Toc184272954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154</w:t>
            </w:r>
            <w:r w:rsidR="0067013E">
              <w:rPr>
                <w:rFonts w:ascii="Times New Roman" w:hAnsi="Times New Roman" w:cs="Times New Roman"/>
                <w:sz w:val="24"/>
                <w:szCs w:val="24"/>
              </w:rPr>
              <w:fldChar w:fldCharType="end"/>
            </w:r>
          </w:hyperlink>
        </w:p>
        <w:p w14:paraId="1A51AFA4"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55" w:history="1">
            <w:r w:rsidR="0067013E">
              <w:rPr>
                <w:rStyle w:val="Hyperlink"/>
                <w:rFonts w:ascii="Times New Roman" w:hAnsi="Times New Roman" w:cs="Times New Roman"/>
                <w:sz w:val="24"/>
                <w:szCs w:val="24"/>
              </w:rPr>
              <w:t>5.4.3.1 ILS Training and Learning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_Toc184272955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155</w:t>
            </w:r>
            <w:r w:rsidR="0067013E">
              <w:rPr>
                <w:rFonts w:ascii="Times New Roman" w:hAnsi="Times New Roman" w:cs="Times New Roman"/>
                <w:sz w:val="24"/>
                <w:szCs w:val="24"/>
              </w:rPr>
              <w:fldChar w:fldCharType="end"/>
            </w:r>
          </w:hyperlink>
        </w:p>
        <w:p w14:paraId="4ACBE0CC"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56" w:history="1">
            <w:r w:rsidR="0067013E">
              <w:rPr>
                <w:rStyle w:val="Hyperlink"/>
                <w:rFonts w:ascii="Times New Roman" w:hAnsi="Times New Roman" w:cs="Times New Roman"/>
                <w:sz w:val="24"/>
                <w:szCs w:val="24"/>
              </w:rPr>
              <w:t>5.4.3.2 Experience after ILS Training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_Toc184272956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159</w:t>
            </w:r>
            <w:r w:rsidR="0067013E">
              <w:rPr>
                <w:rFonts w:ascii="Times New Roman" w:hAnsi="Times New Roman" w:cs="Times New Roman"/>
                <w:sz w:val="24"/>
                <w:szCs w:val="24"/>
              </w:rPr>
              <w:fldChar w:fldCharType="end"/>
            </w:r>
          </w:hyperlink>
        </w:p>
        <w:p w14:paraId="0A7BD11F" w14:textId="77777777" w:rsidR="00B01D46" w:rsidRDefault="00FE757F">
          <w:pPr>
            <w:pStyle w:val="TOC3"/>
            <w:rPr>
              <w:rFonts w:ascii="Times New Roman" w:eastAsiaTheme="minorEastAsia" w:hAnsi="Times New Roman" w:cs="Times New Roman"/>
              <w:sz w:val="24"/>
              <w:szCs w:val="24"/>
            </w:rPr>
          </w:pPr>
          <w:hyperlink w:anchor="_Toc184272957" w:history="1">
            <w:r w:rsidR="0067013E">
              <w:rPr>
                <w:rStyle w:val="Hyperlink"/>
                <w:rFonts w:ascii="Times New Roman" w:hAnsi="Times New Roman" w:cs="Times New Roman"/>
                <w:sz w:val="24"/>
                <w:szCs w:val="24"/>
              </w:rPr>
              <w:t>5.4.4 Knowledge and Skills Possessed by Staff Facilitating ILS among 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_Toc184272957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162</w:t>
            </w:r>
            <w:r w:rsidR="0067013E">
              <w:rPr>
                <w:rFonts w:ascii="Times New Roman" w:hAnsi="Times New Roman" w:cs="Times New Roman"/>
                <w:sz w:val="24"/>
                <w:szCs w:val="24"/>
              </w:rPr>
              <w:fldChar w:fldCharType="end"/>
            </w:r>
          </w:hyperlink>
        </w:p>
        <w:p w14:paraId="4B125206"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58" w:history="1">
            <w:r w:rsidR="0067013E">
              <w:rPr>
                <w:rStyle w:val="Hyperlink"/>
                <w:rFonts w:ascii="Times New Roman" w:hAnsi="Times New Roman" w:cs="Times New Roman"/>
                <w:sz w:val="24"/>
                <w:szCs w:val="24"/>
              </w:rPr>
              <w:t>5.4.4.1 Knowledge and Skills Possessed by Staff Facilitating ILS among 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_Toc184272958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163</w:t>
            </w:r>
            <w:r w:rsidR="0067013E">
              <w:rPr>
                <w:rFonts w:ascii="Times New Roman" w:hAnsi="Times New Roman" w:cs="Times New Roman"/>
                <w:sz w:val="24"/>
                <w:szCs w:val="24"/>
              </w:rPr>
              <w:fldChar w:fldCharType="end"/>
            </w:r>
          </w:hyperlink>
        </w:p>
        <w:p w14:paraId="18E1A020" w14:textId="77777777" w:rsidR="00B01D46" w:rsidRDefault="00FE757F">
          <w:pPr>
            <w:pStyle w:val="TOC3"/>
            <w:rPr>
              <w:rFonts w:ascii="Times New Roman" w:eastAsiaTheme="minorEastAsia" w:hAnsi="Times New Roman" w:cs="Times New Roman"/>
              <w:sz w:val="24"/>
              <w:szCs w:val="24"/>
            </w:rPr>
          </w:pPr>
          <w:hyperlink w:anchor="_Toc184272959" w:history="1">
            <w:r w:rsidR="0067013E">
              <w:rPr>
                <w:rStyle w:val="Hyperlink"/>
                <w:rFonts w:ascii="Times New Roman" w:eastAsia="Calibri" w:hAnsi="Times New Roman" w:cs="Times New Roman"/>
                <w:sz w:val="24"/>
                <w:szCs w:val="24"/>
              </w:rPr>
              <w:t>5.4.5 Role of ICT in Facilitating and Promoting Information Literacy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_Toc184272959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166</w:t>
            </w:r>
            <w:r w:rsidR="0067013E">
              <w:rPr>
                <w:rFonts w:ascii="Times New Roman" w:hAnsi="Times New Roman" w:cs="Times New Roman"/>
                <w:sz w:val="24"/>
                <w:szCs w:val="24"/>
              </w:rPr>
              <w:fldChar w:fldCharType="end"/>
            </w:r>
          </w:hyperlink>
        </w:p>
        <w:p w14:paraId="22C8AD57"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60" w:history="1">
            <w:r w:rsidR="0067013E">
              <w:rPr>
                <w:rStyle w:val="Hyperlink"/>
                <w:rFonts w:ascii="Times New Roman" w:hAnsi="Times New Roman" w:cs="Times New Roman"/>
                <w:sz w:val="24"/>
                <w:szCs w:val="24"/>
              </w:rPr>
              <w:t>5.4.5.1 Integration of ICT Skills with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_Toc184272960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166</w:t>
            </w:r>
            <w:r w:rsidR="0067013E">
              <w:rPr>
                <w:rFonts w:ascii="Times New Roman" w:hAnsi="Times New Roman" w:cs="Times New Roman"/>
                <w:sz w:val="24"/>
                <w:szCs w:val="24"/>
              </w:rPr>
              <w:fldChar w:fldCharType="end"/>
            </w:r>
          </w:hyperlink>
        </w:p>
        <w:p w14:paraId="07AEA18D" w14:textId="77777777" w:rsidR="00B01D46" w:rsidRDefault="00FE757F">
          <w:pPr>
            <w:pStyle w:val="TOC4"/>
            <w:tabs>
              <w:tab w:val="right" w:leader="dot" w:pos="8100"/>
              <w:tab w:val="right" w:leader="dot" w:pos="8155"/>
            </w:tabs>
            <w:spacing w:after="0" w:line="360" w:lineRule="auto"/>
            <w:ind w:left="1350" w:right="65" w:hanging="690"/>
            <w:rPr>
              <w:rFonts w:ascii="Times New Roman" w:hAnsi="Times New Roman" w:cs="Times New Roman"/>
              <w:sz w:val="24"/>
              <w:szCs w:val="24"/>
            </w:rPr>
          </w:pPr>
          <w:hyperlink w:anchor="_Toc184272961" w:history="1">
            <w:r w:rsidR="0067013E">
              <w:rPr>
                <w:rStyle w:val="Hyperlink"/>
                <w:rFonts w:ascii="Times New Roman" w:hAnsi="Times New Roman" w:cs="Times New Roman"/>
                <w:sz w:val="24"/>
                <w:szCs w:val="24"/>
              </w:rPr>
              <w:t>5.4.5.2 Integration of ICT Skills in ILS Training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_Toc184272961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169</w:t>
            </w:r>
            <w:r w:rsidR="0067013E">
              <w:rPr>
                <w:rFonts w:ascii="Times New Roman" w:hAnsi="Times New Roman" w:cs="Times New Roman"/>
                <w:sz w:val="24"/>
                <w:szCs w:val="24"/>
              </w:rPr>
              <w:fldChar w:fldCharType="end"/>
            </w:r>
          </w:hyperlink>
        </w:p>
        <w:p w14:paraId="51784183" w14:textId="77777777" w:rsidR="00B01D46" w:rsidRDefault="00FE757F">
          <w:pPr>
            <w:pStyle w:val="TOC4"/>
            <w:tabs>
              <w:tab w:val="right" w:leader="dot" w:pos="8100"/>
              <w:tab w:val="right" w:leader="dot" w:pos="8155"/>
            </w:tabs>
            <w:spacing w:after="0" w:line="360" w:lineRule="auto"/>
            <w:ind w:left="1350" w:right="65" w:hanging="690"/>
            <w:rPr>
              <w:rFonts w:ascii="Times New Roman" w:hAnsi="Times New Roman" w:cs="Times New Roman"/>
              <w:sz w:val="24"/>
              <w:szCs w:val="24"/>
            </w:rPr>
          </w:pPr>
          <w:hyperlink w:anchor="_Toc184272962" w:history="1">
            <w:r w:rsidR="0067013E">
              <w:rPr>
                <w:rStyle w:val="Hyperlink"/>
                <w:rFonts w:ascii="Times New Roman" w:eastAsia="Calibri" w:hAnsi="Times New Roman" w:cs="Times New Roman"/>
                <w:sz w:val="24"/>
                <w:szCs w:val="24"/>
              </w:rPr>
              <w:t>5.4.5.3 Types of ICT Tools and Devices used for ILS Learning and Training to Medical</w:t>
            </w:r>
            <w:r w:rsidR="0067013E">
              <w:rPr>
                <w:rStyle w:val="Hyperlink"/>
                <w:rFonts w:ascii="Times New Roman" w:hAnsi="Times New Roman" w:cs="Times New Roman"/>
                <w:sz w:val="24"/>
                <w:szCs w:val="24"/>
              </w:rPr>
              <w:t xml:space="preserve">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_Toc184272962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171</w:t>
            </w:r>
            <w:r w:rsidR="0067013E">
              <w:rPr>
                <w:rFonts w:ascii="Times New Roman" w:hAnsi="Times New Roman" w:cs="Times New Roman"/>
                <w:sz w:val="24"/>
                <w:szCs w:val="24"/>
              </w:rPr>
              <w:fldChar w:fldCharType="end"/>
            </w:r>
          </w:hyperlink>
        </w:p>
        <w:p w14:paraId="0D762DA3" w14:textId="77777777" w:rsidR="00B01D46" w:rsidRDefault="00FE757F">
          <w:pPr>
            <w:pStyle w:val="TOC4"/>
            <w:tabs>
              <w:tab w:val="right" w:leader="dot" w:pos="8100"/>
              <w:tab w:val="right" w:leader="dot" w:pos="8155"/>
            </w:tabs>
            <w:spacing w:after="0" w:line="360" w:lineRule="auto"/>
            <w:ind w:left="1350" w:right="65" w:hanging="690"/>
            <w:rPr>
              <w:rFonts w:ascii="Times New Roman" w:hAnsi="Times New Roman" w:cs="Times New Roman"/>
              <w:sz w:val="24"/>
              <w:szCs w:val="24"/>
            </w:rPr>
          </w:pPr>
          <w:hyperlink w:anchor="_Toc184272963" w:history="1">
            <w:r w:rsidR="0067013E">
              <w:rPr>
                <w:rStyle w:val="Hyperlink"/>
                <w:rFonts w:ascii="Times New Roman" w:hAnsi="Times New Roman" w:cs="Times New Roman"/>
                <w:sz w:val="24"/>
                <w:szCs w:val="24"/>
              </w:rPr>
              <w:t>5.4.5.4 Adequacy of the ICT Infrastructure in Moi University and University of Nairobi Universities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_Toc184272963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173</w:t>
            </w:r>
            <w:r w:rsidR="0067013E">
              <w:rPr>
                <w:rFonts w:ascii="Times New Roman" w:hAnsi="Times New Roman" w:cs="Times New Roman"/>
                <w:sz w:val="24"/>
                <w:szCs w:val="24"/>
              </w:rPr>
              <w:fldChar w:fldCharType="end"/>
            </w:r>
          </w:hyperlink>
        </w:p>
        <w:p w14:paraId="09C1810A"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64" w:history="1">
            <w:r w:rsidR="0067013E">
              <w:rPr>
                <w:rStyle w:val="Hyperlink"/>
                <w:rFonts w:ascii="Times New Roman" w:hAnsi="Times New Roman" w:cs="Times New Roman"/>
                <w:sz w:val="24"/>
                <w:szCs w:val="24"/>
              </w:rPr>
              <w:t>5.4.5.5 ICT Challenges Hindering Effective ILS Training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_Toc184272964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173</w:t>
            </w:r>
            <w:r w:rsidR="0067013E">
              <w:rPr>
                <w:rFonts w:ascii="Times New Roman" w:hAnsi="Times New Roman" w:cs="Times New Roman"/>
                <w:sz w:val="24"/>
                <w:szCs w:val="24"/>
              </w:rPr>
              <w:fldChar w:fldCharType="end"/>
            </w:r>
          </w:hyperlink>
        </w:p>
        <w:p w14:paraId="5F80004C" w14:textId="77777777" w:rsidR="00B01D46" w:rsidRDefault="00FE757F">
          <w:pPr>
            <w:pStyle w:val="TOC3"/>
            <w:rPr>
              <w:rFonts w:ascii="Times New Roman" w:eastAsiaTheme="minorEastAsia" w:hAnsi="Times New Roman" w:cs="Times New Roman"/>
              <w:sz w:val="24"/>
              <w:szCs w:val="24"/>
            </w:rPr>
          </w:pPr>
          <w:hyperlink w:anchor="_Toc184272966" w:history="1">
            <w:r w:rsidR="0067013E">
              <w:rPr>
                <w:rStyle w:val="Hyperlink"/>
                <w:rFonts w:ascii="Times New Roman" w:eastAsia="Calibri" w:hAnsi="Times New Roman" w:cs="Times New Roman"/>
                <w:sz w:val="24"/>
                <w:szCs w:val="24"/>
              </w:rPr>
              <w:t>5.4.6 Challenges Hindering ILS Delivery to 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_Toc184272966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176</w:t>
            </w:r>
            <w:r w:rsidR="0067013E">
              <w:rPr>
                <w:rFonts w:ascii="Times New Roman" w:hAnsi="Times New Roman" w:cs="Times New Roman"/>
                <w:sz w:val="24"/>
                <w:szCs w:val="24"/>
              </w:rPr>
              <w:fldChar w:fldCharType="end"/>
            </w:r>
          </w:hyperlink>
        </w:p>
        <w:p w14:paraId="4C984F22" w14:textId="77777777" w:rsidR="00B01D46" w:rsidRDefault="00FE757F">
          <w:pPr>
            <w:pStyle w:val="TOC3"/>
            <w:rPr>
              <w:rFonts w:ascii="Times New Roman" w:eastAsiaTheme="minorEastAsia" w:hAnsi="Times New Roman" w:cs="Times New Roman"/>
              <w:sz w:val="24"/>
              <w:szCs w:val="24"/>
            </w:rPr>
          </w:pPr>
          <w:hyperlink w:anchor="_Toc184272967" w:history="1">
            <w:r w:rsidR="0067013E">
              <w:rPr>
                <w:rStyle w:val="Hyperlink"/>
                <w:rFonts w:ascii="Times New Roman" w:eastAsia="Calibri" w:hAnsi="Times New Roman" w:cs="Times New Roman"/>
                <w:sz w:val="24"/>
                <w:szCs w:val="24"/>
              </w:rPr>
              <w:t>5.4.7 Strategies to Improve ILS Learning and Training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_Toc184272967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178</w:t>
            </w:r>
            <w:r w:rsidR="0067013E">
              <w:rPr>
                <w:rFonts w:ascii="Times New Roman" w:hAnsi="Times New Roman" w:cs="Times New Roman"/>
                <w:sz w:val="24"/>
                <w:szCs w:val="24"/>
              </w:rPr>
              <w:fldChar w:fldCharType="end"/>
            </w:r>
          </w:hyperlink>
        </w:p>
        <w:p w14:paraId="0A2097EF" w14:textId="77777777" w:rsidR="00B01D46" w:rsidRDefault="00FE757F">
          <w:pPr>
            <w:pStyle w:val="TOC2"/>
            <w:rPr>
              <w:rFonts w:eastAsiaTheme="minorEastAsia"/>
              <w:color w:val="auto"/>
            </w:rPr>
          </w:pPr>
          <w:hyperlink w:anchor="_Toc184272968" w:history="1">
            <w:r w:rsidR="0067013E">
              <w:rPr>
                <w:rStyle w:val="Hyperlink"/>
              </w:rPr>
              <w:t>5.5 Chapter Summary</w:t>
            </w:r>
            <w:r w:rsidR="0067013E">
              <w:tab/>
            </w:r>
            <w:r w:rsidR="0067013E">
              <w:fldChar w:fldCharType="begin"/>
            </w:r>
            <w:r w:rsidR="0067013E">
              <w:instrText xml:space="preserve"> PAGEREF _Toc184272968 \h </w:instrText>
            </w:r>
            <w:r w:rsidR="0067013E">
              <w:fldChar w:fldCharType="separate"/>
            </w:r>
            <w:r w:rsidR="0067013E">
              <w:t>179</w:t>
            </w:r>
            <w:r w:rsidR="0067013E">
              <w:fldChar w:fldCharType="end"/>
            </w:r>
          </w:hyperlink>
        </w:p>
        <w:p w14:paraId="1F71515E" w14:textId="77777777" w:rsidR="00B01D46" w:rsidRDefault="00FE757F">
          <w:pPr>
            <w:pStyle w:val="TOC1"/>
            <w:tabs>
              <w:tab w:val="clear" w:pos="9356"/>
              <w:tab w:val="right" w:leader="dot" w:pos="8100"/>
            </w:tabs>
            <w:spacing w:line="360" w:lineRule="auto"/>
            <w:ind w:right="65"/>
            <w:rPr>
              <w:rFonts w:eastAsiaTheme="minorEastAsia"/>
            </w:rPr>
          </w:pPr>
          <w:hyperlink w:anchor="_Toc184272969" w:history="1">
            <w:r w:rsidR="0067013E">
              <w:rPr>
                <w:rStyle w:val="Hyperlink"/>
              </w:rPr>
              <w:t>CHAPTER SIX</w:t>
            </w:r>
            <w:r w:rsidR="0067013E">
              <w:tab/>
            </w:r>
            <w:r w:rsidR="0067013E">
              <w:fldChar w:fldCharType="begin"/>
            </w:r>
            <w:r w:rsidR="0067013E">
              <w:instrText xml:space="preserve"> PAGEREF _Toc184272969 \h </w:instrText>
            </w:r>
            <w:r w:rsidR="0067013E">
              <w:fldChar w:fldCharType="separate"/>
            </w:r>
            <w:r w:rsidR="0067013E">
              <w:t>180</w:t>
            </w:r>
            <w:r w:rsidR="0067013E">
              <w:fldChar w:fldCharType="end"/>
            </w:r>
          </w:hyperlink>
        </w:p>
        <w:p w14:paraId="594B36B3" w14:textId="77777777" w:rsidR="00B01D46" w:rsidRDefault="00FE757F">
          <w:pPr>
            <w:pStyle w:val="TOC1"/>
            <w:tabs>
              <w:tab w:val="clear" w:pos="9356"/>
              <w:tab w:val="right" w:leader="dot" w:pos="8100"/>
            </w:tabs>
            <w:spacing w:line="360" w:lineRule="auto"/>
            <w:ind w:right="65"/>
            <w:rPr>
              <w:rFonts w:eastAsiaTheme="minorEastAsia"/>
            </w:rPr>
          </w:pPr>
          <w:hyperlink w:anchor="_Toc184272970" w:history="1">
            <w:r w:rsidR="0067013E">
              <w:rPr>
                <w:rStyle w:val="Hyperlink"/>
              </w:rPr>
              <w:t>INTERPRETATION AND DISCUSSION OF FINDINGS</w:t>
            </w:r>
            <w:r w:rsidR="0067013E">
              <w:tab/>
            </w:r>
            <w:r w:rsidR="0067013E">
              <w:fldChar w:fldCharType="begin"/>
            </w:r>
            <w:r w:rsidR="0067013E">
              <w:instrText xml:space="preserve"> PAGEREF _Toc184272970 \h </w:instrText>
            </w:r>
            <w:r w:rsidR="0067013E">
              <w:fldChar w:fldCharType="separate"/>
            </w:r>
            <w:r w:rsidR="0067013E">
              <w:t>180</w:t>
            </w:r>
            <w:r w:rsidR="0067013E">
              <w:fldChar w:fldCharType="end"/>
            </w:r>
          </w:hyperlink>
        </w:p>
        <w:p w14:paraId="357E49AB" w14:textId="77777777" w:rsidR="00B01D46" w:rsidRDefault="00FE757F">
          <w:pPr>
            <w:pStyle w:val="TOC2"/>
            <w:rPr>
              <w:rFonts w:eastAsiaTheme="minorEastAsia"/>
              <w:color w:val="auto"/>
            </w:rPr>
          </w:pPr>
          <w:hyperlink w:anchor="_Toc184272971" w:history="1">
            <w:r w:rsidR="0067013E">
              <w:rPr>
                <w:rStyle w:val="Hyperlink"/>
              </w:rPr>
              <w:t>6.1 Introduction</w:t>
            </w:r>
            <w:r w:rsidR="0067013E">
              <w:tab/>
            </w:r>
            <w:r w:rsidR="0067013E">
              <w:fldChar w:fldCharType="begin"/>
            </w:r>
            <w:r w:rsidR="0067013E">
              <w:instrText xml:space="preserve"> PAGEREF _Toc184272971 \h </w:instrText>
            </w:r>
            <w:r w:rsidR="0067013E">
              <w:fldChar w:fldCharType="separate"/>
            </w:r>
            <w:r w:rsidR="0067013E">
              <w:t>180</w:t>
            </w:r>
            <w:r w:rsidR="0067013E">
              <w:fldChar w:fldCharType="end"/>
            </w:r>
          </w:hyperlink>
        </w:p>
        <w:p w14:paraId="48DCFA64" w14:textId="77777777" w:rsidR="00B01D46" w:rsidRDefault="00FE757F">
          <w:pPr>
            <w:pStyle w:val="TOC2"/>
            <w:rPr>
              <w:rFonts w:eastAsiaTheme="minorEastAsia"/>
              <w:color w:val="auto"/>
            </w:rPr>
          </w:pPr>
          <w:hyperlink w:anchor="_Toc184272972" w:history="1">
            <w:r w:rsidR="0067013E">
              <w:rPr>
                <w:rStyle w:val="Hyperlink"/>
              </w:rPr>
              <w:t>6.2 Status of Information Literacy Skills among Medical Undergraduate Students</w:t>
            </w:r>
            <w:r w:rsidR="0067013E">
              <w:tab/>
            </w:r>
            <w:r w:rsidR="0067013E">
              <w:fldChar w:fldCharType="begin"/>
            </w:r>
            <w:r w:rsidR="0067013E">
              <w:instrText xml:space="preserve"> PAGEREF _Toc184272972 \h </w:instrText>
            </w:r>
            <w:r w:rsidR="0067013E">
              <w:fldChar w:fldCharType="separate"/>
            </w:r>
            <w:r w:rsidR="0067013E">
              <w:t>181</w:t>
            </w:r>
            <w:r w:rsidR="0067013E">
              <w:fldChar w:fldCharType="end"/>
            </w:r>
          </w:hyperlink>
        </w:p>
        <w:p w14:paraId="607E9CED" w14:textId="77777777" w:rsidR="00B01D46" w:rsidRDefault="00FE757F">
          <w:pPr>
            <w:pStyle w:val="TOC3"/>
            <w:rPr>
              <w:rFonts w:ascii="Times New Roman" w:eastAsiaTheme="minorEastAsia" w:hAnsi="Times New Roman" w:cs="Times New Roman"/>
              <w:sz w:val="24"/>
              <w:szCs w:val="24"/>
            </w:rPr>
          </w:pPr>
          <w:hyperlink w:anchor="_Toc184272973" w:history="1">
            <w:r w:rsidR="0067013E">
              <w:rPr>
                <w:rStyle w:val="Hyperlink"/>
                <w:rFonts w:ascii="Times New Roman" w:hAnsi="Times New Roman" w:cs="Times New Roman"/>
                <w:sz w:val="24"/>
                <w:szCs w:val="24"/>
              </w:rPr>
              <w:t>6.2.1 Information Skills Levels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_Toc184272973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181</w:t>
            </w:r>
            <w:r w:rsidR="0067013E">
              <w:rPr>
                <w:rFonts w:ascii="Times New Roman" w:hAnsi="Times New Roman" w:cs="Times New Roman"/>
                <w:sz w:val="24"/>
                <w:szCs w:val="24"/>
              </w:rPr>
              <w:fldChar w:fldCharType="end"/>
            </w:r>
          </w:hyperlink>
        </w:p>
        <w:p w14:paraId="74571EB0" w14:textId="77777777" w:rsidR="00B01D46" w:rsidRDefault="00FE757F">
          <w:pPr>
            <w:pStyle w:val="TOC3"/>
            <w:rPr>
              <w:rFonts w:ascii="Times New Roman" w:eastAsiaTheme="minorEastAsia" w:hAnsi="Times New Roman" w:cs="Times New Roman"/>
              <w:sz w:val="24"/>
              <w:szCs w:val="24"/>
            </w:rPr>
          </w:pPr>
          <w:hyperlink w:anchor="_Toc184272974" w:history="1">
            <w:r w:rsidR="0067013E">
              <w:rPr>
                <w:rStyle w:val="Hyperlink"/>
                <w:rFonts w:ascii="Times New Roman" w:hAnsi="Times New Roman" w:cs="Times New Roman"/>
                <w:sz w:val="24"/>
                <w:szCs w:val="24"/>
              </w:rPr>
              <w:t>6.2.2 Numeracy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_Toc184272974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183</w:t>
            </w:r>
            <w:r w:rsidR="0067013E">
              <w:rPr>
                <w:rFonts w:ascii="Times New Roman" w:hAnsi="Times New Roman" w:cs="Times New Roman"/>
                <w:sz w:val="24"/>
                <w:szCs w:val="24"/>
              </w:rPr>
              <w:fldChar w:fldCharType="end"/>
            </w:r>
          </w:hyperlink>
        </w:p>
        <w:p w14:paraId="4D414A09" w14:textId="77777777" w:rsidR="00B01D46" w:rsidRDefault="00FE757F">
          <w:pPr>
            <w:pStyle w:val="TOC3"/>
            <w:rPr>
              <w:rFonts w:ascii="Times New Roman" w:eastAsiaTheme="minorEastAsia" w:hAnsi="Times New Roman" w:cs="Times New Roman"/>
              <w:sz w:val="24"/>
              <w:szCs w:val="24"/>
            </w:rPr>
          </w:pPr>
          <w:hyperlink w:anchor="_Toc184272975" w:history="1">
            <w:r w:rsidR="0067013E">
              <w:rPr>
                <w:rStyle w:val="Hyperlink"/>
                <w:rFonts w:ascii="Times New Roman" w:hAnsi="Times New Roman" w:cs="Times New Roman"/>
                <w:sz w:val="24"/>
                <w:szCs w:val="24"/>
              </w:rPr>
              <w:t>6.2.3 Problem-</w:t>
            </w:r>
            <w:r w:rsidR="0067013E">
              <w:rPr>
                <w:rStyle w:val="Hyperlink"/>
                <w:rFonts w:ascii="Times New Roman" w:eastAsiaTheme="majorEastAsia" w:hAnsi="Times New Roman" w:cs="Times New Roman"/>
                <w:sz w:val="24"/>
                <w:szCs w:val="24"/>
              </w:rPr>
              <w:t>Solving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_Toc184272975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185</w:t>
            </w:r>
            <w:r w:rsidR="0067013E">
              <w:rPr>
                <w:rFonts w:ascii="Times New Roman" w:hAnsi="Times New Roman" w:cs="Times New Roman"/>
                <w:sz w:val="24"/>
                <w:szCs w:val="24"/>
              </w:rPr>
              <w:fldChar w:fldCharType="end"/>
            </w:r>
          </w:hyperlink>
        </w:p>
        <w:p w14:paraId="5CC21E19" w14:textId="77777777" w:rsidR="00B01D46" w:rsidRDefault="00FE757F">
          <w:pPr>
            <w:pStyle w:val="TOC3"/>
            <w:rPr>
              <w:rFonts w:ascii="Times New Roman" w:eastAsiaTheme="minorEastAsia" w:hAnsi="Times New Roman" w:cs="Times New Roman"/>
              <w:sz w:val="24"/>
              <w:szCs w:val="24"/>
            </w:rPr>
          </w:pPr>
          <w:hyperlink w:anchor="_Toc184272976" w:history="1">
            <w:r w:rsidR="0067013E">
              <w:rPr>
                <w:rStyle w:val="Hyperlink"/>
                <w:rFonts w:ascii="Times New Roman" w:hAnsi="Times New Roman" w:cs="Times New Roman"/>
                <w:sz w:val="24"/>
                <w:szCs w:val="24"/>
              </w:rPr>
              <w:t>6.2.4 Communication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_Toc184272976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186</w:t>
            </w:r>
            <w:r w:rsidR="0067013E">
              <w:rPr>
                <w:rFonts w:ascii="Times New Roman" w:hAnsi="Times New Roman" w:cs="Times New Roman"/>
                <w:sz w:val="24"/>
                <w:szCs w:val="24"/>
              </w:rPr>
              <w:fldChar w:fldCharType="end"/>
            </w:r>
          </w:hyperlink>
        </w:p>
        <w:p w14:paraId="1E099554" w14:textId="77777777" w:rsidR="00B01D46" w:rsidRDefault="00FE757F">
          <w:pPr>
            <w:pStyle w:val="TOC3"/>
            <w:rPr>
              <w:rFonts w:ascii="Times New Roman" w:eastAsiaTheme="minorEastAsia" w:hAnsi="Times New Roman" w:cs="Times New Roman"/>
              <w:sz w:val="24"/>
              <w:szCs w:val="24"/>
            </w:rPr>
          </w:pPr>
          <w:hyperlink w:anchor="_Toc184272977" w:history="1">
            <w:r w:rsidR="0067013E">
              <w:rPr>
                <w:rStyle w:val="Hyperlink"/>
                <w:rFonts w:ascii="Times New Roman" w:hAnsi="Times New Roman" w:cs="Times New Roman"/>
                <w:sz w:val="24"/>
                <w:szCs w:val="24"/>
              </w:rPr>
              <w:t>6.2.5 Self-Management and Competitive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_Toc184272977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187</w:t>
            </w:r>
            <w:r w:rsidR="0067013E">
              <w:rPr>
                <w:rFonts w:ascii="Times New Roman" w:hAnsi="Times New Roman" w:cs="Times New Roman"/>
                <w:sz w:val="24"/>
                <w:szCs w:val="24"/>
              </w:rPr>
              <w:fldChar w:fldCharType="end"/>
            </w:r>
          </w:hyperlink>
        </w:p>
        <w:p w14:paraId="70B26EBC" w14:textId="77777777" w:rsidR="00B01D46" w:rsidRDefault="00FE757F">
          <w:pPr>
            <w:pStyle w:val="TOC3"/>
            <w:rPr>
              <w:rFonts w:ascii="Times New Roman" w:eastAsiaTheme="minorEastAsia" w:hAnsi="Times New Roman" w:cs="Times New Roman"/>
              <w:sz w:val="24"/>
              <w:szCs w:val="24"/>
            </w:rPr>
          </w:pPr>
          <w:hyperlink w:anchor="_Toc184272978" w:history="1">
            <w:r w:rsidR="0067013E">
              <w:rPr>
                <w:rStyle w:val="Hyperlink"/>
                <w:rFonts w:ascii="Times New Roman" w:hAnsi="Times New Roman" w:cs="Times New Roman"/>
                <w:sz w:val="24"/>
                <w:szCs w:val="24"/>
              </w:rPr>
              <w:t>6.2.6 Social and Co-operative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_Toc184272978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189</w:t>
            </w:r>
            <w:r w:rsidR="0067013E">
              <w:rPr>
                <w:rFonts w:ascii="Times New Roman" w:hAnsi="Times New Roman" w:cs="Times New Roman"/>
                <w:sz w:val="24"/>
                <w:szCs w:val="24"/>
              </w:rPr>
              <w:fldChar w:fldCharType="end"/>
            </w:r>
          </w:hyperlink>
        </w:p>
        <w:p w14:paraId="084F1D7C" w14:textId="77777777" w:rsidR="00B01D46" w:rsidRDefault="00FE757F">
          <w:pPr>
            <w:pStyle w:val="TOC3"/>
            <w:rPr>
              <w:rFonts w:ascii="Times New Roman" w:eastAsiaTheme="minorEastAsia" w:hAnsi="Times New Roman" w:cs="Times New Roman"/>
              <w:sz w:val="24"/>
              <w:szCs w:val="24"/>
            </w:rPr>
          </w:pPr>
          <w:hyperlink w:anchor="_Toc184272979" w:history="1">
            <w:r w:rsidR="0067013E">
              <w:rPr>
                <w:rStyle w:val="Hyperlink"/>
                <w:rFonts w:ascii="Times New Roman" w:hAnsi="Times New Roman" w:cs="Times New Roman"/>
                <w:sz w:val="24"/>
                <w:szCs w:val="24"/>
              </w:rPr>
              <w:t>6.2.7 Labor and Learning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_Toc184272979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191</w:t>
            </w:r>
            <w:r w:rsidR="0067013E">
              <w:rPr>
                <w:rFonts w:ascii="Times New Roman" w:hAnsi="Times New Roman" w:cs="Times New Roman"/>
                <w:sz w:val="24"/>
                <w:szCs w:val="24"/>
              </w:rPr>
              <w:fldChar w:fldCharType="end"/>
            </w:r>
          </w:hyperlink>
        </w:p>
        <w:p w14:paraId="5E2AC2D6" w14:textId="77777777" w:rsidR="00B01D46" w:rsidRDefault="00FE757F">
          <w:pPr>
            <w:pStyle w:val="TOC2"/>
            <w:rPr>
              <w:rFonts w:eastAsiaTheme="minorEastAsia"/>
              <w:color w:val="auto"/>
            </w:rPr>
          </w:pPr>
          <w:hyperlink w:anchor="_Toc184272980" w:history="1">
            <w:r w:rsidR="0067013E">
              <w:rPr>
                <w:rStyle w:val="Hyperlink"/>
              </w:rPr>
              <w:t>6.3 ILS Policies and Curricula Supporting Delivery of ILS to Medical Undergraduate Students</w:t>
            </w:r>
            <w:r w:rsidR="0067013E">
              <w:tab/>
            </w:r>
            <w:r w:rsidR="0067013E">
              <w:fldChar w:fldCharType="begin"/>
            </w:r>
            <w:r w:rsidR="0067013E">
              <w:instrText xml:space="preserve"> PAGEREF _Toc184272980 \h </w:instrText>
            </w:r>
            <w:r w:rsidR="0067013E">
              <w:fldChar w:fldCharType="separate"/>
            </w:r>
            <w:r w:rsidR="0067013E">
              <w:t>192</w:t>
            </w:r>
            <w:r w:rsidR="0067013E">
              <w:fldChar w:fldCharType="end"/>
            </w:r>
          </w:hyperlink>
        </w:p>
        <w:p w14:paraId="29816CB3" w14:textId="77777777" w:rsidR="00B01D46" w:rsidRDefault="00FE757F">
          <w:pPr>
            <w:pStyle w:val="TOC3"/>
            <w:rPr>
              <w:rFonts w:ascii="Times New Roman" w:eastAsiaTheme="minorEastAsia" w:hAnsi="Times New Roman" w:cs="Times New Roman"/>
              <w:sz w:val="24"/>
              <w:szCs w:val="24"/>
            </w:rPr>
          </w:pPr>
          <w:hyperlink w:anchor="_Toc184272981" w:history="1">
            <w:r w:rsidR="0067013E">
              <w:rPr>
                <w:rStyle w:val="Hyperlink"/>
                <w:rFonts w:ascii="Times New Roman" w:eastAsiaTheme="majorEastAsia" w:hAnsi="Times New Roman" w:cs="Times New Roman"/>
                <w:sz w:val="24"/>
                <w:szCs w:val="24"/>
              </w:rPr>
              <w:t>6.3.1 ILS Policies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_Toc184272981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192</w:t>
            </w:r>
            <w:r w:rsidR="0067013E">
              <w:rPr>
                <w:rFonts w:ascii="Times New Roman" w:hAnsi="Times New Roman" w:cs="Times New Roman"/>
                <w:sz w:val="24"/>
                <w:szCs w:val="24"/>
              </w:rPr>
              <w:fldChar w:fldCharType="end"/>
            </w:r>
          </w:hyperlink>
        </w:p>
        <w:p w14:paraId="6533EA83"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82" w:history="1">
            <w:r w:rsidR="0067013E">
              <w:rPr>
                <w:rStyle w:val="Hyperlink"/>
                <w:rFonts w:ascii="Times New Roman" w:hAnsi="Times New Roman" w:cs="Times New Roman"/>
                <w:sz w:val="24"/>
                <w:szCs w:val="24"/>
              </w:rPr>
              <w:t>6.3.1.1 Availability of ILS Policies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_Toc184272982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193</w:t>
            </w:r>
            <w:r w:rsidR="0067013E">
              <w:rPr>
                <w:rFonts w:ascii="Times New Roman" w:hAnsi="Times New Roman" w:cs="Times New Roman"/>
                <w:sz w:val="24"/>
                <w:szCs w:val="24"/>
              </w:rPr>
              <w:fldChar w:fldCharType="end"/>
            </w:r>
          </w:hyperlink>
        </w:p>
        <w:p w14:paraId="13B89B7A"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83" w:history="1">
            <w:r w:rsidR="0067013E">
              <w:rPr>
                <w:rStyle w:val="Hyperlink"/>
                <w:rFonts w:ascii="Times New Roman" w:hAnsi="Times New Roman" w:cs="Times New Roman"/>
                <w:sz w:val="24"/>
                <w:szCs w:val="24"/>
              </w:rPr>
              <w:t>6.3.1.2 Information Literacy Skills Covered in the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_Toc184272983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194</w:t>
            </w:r>
            <w:r w:rsidR="0067013E">
              <w:rPr>
                <w:rFonts w:ascii="Times New Roman" w:hAnsi="Times New Roman" w:cs="Times New Roman"/>
                <w:sz w:val="24"/>
                <w:szCs w:val="24"/>
              </w:rPr>
              <w:fldChar w:fldCharType="end"/>
            </w:r>
          </w:hyperlink>
        </w:p>
        <w:p w14:paraId="2C3162C6"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84" w:history="1">
            <w:r w:rsidR="0067013E">
              <w:rPr>
                <w:rStyle w:val="Hyperlink"/>
                <w:rFonts w:ascii="Times New Roman" w:hAnsi="Times New Roman" w:cs="Times New Roman"/>
                <w:sz w:val="24"/>
                <w:szCs w:val="24"/>
              </w:rPr>
              <w:t>6.3.1.3 Formulation and Implementation of the ILS Policies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_Toc184272984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195</w:t>
            </w:r>
            <w:r w:rsidR="0067013E">
              <w:rPr>
                <w:rFonts w:ascii="Times New Roman" w:hAnsi="Times New Roman" w:cs="Times New Roman"/>
                <w:sz w:val="24"/>
                <w:szCs w:val="24"/>
              </w:rPr>
              <w:fldChar w:fldCharType="end"/>
            </w:r>
          </w:hyperlink>
        </w:p>
        <w:p w14:paraId="7DA71C65"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85" w:history="1">
            <w:r w:rsidR="0067013E">
              <w:rPr>
                <w:rStyle w:val="Hyperlink"/>
                <w:rFonts w:ascii="Times New Roman" w:hAnsi="Times New Roman" w:cs="Times New Roman"/>
                <w:sz w:val="24"/>
                <w:szCs w:val="24"/>
              </w:rPr>
              <w:t>6.3.1.4 Adequacy of the ILS Policies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_Toc184272985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197</w:t>
            </w:r>
            <w:r w:rsidR="0067013E">
              <w:rPr>
                <w:rFonts w:ascii="Times New Roman" w:hAnsi="Times New Roman" w:cs="Times New Roman"/>
                <w:sz w:val="24"/>
                <w:szCs w:val="24"/>
              </w:rPr>
              <w:fldChar w:fldCharType="end"/>
            </w:r>
          </w:hyperlink>
        </w:p>
        <w:p w14:paraId="0EF94010" w14:textId="77777777" w:rsidR="00B01D46" w:rsidRDefault="00FE757F">
          <w:pPr>
            <w:pStyle w:val="TOC3"/>
            <w:rPr>
              <w:rFonts w:ascii="Times New Roman" w:eastAsiaTheme="minorEastAsia" w:hAnsi="Times New Roman" w:cs="Times New Roman"/>
              <w:sz w:val="24"/>
              <w:szCs w:val="24"/>
            </w:rPr>
          </w:pPr>
          <w:hyperlink w:anchor="_Toc184272986" w:history="1">
            <w:r w:rsidR="0067013E">
              <w:rPr>
                <w:rStyle w:val="Hyperlink"/>
                <w:rFonts w:ascii="Times New Roman" w:eastAsia="Calibri" w:hAnsi="Times New Roman" w:cs="Times New Roman"/>
                <w:sz w:val="24"/>
                <w:szCs w:val="24"/>
              </w:rPr>
              <w:t>6.3.2 ILS Curricula and Delivery Methods Used</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_Toc184272986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198</w:t>
            </w:r>
            <w:r w:rsidR="0067013E">
              <w:rPr>
                <w:rFonts w:ascii="Times New Roman" w:hAnsi="Times New Roman" w:cs="Times New Roman"/>
                <w:sz w:val="24"/>
                <w:szCs w:val="24"/>
              </w:rPr>
              <w:fldChar w:fldCharType="end"/>
            </w:r>
          </w:hyperlink>
        </w:p>
        <w:p w14:paraId="0B1B528C"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87" w:history="1">
            <w:r w:rsidR="0067013E">
              <w:rPr>
                <w:rStyle w:val="Hyperlink"/>
                <w:rFonts w:ascii="Times New Roman" w:hAnsi="Times New Roman" w:cs="Times New Roman"/>
                <w:sz w:val="24"/>
                <w:szCs w:val="24"/>
              </w:rPr>
              <w:t>6.3.2.1 Existence of ILS Curriculum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_Toc184272987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199</w:t>
            </w:r>
            <w:r w:rsidR="0067013E">
              <w:rPr>
                <w:rFonts w:ascii="Times New Roman" w:hAnsi="Times New Roman" w:cs="Times New Roman"/>
                <w:sz w:val="24"/>
                <w:szCs w:val="24"/>
              </w:rPr>
              <w:fldChar w:fldCharType="end"/>
            </w:r>
          </w:hyperlink>
        </w:p>
        <w:p w14:paraId="323A8932"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88" w:history="1">
            <w:r w:rsidR="0067013E">
              <w:rPr>
                <w:rStyle w:val="Hyperlink"/>
                <w:rFonts w:ascii="Times New Roman" w:hAnsi="Times New Roman" w:cs="Times New Roman"/>
                <w:sz w:val="24"/>
                <w:szCs w:val="24"/>
              </w:rPr>
              <w:t>6.3.2.2 Topics Covered by the ILS Curriculum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_Toc184272988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200</w:t>
            </w:r>
            <w:r w:rsidR="0067013E">
              <w:rPr>
                <w:rFonts w:ascii="Times New Roman" w:hAnsi="Times New Roman" w:cs="Times New Roman"/>
                <w:sz w:val="24"/>
                <w:szCs w:val="24"/>
              </w:rPr>
              <w:fldChar w:fldCharType="end"/>
            </w:r>
          </w:hyperlink>
        </w:p>
        <w:p w14:paraId="0AAE0FD2"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89" w:history="1">
            <w:r w:rsidR="0067013E">
              <w:rPr>
                <w:rStyle w:val="Hyperlink"/>
                <w:rFonts w:ascii="Times New Roman" w:hAnsi="Times New Roman" w:cs="Times New Roman"/>
                <w:sz w:val="24"/>
                <w:szCs w:val="24"/>
              </w:rPr>
              <w:t>6.3.2.3 Methods of ILS Delivery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_Toc184272989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201</w:t>
            </w:r>
            <w:r w:rsidR="0067013E">
              <w:rPr>
                <w:rFonts w:ascii="Times New Roman" w:hAnsi="Times New Roman" w:cs="Times New Roman"/>
                <w:sz w:val="24"/>
                <w:szCs w:val="24"/>
              </w:rPr>
              <w:fldChar w:fldCharType="end"/>
            </w:r>
          </w:hyperlink>
        </w:p>
        <w:p w14:paraId="52A197CC"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90" w:history="1">
            <w:r w:rsidR="0067013E">
              <w:rPr>
                <w:rStyle w:val="Hyperlink"/>
                <w:rFonts w:ascii="Times New Roman" w:hAnsi="Times New Roman" w:cs="Times New Roman"/>
                <w:sz w:val="24"/>
                <w:szCs w:val="24"/>
              </w:rPr>
              <w:t>6.3.2.4 Who Teaches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_Toc184272990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203</w:t>
            </w:r>
            <w:r w:rsidR="0067013E">
              <w:rPr>
                <w:rFonts w:ascii="Times New Roman" w:hAnsi="Times New Roman" w:cs="Times New Roman"/>
                <w:sz w:val="24"/>
                <w:szCs w:val="24"/>
              </w:rPr>
              <w:fldChar w:fldCharType="end"/>
            </w:r>
          </w:hyperlink>
        </w:p>
        <w:p w14:paraId="1C4942E8"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2991" w:history="1">
            <w:r w:rsidR="0067013E">
              <w:rPr>
                <w:rStyle w:val="Hyperlink"/>
                <w:rFonts w:ascii="Times New Roman" w:hAnsi="Times New Roman" w:cs="Times New Roman"/>
                <w:sz w:val="24"/>
                <w:szCs w:val="24"/>
              </w:rPr>
              <w:t>6.3.2.5 Techniques for Assessing the Effectiveness of the ILS Curriculum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_Toc184272991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205</w:t>
            </w:r>
            <w:r w:rsidR="0067013E">
              <w:rPr>
                <w:rFonts w:ascii="Times New Roman" w:hAnsi="Times New Roman" w:cs="Times New Roman"/>
                <w:sz w:val="24"/>
                <w:szCs w:val="24"/>
              </w:rPr>
              <w:fldChar w:fldCharType="end"/>
            </w:r>
          </w:hyperlink>
        </w:p>
        <w:p w14:paraId="419870EF" w14:textId="77777777" w:rsidR="00B01D46" w:rsidRDefault="00FE757F">
          <w:pPr>
            <w:pStyle w:val="TOC2"/>
            <w:rPr>
              <w:rFonts w:eastAsiaTheme="minorEastAsia"/>
              <w:color w:val="auto"/>
            </w:rPr>
          </w:pPr>
          <w:hyperlink w:anchor="_Toc184272992" w:history="1">
            <w:r w:rsidR="0067013E">
              <w:rPr>
                <w:rStyle w:val="Hyperlink"/>
              </w:rPr>
              <w:t>6.4 ILS Understanding among Medical Undergraduate Students</w:t>
            </w:r>
            <w:r w:rsidR="0067013E">
              <w:tab/>
            </w:r>
            <w:r w:rsidR="0067013E">
              <w:fldChar w:fldCharType="begin"/>
            </w:r>
            <w:r w:rsidR="0067013E">
              <w:instrText xml:space="preserve"> PAGEREF _Toc184272992 \h </w:instrText>
            </w:r>
            <w:r w:rsidR="0067013E">
              <w:fldChar w:fldCharType="separate"/>
            </w:r>
            <w:r w:rsidR="0067013E">
              <w:t>206</w:t>
            </w:r>
            <w:r w:rsidR="0067013E">
              <w:fldChar w:fldCharType="end"/>
            </w:r>
          </w:hyperlink>
        </w:p>
        <w:p w14:paraId="10315293" w14:textId="77777777" w:rsidR="00B01D46" w:rsidRDefault="00FE757F">
          <w:pPr>
            <w:pStyle w:val="TOC3"/>
            <w:rPr>
              <w:rFonts w:ascii="Times New Roman" w:eastAsiaTheme="minorEastAsia" w:hAnsi="Times New Roman" w:cs="Times New Roman"/>
              <w:sz w:val="24"/>
              <w:szCs w:val="24"/>
            </w:rPr>
          </w:pPr>
          <w:hyperlink w:anchor="_Toc184272993" w:history="1">
            <w:r w:rsidR="0067013E">
              <w:rPr>
                <w:rStyle w:val="Hyperlink"/>
                <w:rFonts w:ascii="Times New Roman" w:hAnsi="Times New Roman" w:cs="Times New Roman"/>
                <w:sz w:val="24"/>
                <w:szCs w:val="24"/>
              </w:rPr>
              <w:t>6.4.1 Students’ Views towards ILS Training and Learning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_Toc184272993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207</w:t>
            </w:r>
            <w:r w:rsidR="0067013E">
              <w:rPr>
                <w:rFonts w:ascii="Times New Roman" w:hAnsi="Times New Roman" w:cs="Times New Roman"/>
                <w:sz w:val="24"/>
                <w:szCs w:val="24"/>
              </w:rPr>
              <w:fldChar w:fldCharType="end"/>
            </w:r>
          </w:hyperlink>
        </w:p>
        <w:p w14:paraId="4F398B65" w14:textId="77777777" w:rsidR="00B01D46" w:rsidRDefault="00FE757F">
          <w:pPr>
            <w:pStyle w:val="TOC3"/>
            <w:rPr>
              <w:rFonts w:ascii="Times New Roman" w:eastAsiaTheme="minorEastAsia" w:hAnsi="Times New Roman" w:cs="Times New Roman"/>
              <w:sz w:val="24"/>
              <w:szCs w:val="24"/>
            </w:rPr>
          </w:pPr>
          <w:hyperlink w:anchor="_Toc184272994" w:history="1">
            <w:r w:rsidR="0067013E">
              <w:rPr>
                <w:rStyle w:val="Hyperlink"/>
                <w:rFonts w:ascii="Times New Roman" w:hAnsi="Times New Roman" w:cs="Times New Roman"/>
                <w:sz w:val="24"/>
                <w:szCs w:val="24"/>
              </w:rPr>
              <w:t>6.4.2 Students’ Library Experience after ILS Training and Learning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_Toc184272994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209</w:t>
            </w:r>
            <w:r w:rsidR="0067013E">
              <w:rPr>
                <w:rFonts w:ascii="Times New Roman" w:hAnsi="Times New Roman" w:cs="Times New Roman"/>
                <w:sz w:val="24"/>
                <w:szCs w:val="24"/>
              </w:rPr>
              <w:fldChar w:fldCharType="end"/>
            </w:r>
          </w:hyperlink>
        </w:p>
        <w:p w14:paraId="6DA59228" w14:textId="77777777" w:rsidR="00B01D46" w:rsidRDefault="00FE757F">
          <w:pPr>
            <w:pStyle w:val="TOC2"/>
            <w:rPr>
              <w:rFonts w:eastAsiaTheme="minorEastAsia"/>
              <w:color w:val="auto"/>
            </w:rPr>
          </w:pPr>
          <w:hyperlink w:anchor="_Toc184272995" w:history="1">
            <w:r w:rsidR="0067013E">
              <w:rPr>
                <w:rStyle w:val="Hyperlink"/>
              </w:rPr>
              <w:t xml:space="preserve">6.5 Knowledge and Skills Possessed by Staff Facilitating ILS among </w:t>
            </w:r>
            <w:r w:rsidR="0067013E">
              <w:rPr>
                <w:rStyle w:val="Hyperlink"/>
                <w:rFonts w:eastAsia="Times New Roman"/>
              </w:rPr>
              <w:t>Medical Undergraduate Students</w:t>
            </w:r>
            <w:r w:rsidR="0067013E">
              <w:tab/>
            </w:r>
            <w:r w:rsidR="0067013E">
              <w:fldChar w:fldCharType="begin"/>
            </w:r>
            <w:r w:rsidR="0067013E">
              <w:instrText xml:space="preserve"> PAGEREF _Toc184272995 \h </w:instrText>
            </w:r>
            <w:r w:rsidR="0067013E">
              <w:fldChar w:fldCharType="separate"/>
            </w:r>
            <w:r w:rsidR="0067013E">
              <w:t>211</w:t>
            </w:r>
            <w:r w:rsidR="0067013E">
              <w:fldChar w:fldCharType="end"/>
            </w:r>
          </w:hyperlink>
        </w:p>
        <w:p w14:paraId="03E4FB07" w14:textId="77777777" w:rsidR="00B01D46" w:rsidRDefault="00FE757F">
          <w:pPr>
            <w:pStyle w:val="TOC2"/>
            <w:rPr>
              <w:rFonts w:eastAsiaTheme="minorEastAsia"/>
              <w:color w:val="auto"/>
            </w:rPr>
          </w:pPr>
          <w:hyperlink w:anchor="_Toc184272996" w:history="1">
            <w:r w:rsidR="0067013E">
              <w:rPr>
                <w:rStyle w:val="Hyperlink"/>
              </w:rPr>
              <w:t>6.6 Role of ICT in Facilitating and Promoting Information Literacy Skills</w:t>
            </w:r>
            <w:r w:rsidR="0067013E">
              <w:tab/>
            </w:r>
            <w:r w:rsidR="0067013E">
              <w:fldChar w:fldCharType="begin"/>
            </w:r>
            <w:r w:rsidR="0067013E">
              <w:instrText xml:space="preserve"> PAGEREF _Toc184272996 \h </w:instrText>
            </w:r>
            <w:r w:rsidR="0067013E">
              <w:fldChar w:fldCharType="separate"/>
            </w:r>
            <w:r w:rsidR="0067013E">
              <w:t>214</w:t>
            </w:r>
            <w:r w:rsidR="0067013E">
              <w:fldChar w:fldCharType="end"/>
            </w:r>
          </w:hyperlink>
        </w:p>
        <w:p w14:paraId="027EDDA4" w14:textId="77777777" w:rsidR="00B01D46" w:rsidRDefault="00FE757F">
          <w:pPr>
            <w:pStyle w:val="TOC3"/>
            <w:rPr>
              <w:rFonts w:ascii="Times New Roman" w:eastAsiaTheme="minorEastAsia" w:hAnsi="Times New Roman" w:cs="Times New Roman"/>
              <w:sz w:val="24"/>
              <w:szCs w:val="24"/>
            </w:rPr>
          </w:pPr>
          <w:hyperlink w:anchor="_Toc184272997" w:history="1">
            <w:r w:rsidR="0067013E">
              <w:rPr>
                <w:rStyle w:val="Hyperlink"/>
                <w:rFonts w:ascii="Times New Roman" w:hAnsi="Times New Roman" w:cs="Times New Roman"/>
                <w:sz w:val="24"/>
                <w:szCs w:val="24"/>
              </w:rPr>
              <w:t>6.6.1 Students’ Integration of ICT Skills with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_Toc184272997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214</w:t>
            </w:r>
            <w:r w:rsidR="0067013E">
              <w:rPr>
                <w:rFonts w:ascii="Times New Roman" w:hAnsi="Times New Roman" w:cs="Times New Roman"/>
                <w:sz w:val="24"/>
                <w:szCs w:val="24"/>
              </w:rPr>
              <w:fldChar w:fldCharType="end"/>
            </w:r>
          </w:hyperlink>
        </w:p>
        <w:p w14:paraId="5809827E" w14:textId="77777777" w:rsidR="00B01D46" w:rsidRDefault="00FE757F">
          <w:pPr>
            <w:pStyle w:val="TOC3"/>
            <w:rPr>
              <w:rFonts w:ascii="Times New Roman" w:eastAsiaTheme="minorEastAsia" w:hAnsi="Times New Roman" w:cs="Times New Roman"/>
              <w:sz w:val="24"/>
              <w:szCs w:val="24"/>
            </w:rPr>
          </w:pPr>
          <w:hyperlink w:anchor="_Toc184272998" w:history="1">
            <w:r w:rsidR="0067013E">
              <w:rPr>
                <w:rStyle w:val="Hyperlink"/>
                <w:rFonts w:ascii="Times New Roman" w:hAnsi="Times New Roman" w:cs="Times New Roman"/>
                <w:sz w:val="24"/>
                <w:szCs w:val="24"/>
              </w:rPr>
              <w:t>6.6.2 Types of ICT Tools and Devices Used for ILS Learning and Training for 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_Toc184272998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216</w:t>
            </w:r>
            <w:r w:rsidR="0067013E">
              <w:rPr>
                <w:rFonts w:ascii="Times New Roman" w:hAnsi="Times New Roman" w:cs="Times New Roman"/>
                <w:sz w:val="24"/>
                <w:szCs w:val="24"/>
              </w:rPr>
              <w:fldChar w:fldCharType="end"/>
            </w:r>
          </w:hyperlink>
        </w:p>
        <w:p w14:paraId="7FDFF22A" w14:textId="77777777" w:rsidR="00B01D46" w:rsidRDefault="00FE757F">
          <w:pPr>
            <w:pStyle w:val="TOC3"/>
            <w:rPr>
              <w:rFonts w:ascii="Times New Roman" w:eastAsiaTheme="minorEastAsia" w:hAnsi="Times New Roman" w:cs="Times New Roman"/>
              <w:sz w:val="24"/>
              <w:szCs w:val="24"/>
            </w:rPr>
          </w:pPr>
          <w:hyperlink w:anchor="_Toc184272999" w:history="1">
            <w:r w:rsidR="0067013E">
              <w:rPr>
                <w:rStyle w:val="Hyperlink"/>
                <w:rFonts w:ascii="Times New Roman" w:hAnsi="Times New Roman" w:cs="Times New Roman"/>
                <w:sz w:val="24"/>
                <w:szCs w:val="24"/>
              </w:rPr>
              <w:t>6.6.3 Adequacy of the ICT Infrastructure in Moi University and University of Nairobi</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_Toc184272999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218</w:t>
            </w:r>
            <w:r w:rsidR="0067013E">
              <w:rPr>
                <w:rFonts w:ascii="Times New Roman" w:hAnsi="Times New Roman" w:cs="Times New Roman"/>
                <w:sz w:val="24"/>
                <w:szCs w:val="24"/>
              </w:rPr>
              <w:fldChar w:fldCharType="end"/>
            </w:r>
          </w:hyperlink>
        </w:p>
        <w:p w14:paraId="4D5A36A9" w14:textId="77777777" w:rsidR="00B01D46" w:rsidRDefault="00FE757F">
          <w:pPr>
            <w:pStyle w:val="TOC3"/>
            <w:rPr>
              <w:rFonts w:ascii="Times New Roman" w:eastAsiaTheme="minorEastAsia" w:hAnsi="Times New Roman" w:cs="Times New Roman"/>
              <w:sz w:val="24"/>
              <w:szCs w:val="24"/>
            </w:rPr>
          </w:pPr>
          <w:hyperlink w:anchor="_Toc184273000" w:history="1">
            <w:r w:rsidR="0067013E">
              <w:rPr>
                <w:rStyle w:val="Hyperlink"/>
                <w:rFonts w:ascii="Times New Roman" w:hAnsi="Times New Roman" w:cs="Times New Roman"/>
                <w:sz w:val="24"/>
                <w:szCs w:val="24"/>
              </w:rPr>
              <w:t>6.6.4 Challenges Hindering Effective Utilization of ICT Tools and Devices Facilitating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_Toc184273000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218</w:t>
            </w:r>
            <w:r w:rsidR="0067013E">
              <w:rPr>
                <w:rFonts w:ascii="Times New Roman" w:hAnsi="Times New Roman" w:cs="Times New Roman"/>
                <w:sz w:val="24"/>
                <w:szCs w:val="24"/>
              </w:rPr>
              <w:fldChar w:fldCharType="end"/>
            </w:r>
          </w:hyperlink>
        </w:p>
        <w:p w14:paraId="18EFBF8C" w14:textId="77777777" w:rsidR="00B01D46" w:rsidRDefault="00FE757F">
          <w:pPr>
            <w:pStyle w:val="TOC2"/>
            <w:rPr>
              <w:rFonts w:eastAsiaTheme="minorEastAsia"/>
              <w:color w:val="auto"/>
            </w:rPr>
          </w:pPr>
          <w:hyperlink w:anchor="_Toc184273001" w:history="1">
            <w:r w:rsidR="0067013E">
              <w:rPr>
                <w:rStyle w:val="Hyperlink"/>
              </w:rPr>
              <w:t>6.7 Challenges Hindering ILS Delivery to Medical Undergraduate Students</w:t>
            </w:r>
            <w:r w:rsidR="0067013E">
              <w:tab/>
            </w:r>
            <w:r w:rsidR="0067013E">
              <w:fldChar w:fldCharType="begin"/>
            </w:r>
            <w:r w:rsidR="0067013E">
              <w:instrText xml:space="preserve"> PAGEREF _Toc184273001 \h </w:instrText>
            </w:r>
            <w:r w:rsidR="0067013E">
              <w:fldChar w:fldCharType="separate"/>
            </w:r>
            <w:r w:rsidR="0067013E">
              <w:t>220</w:t>
            </w:r>
            <w:r w:rsidR="0067013E">
              <w:fldChar w:fldCharType="end"/>
            </w:r>
          </w:hyperlink>
        </w:p>
        <w:p w14:paraId="409422A5" w14:textId="77777777" w:rsidR="00B01D46" w:rsidRDefault="00FE757F">
          <w:pPr>
            <w:pStyle w:val="TOC2"/>
            <w:rPr>
              <w:rFonts w:eastAsiaTheme="minorEastAsia"/>
              <w:color w:val="auto"/>
            </w:rPr>
          </w:pPr>
          <w:hyperlink w:anchor="_Toc184273002" w:history="1">
            <w:r w:rsidR="0067013E">
              <w:rPr>
                <w:rStyle w:val="Hyperlink"/>
              </w:rPr>
              <w:t>6.8 Strategies to Improve ILS Learning and Training</w:t>
            </w:r>
            <w:r w:rsidR="0067013E">
              <w:tab/>
            </w:r>
            <w:r w:rsidR="0067013E">
              <w:fldChar w:fldCharType="begin"/>
            </w:r>
            <w:r w:rsidR="0067013E">
              <w:instrText xml:space="preserve"> PAGEREF _Toc184273002 \h </w:instrText>
            </w:r>
            <w:r w:rsidR="0067013E">
              <w:fldChar w:fldCharType="separate"/>
            </w:r>
            <w:r w:rsidR="0067013E">
              <w:t>222</w:t>
            </w:r>
            <w:r w:rsidR="0067013E">
              <w:fldChar w:fldCharType="end"/>
            </w:r>
          </w:hyperlink>
        </w:p>
        <w:p w14:paraId="0E01E40B" w14:textId="77777777" w:rsidR="00B01D46" w:rsidRDefault="00FE757F">
          <w:pPr>
            <w:pStyle w:val="TOC2"/>
            <w:rPr>
              <w:rFonts w:eastAsiaTheme="minorEastAsia"/>
              <w:color w:val="auto"/>
            </w:rPr>
          </w:pPr>
          <w:hyperlink w:anchor="_Toc184273003" w:history="1">
            <w:r w:rsidR="0067013E">
              <w:rPr>
                <w:rStyle w:val="Hyperlink"/>
              </w:rPr>
              <w:t>6.9 Chapter Summary</w:t>
            </w:r>
            <w:r w:rsidR="0067013E">
              <w:tab/>
            </w:r>
            <w:r w:rsidR="0067013E">
              <w:fldChar w:fldCharType="begin"/>
            </w:r>
            <w:r w:rsidR="0067013E">
              <w:instrText xml:space="preserve"> PAGEREF _Toc184273003 \h </w:instrText>
            </w:r>
            <w:r w:rsidR="0067013E">
              <w:fldChar w:fldCharType="separate"/>
            </w:r>
            <w:r w:rsidR="0067013E">
              <w:t>226</w:t>
            </w:r>
            <w:r w:rsidR="0067013E">
              <w:fldChar w:fldCharType="end"/>
            </w:r>
          </w:hyperlink>
        </w:p>
        <w:p w14:paraId="79963423" w14:textId="77777777" w:rsidR="00B01D46" w:rsidRDefault="00FE757F">
          <w:pPr>
            <w:pStyle w:val="TOC1"/>
            <w:tabs>
              <w:tab w:val="clear" w:pos="9356"/>
              <w:tab w:val="right" w:leader="dot" w:pos="8100"/>
            </w:tabs>
            <w:spacing w:line="360" w:lineRule="auto"/>
            <w:ind w:right="65"/>
            <w:rPr>
              <w:rFonts w:eastAsiaTheme="minorEastAsia"/>
            </w:rPr>
          </w:pPr>
          <w:hyperlink w:anchor="_Toc184273004" w:history="1">
            <w:r w:rsidR="0067013E">
              <w:rPr>
                <w:rStyle w:val="Hyperlink"/>
              </w:rPr>
              <w:t>CHAPTER SEVEN</w:t>
            </w:r>
            <w:r w:rsidR="0067013E">
              <w:tab/>
            </w:r>
            <w:r w:rsidR="0067013E">
              <w:fldChar w:fldCharType="begin"/>
            </w:r>
            <w:r w:rsidR="0067013E">
              <w:instrText xml:space="preserve"> PAGEREF _Toc184273004 \h </w:instrText>
            </w:r>
            <w:r w:rsidR="0067013E">
              <w:fldChar w:fldCharType="separate"/>
            </w:r>
            <w:r w:rsidR="0067013E">
              <w:t>227</w:t>
            </w:r>
            <w:r w:rsidR="0067013E">
              <w:fldChar w:fldCharType="end"/>
            </w:r>
          </w:hyperlink>
        </w:p>
        <w:p w14:paraId="125B211F" w14:textId="77777777" w:rsidR="00B01D46" w:rsidRDefault="00FE757F">
          <w:pPr>
            <w:pStyle w:val="TOC1"/>
            <w:tabs>
              <w:tab w:val="clear" w:pos="9356"/>
              <w:tab w:val="right" w:leader="dot" w:pos="8100"/>
            </w:tabs>
            <w:spacing w:line="360" w:lineRule="auto"/>
            <w:ind w:right="65"/>
            <w:rPr>
              <w:rFonts w:eastAsiaTheme="minorEastAsia"/>
            </w:rPr>
          </w:pPr>
          <w:hyperlink w:anchor="_Toc184273005" w:history="1">
            <w:r w:rsidR="0067013E">
              <w:rPr>
                <w:rStyle w:val="Hyperlink"/>
              </w:rPr>
              <w:t>SUMMARY, CONCLUSION AND RECOMMENDATIONS</w:t>
            </w:r>
            <w:r w:rsidR="0067013E">
              <w:tab/>
            </w:r>
            <w:r w:rsidR="0067013E">
              <w:fldChar w:fldCharType="begin"/>
            </w:r>
            <w:r w:rsidR="0067013E">
              <w:instrText xml:space="preserve"> PAGEREF _Toc184273005 \h </w:instrText>
            </w:r>
            <w:r w:rsidR="0067013E">
              <w:fldChar w:fldCharType="separate"/>
            </w:r>
            <w:r w:rsidR="0067013E">
              <w:t>227</w:t>
            </w:r>
            <w:r w:rsidR="0067013E">
              <w:fldChar w:fldCharType="end"/>
            </w:r>
          </w:hyperlink>
        </w:p>
        <w:p w14:paraId="4D126639" w14:textId="77777777" w:rsidR="00B01D46" w:rsidRDefault="00FE757F">
          <w:pPr>
            <w:pStyle w:val="TOC2"/>
            <w:rPr>
              <w:rFonts w:eastAsiaTheme="minorEastAsia"/>
              <w:color w:val="auto"/>
            </w:rPr>
          </w:pPr>
          <w:hyperlink w:anchor="_Toc184273006" w:history="1">
            <w:r w:rsidR="0067013E">
              <w:rPr>
                <w:rStyle w:val="Hyperlink"/>
              </w:rPr>
              <w:t>7.1 Introduction</w:t>
            </w:r>
            <w:r w:rsidR="0067013E">
              <w:tab/>
            </w:r>
            <w:r w:rsidR="0067013E">
              <w:fldChar w:fldCharType="begin"/>
            </w:r>
            <w:r w:rsidR="0067013E">
              <w:instrText xml:space="preserve"> PAGEREF _Toc184273006 \h </w:instrText>
            </w:r>
            <w:r w:rsidR="0067013E">
              <w:fldChar w:fldCharType="separate"/>
            </w:r>
            <w:r w:rsidR="0067013E">
              <w:t>227</w:t>
            </w:r>
            <w:r w:rsidR="0067013E">
              <w:fldChar w:fldCharType="end"/>
            </w:r>
          </w:hyperlink>
        </w:p>
        <w:p w14:paraId="55E868E1" w14:textId="77777777" w:rsidR="00B01D46" w:rsidRDefault="00FE757F">
          <w:pPr>
            <w:pStyle w:val="TOC2"/>
            <w:rPr>
              <w:rFonts w:eastAsiaTheme="minorEastAsia"/>
              <w:color w:val="auto"/>
            </w:rPr>
          </w:pPr>
          <w:hyperlink w:anchor="_Toc184273007" w:history="1">
            <w:r w:rsidR="0067013E">
              <w:rPr>
                <w:rStyle w:val="Hyperlink"/>
              </w:rPr>
              <w:t>7.2 Summary of the Findings</w:t>
            </w:r>
            <w:r w:rsidR="0067013E">
              <w:tab/>
            </w:r>
            <w:r w:rsidR="0067013E">
              <w:fldChar w:fldCharType="begin"/>
            </w:r>
            <w:r w:rsidR="0067013E">
              <w:instrText xml:space="preserve"> PAGEREF _Toc184273007 \h </w:instrText>
            </w:r>
            <w:r w:rsidR="0067013E">
              <w:fldChar w:fldCharType="separate"/>
            </w:r>
            <w:r w:rsidR="0067013E">
              <w:t>227</w:t>
            </w:r>
            <w:r w:rsidR="0067013E">
              <w:fldChar w:fldCharType="end"/>
            </w:r>
          </w:hyperlink>
        </w:p>
        <w:p w14:paraId="500C6737" w14:textId="77777777" w:rsidR="00B01D46" w:rsidRDefault="00FE757F">
          <w:pPr>
            <w:pStyle w:val="TOC3"/>
            <w:rPr>
              <w:rFonts w:ascii="Times New Roman" w:eastAsiaTheme="minorEastAsia" w:hAnsi="Times New Roman" w:cs="Times New Roman"/>
              <w:sz w:val="24"/>
              <w:szCs w:val="24"/>
            </w:rPr>
          </w:pPr>
          <w:hyperlink w:anchor="_Toc184273008" w:history="1">
            <w:r w:rsidR="0067013E">
              <w:rPr>
                <w:rStyle w:val="Hyperlink"/>
                <w:rFonts w:ascii="Times New Roman" w:hAnsi="Times New Roman" w:cs="Times New Roman"/>
                <w:sz w:val="24"/>
                <w:szCs w:val="24"/>
              </w:rPr>
              <w:t>7.2.1 Background Information of the Respondents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_Toc184273008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227</w:t>
            </w:r>
            <w:r w:rsidR="0067013E">
              <w:rPr>
                <w:rFonts w:ascii="Times New Roman" w:hAnsi="Times New Roman" w:cs="Times New Roman"/>
                <w:sz w:val="24"/>
                <w:szCs w:val="24"/>
              </w:rPr>
              <w:fldChar w:fldCharType="end"/>
            </w:r>
          </w:hyperlink>
        </w:p>
        <w:p w14:paraId="06E07CE7" w14:textId="77777777" w:rsidR="00B01D46" w:rsidRDefault="00FE757F">
          <w:pPr>
            <w:pStyle w:val="TOC3"/>
            <w:rPr>
              <w:rFonts w:ascii="Times New Roman" w:eastAsiaTheme="minorEastAsia" w:hAnsi="Times New Roman" w:cs="Times New Roman"/>
              <w:sz w:val="24"/>
              <w:szCs w:val="24"/>
            </w:rPr>
          </w:pPr>
          <w:hyperlink w:anchor="_Toc184273009" w:history="1">
            <w:r w:rsidR="0067013E">
              <w:rPr>
                <w:rStyle w:val="Hyperlink"/>
                <w:rFonts w:ascii="Times New Roman" w:hAnsi="Times New Roman" w:cs="Times New Roman"/>
                <w:sz w:val="24"/>
                <w:szCs w:val="24"/>
              </w:rPr>
              <w:t>7.2.2 Status of Information Literacy Skills among 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_Toc184273009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229</w:t>
            </w:r>
            <w:r w:rsidR="0067013E">
              <w:rPr>
                <w:rFonts w:ascii="Times New Roman" w:hAnsi="Times New Roman" w:cs="Times New Roman"/>
                <w:sz w:val="24"/>
                <w:szCs w:val="24"/>
              </w:rPr>
              <w:fldChar w:fldCharType="end"/>
            </w:r>
          </w:hyperlink>
        </w:p>
        <w:p w14:paraId="6D246E2D" w14:textId="77777777" w:rsidR="00B01D46" w:rsidRDefault="00FE757F">
          <w:pPr>
            <w:pStyle w:val="TOC3"/>
            <w:rPr>
              <w:rFonts w:ascii="Times New Roman" w:eastAsiaTheme="minorEastAsia" w:hAnsi="Times New Roman" w:cs="Times New Roman"/>
              <w:sz w:val="24"/>
              <w:szCs w:val="24"/>
            </w:rPr>
          </w:pPr>
          <w:hyperlink w:anchor="_Toc184273010" w:history="1">
            <w:r w:rsidR="0067013E">
              <w:rPr>
                <w:rStyle w:val="Hyperlink"/>
                <w:rFonts w:ascii="Times New Roman" w:hAnsi="Times New Roman" w:cs="Times New Roman"/>
                <w:sz w:val="24"/>
                <w:szCs w:val="24"/>
              </w:rPr>
              <w:t>7.2.3 ILS Policy and Curriculum Imparting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_Toc184273010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231</w:t>
            </w:r>
            <w:r w:rsidR="0067013E">
              <w:rPr>
                <w:rFonts w:ascii="Times New Roman" w:hAnsi="Times New Roman" w:cs="Times New Roman"/>
                <w:sz w:val="24"/>
                <w:szCs w:val="24"/>
              </w:rPr>
              <w:fldChar w:fldCharType="end"/>
            </w:r>
          </w:hyperlink>
        </w:p>
        <w:p w14:paraId="29A3A065"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3011" w:history="1">
            <w:r w:rsidR="0067013E">
              <w:rPr>
                <w:rStyle w:val="Hyperlink"/>
                <w:rFonts w:ascii="Times New Roman" w:hAnsi="Times New Roman" w:cs="Times New Roman"/>
                <w:sz w:val="24"/>
                <w:szCs w:val="24"/>
              </w:rPr>
              <w:t>7.2.3.1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_Toc184273011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231</w:t>
            </w:r>
            <w:r w:rsidR="0067013E">
              <w:rPr>
                <w:rFonts w:ascii="Times New Roman" w:hAnsi="Times New Roman" w:cs="Times New Roman"/>
                <w:sz w:val="24"/>
                <w:szCs w:val="24"/>
              </w:rPr>
              <w:fldChar w:fldCharType="end"/>
            </w:r>
          </w:hyperlink>
        </w:p>
        <w:p w14:paraId="054D19D6"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3012" w:history="1">
            <w:r w:rsidR="0067013E">
              <w:rPr>
                <w:rStyle w:val="Hyperlink"/>
                <w:rFonts w:ascii="Times New Roman" w:hAnsi="Times New Roman" w:cs="Times New Roman"/>
                <w:sz w:val="24"/>
                <w:szCs w:val="24"/>
              </w:rPr>
              <w:t>7.2.3.2 ILS Curricula</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_Toc184273012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232</w:t>
            </w:r>
            <w:r w:rsidR="0067013E">
              <w:rPr>
                <w:rFonts w:ascii="Times New Roman" w:hAnsi="Times New Roman" w:cs="Times New Roman"/>
                <w:sz w:val="24"/>
                <w:szCs w:val="24"/>
              </w:rPr>
              <w:fldChar w:fldCharType="end"/>
            </w:r>
          </w:hyperlink>
        </w:p>
        <w:p w14:paraId="79E4E3BB" w14:textId="77777777" w:rsidR="00B01D46" w:rsidRDefault="00FE757F">
          <w:pPr>
            <w:pStyle w:val="TOC3"/>
            <w:rPr>
              <w:rFonts w:ascii="Times New Roman" w:eastAsiaTheme="minorEastAsia" w:hAnsi="Times New Roman" w:cs="Times New Roman"/>
              <w:sz w:val="24"/>
              <w:szCs w:val="24"/>
            </w:rPr>
          </w:pPr>
          <w:hyperlink w:anchor="_Toc184273013" w:history="1">
            <w:r w:rsidR="0067013E">
              <w:rPr>
                <w:rStyle w:val="Hyperlink"/>
                <w:rFonts w:ascii="Times New Roman" w:hAnsi="Times New Roman" w:cs="Times New Roman"/>
                <w:sz w:val="24"/>
                <w:szCs w:val="24"/>
              </w:rPr>
              <w:t xml:space="preserve">7.2.4 </w:t>
            </w:r>
            <w:r w:rsidR="0067013E">
              <w:rPr>
                <w:rStyle w:val="Hyperlink"/>
                <w:rFonts w:ascii="Times New Roman" w:eastAsia="Calibri" w:hAnsi="Times New Roman" w:cs="Times New Roman"/>
                <w:sz w:val="24"/>
                <w:szCs w:val="24"/>
              </w:rPr>
              <w:t>ILS Understanding among 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_Toc184273013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233</w:t>
            </w:r>
            <w:r w:rsidR="0067013E">
              <w:rPr>
                <w:rFonts w:ascii="Times New Roman" w:hAnsi="Times New Roman" w:cs="Times New Roman"/>
                <w:sz w:val="24"/>
                <w:szCs w:val="24"/>
              </w:rPr>
              <w:fldChar w:fldCharType="end"/>
            </w:r>
          </w:hyperlink>
        </w:p>
        <w:p w14:paraId="5D017797" w14:textId="77777777" w:rsidR="00B01D46" w:rsidRDefault="00FE757F">
          <w:pPr>
            <w:pStyle w:val="TOC3"/>
            <w:rPr>
              <w:rFonts w:ascii="Times New Roman" w:eastAsiaTheme="minorEastAsia" w:hAnsi="Times New Roman" w:cs="Times New Roman"/>
              <w:sz w:val="24"/>
              <w:szCs w:val="24"/>
            </w:rPr>
          </w:pPr>
          <w:hyperlink w:anchor="_Toc184273014" w:history="1">
            <w:r w:rsidR="0067013E">
              <w:rPr>
                <w:rStyle w:val="Hyperlink"/>
                <w:rFonts w:ascii="Times New Roman" w:hAnsi="Times New Roman" w:cs="Times New Roman"/>
                <w:sz w:val="24"/>
                <w:szCs w:val="24"/>
              </w:rPr>
              <w:t xml:space="preserve">7.2.5 </w:t>
            </w:r>
            <w:r w:rsidR="0067013E">
              <w:rPr>
                <w:rStyle w:val="Hyperlink"/>
                <w:rFonts w:ascii="Times New Roman" w:eastAsia="Calibri" w:hAnsi="Times New Roman" w:cs="Times New Roman"/>
                <w:sz w:val="24"/>
                <w:szCs w:val="24"/>
              </w:rPr>
              <w:t>Knowledge and Skills Possessed by Faculty Staff</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_Toc184273014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234</w:t>
            </w:r>
            <w:r w:rsidR="0067013E">
              <w:rPr>
                <w:rFonts w:ascii="Times New Roman" w:hAnsi="Times New Roman" w:cs="Times New Roman"/>
                <w:sz w:val="24"/>
                <w:szCs w:val="24"/>
              </w:rPr>
              <w:fldChar w:fldCharType="end"/>
            </w:r>
          </w:hyperlink>
        </w:p>
        <w:p w14:paraId="1C55C309" w14:textId="77777777" w:rsidR="00B01D46" w:rsidRDefault="00FE757F">
          <w:pPr>
            <w:pStyle w:val="TOC3"/>
            <w:rPr>
              <w:rFonts w:ascii="Times New Roman" w:eastAsiaTheme="minorEastAsia" w:hAnsi="Times New Roman" w:cs="Times New Roman"/>
              <w:sz w:val="24"/>
              <w:szCs w:val="24"/>
            </w:rPr>
          </w:pPr>
          <w:hyperlink w:anchor="_Toc184273015" w:history="1">
            <w:r w:rsidR="0067013E">
              <w:rPr>
                <w:rStyle w:val="Hyperlink"/>
                <w:rFonts w:ascii="Times New Roman" w:hAnsi="Times New Roman" w:cs="Times New Roman"/>
                <w:sz w:val="24"/>
                <w:szCs w:val="24"/>
              </w:rPr>
              <w:t>7.2.6 Role of ICT in Facilitating and Promoting Information Literacy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_Toc184273015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235</w:t>
            </w:r>
            <w:r w:rsidR="0067013E">
              <w:rPr>
                <w:rFonts w:ascii="Times New Roman" w:hAnsi="Times New Roman" w:cs="Times New Roman"/>
                <w:sz w:val="24"/>
                <w:szCs w:val="24"/>
              </w:rPr>
              <w:fldChar w:fldCharType="end"/>
            </w:r>
          </w:hyperlink>
        </w:p>
        <w:p w14:paraId="2127E851" w14:textId="77777777" w:rsidR="00B01D46" w:rsidRDefault="00FE757F">
          <w:pPr>
            <w:pStyle w:val="TOC3"/>
            <w:rPr>
              <w:rFonts w:ascii="Times New Roman" w:eastAsiaTheme="minorEastAsia" w:hAnsi="Times New Roman" w:cs="Times New Roman"/>
              <w:sz w:val="24"/>
              <w:szCs w:val="24"/>
            </w:rPr>
          </w:pPr>
          <w:hyperlink w:anchor="_Toc184273016" w:history="1">
            <w:r w:rsidR="0067013E">
              <w:rPr>
                <w:rStyle w:val="Hyperlink"/>
                <w:rFonts w:ascii="Times New Roman" w:hAnsi="Times New Roman" w:cs="Times New Roman"/>
                <w:sz w:val="24"/>
                <w:szCs w:val="24"/>
              </w:rPr>
              <w:t>7.2.7 Challenges Hindering ILS Delivery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_Toc184273016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236</w:t>
            </w:r>
            <w:r w:rsidR="0067013E">
              <w:rPr>
                <w:rFonts w:ascii="Times New Roman" w:hAnsi="Times New Roman" w:cs="Times New Roman"/>
                <w:sz w:val="24"/>
                <w:szCs w:val="24"/>
              </w:rPr>
              <w:fldChar w:fldCharType="end"/>
            </w:r>
          </w:hyperlink>
        </w:p>
        <w:p w14:paraId="1308402C" w14:textId="77777777" w:rsidR="00B01D46" w:rsidRDefault="00FE757F">
          <w:pPr>
            <w:pStyle w:val="TOC2"/>
            <w:rPr>
              <w:rFonts w:eastAsiaTheme="minorEastAsia"/>
              <w:color w:val="auto"/>
            </w:rPr>
          </w:pPr>
          <w:hyperlink w:anchor="_Toc184273017" w:history="1">
            <w:r w:rsidR="0067013E">
              <w:rPr>
                <w:rStyle w:val="Hyperlink"/>
              </w:rPr>
              <w:t>7.3 Conclusion</w:t>
            </w:r>
            <w:r w:rsidR="0067013E">
              <w:tab/>
            </w:r>
            <w:r w:rsidR="0067013E">
              <w:fldChar w:fldCharType="begin"/>
            </w:r>
            <w:r w:rsidR="0067013E">
              <w:instrText xml:space="preserve"> PAGEREF _Toc184273017 \h </w:instrText>
            </w:r>
            <w:r w:rsidR="0067013E">
              <w:fldChar w:fldCharType="separate"/>
            </w:r>
            <w:r w:rsidR="0067013E">
              <w:t>237</w:t>
            </w:r>
            <w:r w:rsidR="0067013E">
              <w:fldChar w:fldCharType="end"/>
            </w:r>
          </w:hyperlink>
        </w:p>
        <w:p w14:paraId="3E929C2B" w14:textId="77777777" w:rsidR="00B01D46" w:rsidRDefault="00FE757F">
          <w:pPr>
            <w:pStyle w:val="TOC2"/>
            <w:rPr>
              <w:rFonts w:eastAsiaTheme="minorEastAsia"/>
              <w:color w:val="auto"/>
            </w:rPr>
          </w:pPr>
          <w:hyperlink w:anchor="_Toc184273018" w:history="1">
            <w:r w:rsidR="0067013E">
              <w:rPr>
                <w:rStyle w:val="Hyperlink"/>
              </w:rPr>
              <w:t>7.4 Recommendations</w:t>
            </w:r>
            <w:r w:rsidR="0067013E">
              <w:tab/>
            </w:r>
            <w:r w:rsidR="0067013E">
              <w:fldChar w:fldCharType="begin"/>
            </w:r>
            <w:r w:rsidR="0067013E">
              <w:instrText xml:space="preserve"> PAGEREF _Toc184273018 \h </w:instrText>
            </w:r>
            <w:r w:rsidR="0067013E">
              <w:fldChar w:fldCharType="separate"/>
            </w:r>
            <w:r w:rsidR="0067013E">
              <w:t>238</w:t>
            </w:r>
            <w:r w:rsidR="0067013E">
              <w:fldChar w:fldCharType="end"/>
            </w:r>
          </w:hyperlink>
        </w:p>
        <w:p w14:paraId="197E02B4" w14:textId="77777777" w:rsidR="00B01D46" w:rsidRDefault="00FE757F">
          <w:pPr>
            <w:pStyle w:val="TOC3"/>
            <w:rPr>
              <w:rFonts w:ascii="Times New Roman" w:eastAsiaTheme="minorEastAsia" w:hAnsi="Times New Roman" w:cs="Times New Roman"/>
              <w:sz w:val="24"/>
              <w:szCs w:val="24"/>
            </w:rPr>
          </w:pPr>
          <w:hyperlink w:anchor="_Toc184273019" w:history="1">
            <w:r w:rsidR="0067013E">
              <w:rPr>
                <w:rStyle w:val="Hyperlink"/>
                <w:rFonts w:ascii="Times New Roman" w:hAnsi="Times New Roman" w:cs="Times New Roman"/>
                <w:sz w:val="24"/>
                <w:szCs w:val="24"/>
              </w:rPr>
              <w:t>7.4.1 Status of Information Literacy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_Toc184273019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239</w:t>
            </w:r>
            <w:r w:rsidR="0067013E">
              <w:rPr>
                <w:rFonts w:ascii="Times New Roman" w:hAnsi="Times New Roman" w:cs="Times New Roman"/>
                <w:sz w:val="24"/>
                <w:szCs w:val="24"/>
              </w:rPr>
              <w:fldChar w:fldCharType="end"/>
            </w:r>
          </w:hyperlink>
        </w:p>
        <w:p w14:paraId="123A6825" w14:textId="77777777" w:rsidR="00B01D46" w:rsidRDefault="00FE757F">
          <w:pPr>
            <w:pStyle w:val="TOC3"/>
            <w:rPr>
              <w:rFonts w:ascii="Times New Roman" w:eastAsiaTheme="minorEastAsia" w:hAnsi="Times New Roman" w:cs="Times New Roman"/>
              <w:sz w:val="24"/>
              <w:szCs w:val="24"/>
            </w:rPr>
          </w:pPr>
          <w:hyperlink w:anchor="_Toc184273020" w:history="1">
            <w:r w:rsidR="0067013E">
              <w:rPr>
                <w:rStyle w:val="Hyperlink"/>
                <w:rFonts w:ascii="Times New Roman" w:hAnsi="Times New Roman" w:cs="Times New Roman"/>
                <w:sz w:val="24"/>
                <w:szCs w:val="24"/>
              </w:rPr>
              <w:t>7.4.2 ILS Policy and Curricula Used in Imparting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_Toc184273020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241</w:t>
            </w:r>
            <w:r w:rsidR="0067013E">
              <w:rPr>
                <w:rFonts w:ascii="Times New Roman" w:hAnsi="Times New Roman" w:cs="Times New Roman"/>
                <w:sz w:val="24"/>
                <w:szCs w:val="24"/>
              </w:rPr>
              <w:fldChar w:fldCharType="end"/>
            </w:r>
          </w:hyperlink>
        </w:p>
        <w:p w14:paraId="65BA021F"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3021" w:history="1">
            <w:r w:rsidR="0067013E">
              <w:rPr>
                <w:rStyle w:val="Hyperlink"/>
                <w:rFonts w:ascii="Times New Roman" w:hAnsi="Times New Roman" w:cs="Times New Roman"/>
                <w:sz w:val="24"/>
                <w:szCs w:val="24"/>
              </w:rPr>
              <w:t>7.4.2.1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_Toc184273021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241</w:t>
            </w:r>
            <w:r w:rsidR="0067013E">
              <w:rPr>
                <w:rFonts w:ascii="Times New Roman" w:hAnsi="Times New Roman" w:cs="Times New Roman"/>
                <w:sz w:val="24"/>
                <w:szCs w:val="24"/>
              </w:rPr>
              <w:fldChar w:fldCharType="end"/>
            </w:r>
          </w:hyperlink>
        </w:p>
        <w:p w14:paraId="2BF03F52" w14:textId="77777777" w:rsidR="00B01D46" w:rsidRDefault="00FE757F">
          <w:pPr>
            <w:pStyle w:val="TOC4"/>
            <w:tabs>
              <w:tab w:val="right" w:leader="dot" w:pos="8100"/>
              <w:tab w:val="right" w:leader="dot" w:pos="8155"/>
            </w:tabs>
            <w:spacing w:after="0" w:line="360" w:lineRule="auto"/>
            <w:ind w:right="65"/>
            <w:rPr>
              <w:rFonts w:ascii="Times New Roman" w:hAnsi="Times New Roman" w:cs="Times New Roman"/>
              <w:sz w:val="24"/>
              <w:szCs w:val="24"/>
            </w:rPr>
          </w:pPr>
          <w:hyperlink w:anchor="_Toc184273022" w:history="1">
            <w:r w:rsidR="0067013E">
              <w:rPr>
                <w:rStyle w:val="Hyperlink"/>
                <w:rFonts w:ascii="Times New Roman" w:hAnsi="Times New Roman" w:cs="Times New Roman"/>
                <w:sz w:val="24"/>
                <w:szCs w:val="24"/>
              </w:rPr>
              <w:t>7.4.2.2 ILS Curricula and Methods Used in Delivery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_Toc184273022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242</w:t>
            </w:r>
            <w:r w:rsidR="0067013E">
              <w:rPr>
                <w:rFonts w:ascii="Times New Roman" w:hAnsi="Times New Roman" w:cs="Times New Roman"/>
                <w:sz w:val="24"/>
                <w:szCs w:val="24"/>
              </w:rPr>
              <w:fldChar w:fldCharType="end"/>
            </w:r>
          </w:hyperlink>
        </w:p>
        <w:p w14:paraId="3ABA0162" w14:textId="77777777" w:rsidR="00B01D46" w:rsidRDefault="00FE757F">
          <w:pPr>
            <w:pStyle w:val="TOC3"/>
            <w:rPr>
              <w:rFonts w:ascii="Times New Roman" w:eastAsiaTheme="minorEastAsia" w:hAnsi="Times New Roman" w:cs="Times New Roman"/>
              <w:sz w:val="24"/>
              <w:szCs w:val="24"/>
            </w:rPr>
          </w:pPr>
          <w:hyperlink w:anchor="_Toc184273023" w:history="1">
            <w:r w:rsidR="0067013E">
              <w:rPr>
                <w:rStyle w:val="Hyperlink"/>
                <w:rFonts w:ascii="Times New Roman" w:hAnsi="Times New Roman" w:cs="Times New Roman"/>
                <w:sz w:val="24"/>
                <w:szCs w:val="24"/>
              </w:rPr>
              <w:t>7.4.3 ILS Understanding among</w:t>
            </w:r>
            <w:r w:rsidR="0067013E">
              <w:rPr>
                <w:rStyle w:val="Hyperlink"/>
                <w:rFonts w:ascii="Times New Roman" w:eastAsia="Calibri" w:hAnsi="Times New Roman" w:cs="Times New Roman"/>
                <w:sz w:val="24"/>
                <w:szCs w:val="24"/>
              </w:rPr>
              <w:t xml:space="preserve"> Undergraduate Medical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_Toc184273023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242</w:t>
            </w:r>
            <w:r w:rsidR="0067013E">
              <w:rPr>
                <w:rFonts w:ascii="Times New Roman" w:hAnsi="Times New Roman" w:cs="Times New Roman"/>
                <w:sz w:val="24"/>
                <w:szCs w:val="24"/>
              </w:rPr>
              <w:fldChar w:fldCharType="end"/>
            </w:r>
          </w:hyperlink>
        </w:p>
        <w:p w14:paraId="0CD3E937" w14:textId="77777777" w:rsidR="00B01D46" w:rsidRDefault="00FE757F">
          <w:pPr>
            <w:pStyle w:val="TOC3"/>
            <w:rPr>
              <w:rFonts w:ascii="Times New Roman" w:eastAsiaTheme="minorEastAsia" w:hAnsi="Times New Roman" w:cs="Times New Roman"/>
              <w:sz w:val="24"/>
              <w:szCs w:val="24"/>
            </w:rPr>
          </w:pPr>
          <w:hyperlink w:anchor="_Toc184273024" w:history="1">
            <w:r w:rsidR="0067013E">
              <w:rPr>
                <w:rStyle w:val="Hyperlink"/>
                <w:rFonts w:ascii="Times New Roman" w:hAnsi="Times New Roman" w:cs="Times New Roman"/>
                <w:sz w:val="24"/>
                <w:szCs w:val="24"/>
              </w:rPr>
              <w:t>7.4.4 Knowledge and Skills Possessed by staff facilitating ILS among 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_Toc184273024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243</w:t>
            </w:r>
            <w:r w:rsidR="0067013E">
              <w:rPr>
                <w:rFonts w:ascii="Times New Roman" w:hAnsi="Times New Roman" w:cs="Times New Roman"/>
                <w:sz w:val="24"/>
                <w:szCs w:val="24"/>
              </w:rPr>
              <w:fldChar w:fldCharType="end"/>
            </w:r>
          </w:hyperlink>
        </w:p>
        <w:p w14:paraId="38A6A9F0" w14:textId="77777777" w:rsidR="00B01D46" w:rsidRDefault="00FE757F">
          <w:pPr>
            <w:pStyle w:val="TOC3"/>
            <w:rPr>
              <w:rFonts w:ascii="Times New Roman" w:eastAsiaTheme="minorEastAsia" w:hAnsi="Times New Roman" w:cs="Times New Roman"/>
              <w:sz w:val="24"/>
              <w:szCs w:val="24"/>
            </w:rPr>
          </w:pPr>
          <w:hyperlink w:anchor="_Toc184273025" w:history="1">
            <w:r w:rsidR="0067013E">
              <w:rPr>
                <w:rStyle w:val="Hyperlink"/>
                <w:rFonts w:ascii="Times New Roman" w:hAnsi="Times New Roman" w:cs="Times New Roman"/>
                <w:sz w:val="24"/>
                <w:szCs w:val="24"/>
              </w:rPr>
              <w:t>7.4.5 Role of ICT in Facilitating and Promoting Information Literacy Skills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_Toc184273025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243</w:t>
            </w:r>
            <w:r w:rsidR="0067013E">
              <w:rPr>
                <w:rFonts w:ascii="Times New Roman" w:hAnsi="Times New Roman" w:cs="Times New Roman"/>
                <w:sz w:val="24"/>
                <w:szCs w:val="24"/>
              </w:rPr>
              <w:fldChar w:fldCharType="end"/>
            </w:r>
          </w:hyperlink>
        </w:p>
        <w:p w14:paraId="6CD2368C" w14:textId="77777777" w:rsidR="00B01D46" w:rsidRDefault="00FE757F">
          <w:pPr>
            <w:pStyle w:val="TOC2"/>
            <w:rPr>
              <w:rFonts w:eastAsiaTheme="minorEastAsia"/>
              <w:color w:val="auto"/>
            </w:rPr>
          </w:pPr>
          <w:hyperlink w:anchor="_Toc184273026" w:history="1">
            <w:r w:rsidR="0067013E">
              <w:rPr>
                <w:rStyle w:val="Hyperlink"/>
              </w:rPr>
              <w:t>7.5 Contribution and Originality of the Study</w:t>
            </w:r>
            <w:r w:rsidR="0067013E">
              <w:tab/>
            </w:r>
            <w:r w:rsidR="0067013E">
              <w:fldChar w:fldCharType="begin"/>
            </w:r>
            <w:r w:rsidR="0067013E">
              <w:instrText xml:space="preserve"> PAGEREF _Toc184273026 \h </w:instrText>
            </w:r>
            <w:r w:rsidR="0067013E">
              <w:fldChar w:fldCharType="separate"/>
            </w:r>
            <w:r w:rsidR="0067013E">
              <w:t>244</w:t>
            </w:r>
            <w:r w:rsidR="0067013E">
              <w:fldChar w:fldCharType="end"/>
            </w:r>
          </w:hyperlink>
        </w:p>
        <w:p w14:paraId="57839B4F" w14:textId="77777777" w:rsidR="00B01D46" w:rsidRDefault="00FE757F">
          <w:pPr>
            <w:pStyle w:val="TOC2"/>
            <w:rPr>
              <w:rFonts w:eastAsiaTheme="minorEastAsia"/>
              <w:color w:val="auto"/>
            </w:rPr>
          </w:pPr>
          <w:hyperlink w:anchor="_Toc184273027" w:history="1">
            <w:r w:rsidR="0067013E">
              <w:rPr>
                <w:rStyle w:val="Hyperlink"/>
              </w:rPr>
              <w:t>7.6 Suggestions for Further Research</w:t>
            </w:r>
            <w:r w:rsidR="0067013E">
              <w:tab/>
            </w:r>
            <w:r w:rsidR="0067013E">
              <w:fldChar w:fldCharType="begin"/>
            </w:r>
            <w:r w:rsidR="0067013E">
              <w:instrText xml:space="preserve"> PAGEREF _Toc184273027 \h </w:instrText>
            </w:r>
            <w:r w:rsidR="0067013E">
              <w:fldChar w:fldCharType="separate"/>
            </w:r>
            <w:r w:rsidR="0067013E">
              <w:t>245</w:t>
            </w:r>
            <w:r w:rsidR="0067013E">
              <w:fldChar w:fldCharType="end"/>
            </w:r>
          </w:hyperlink>
        </w:p>
        <w:p w14:paraId="6EEA08AD" w14:textId="77777777" w:rsidR="00B01D46" w:rsidRDefault="00FE757F">
          <w:pPr>
            <w:pStyle w:val="TOC1"/>
            <w:tabs>
              <w:tab w:val="clear" w:pos="9356"/>
              <w:tab w:val="right" w:leader="dot" w:pos="8100"/>
            </w:tabs>
            <w:spacing w:line="360" w:lineRule="auto"/>
            <w:ind w:right="65"/>
            <w:rPr>
              <w:rFonts w:eastAsiaTheme="minorEastAsia"/>
              <w:b w:val="0"/>
            </w:rPr>
          </w:pPr>
          <w:hyperlink w:anchor="_Toc184273028" w:history="1">
            <w:r w:rsidR="0067013E">
              <w:rPr>
                <w:rStyle w:val="Hyperlink"/>
                <w:b w:val="0"/>
                <w:bCs/>
              </w:rPr>
              <w:t>REFERENCES</w:t>
            </w:r>
            <w:r w:rsidR="0067013E">
              <w:rPr>
                <w:b w:val="0"/>
              </w:rPr>
              <w:tab/>
            </w:r>
            <w:r w:rsidR="0067013E">
              <w:rPr>
                <w:b w:val="0"/>
              </w:rPr>
              <w:fldChar w:fldCharType="begin"/>
            </w:r>
            <w:r w:rsidR="0067013E">
              <w:rPr>
                <w:b w:val="0"/>
              </w:rPr>
              <w:instrText xml:space="preserve"> PAGEREF _Toc184273028 \h </w:instrText>
            </w:r>
            <w:r w:rsidR="0067013E">
              <w:rPr>
                <w:b w:val="0"/>
              </w:rPr>
            </w:r>
            <w:r w:rsidR="0067013E">
              <w:rPr>
                <w:b w:val="0"/>
              </w:rPr>
              <w:fldChar w:fldCharType="separate"/>
            </w:r>
            <w:r w:rsidR="0067013E">
              <w:rPr>
                <w:b w:val="0"/>
              </w:rPr>
              <w:t>246</w:t>
            </w:r>
            <w:r w:rsidR="0067013E">
              <w:rPr>
                <w:b w:val="0"/>
              </w:rPr>
              <w:fldChar w:fldCharType="end"/>
            </w:r>
          </w:hyperlink>
        </w:p>
        <w:p w14:paraId="235BD307" w14:textId="77777777" w:rsidR="00B01D46" w:rsidRDefault="00FE757F">
          <w:pPr>
            <w:pStyle w:val="TOC1"/>
            <w:tabs>
              <w:tab w:val="clear" w:pos="9356"/>
              <w:tab w:val="right" w:leader="dot" w:pos="8100"/>
            </w:tabs>
            <w:spacing w:line="360" w:lineRule="auto"/>
            <w:ind w:right="65"/>
            <w:rPr>
              <w:rFonts w:eastAsiaTheme="minorEastAsia"/>
              <w:b w:val="0"/>
            </w:rPr>
          </w:pPr>
          <w:hyperlink w:anchor="_Toc184273029" w:history="1">
            <w:r w:rsidR="0067013E">
              <w:rPr>
                <w:rStyle w:val="Hyperlink"/>
                <w:b w:val="0"/>
              </w:rPr>
              <w:t>APPENDICES</w:t>
            </w:r>
            <w:r w:rsidR="0067013E">
              <w:rPr>
                <w:b w:val="0"/>
              </w:rPr>
              <w:tab/>
            </w:r>
            <w:r w:rsidR="0067013E">
              <w:rPr>
                <w:b w:val="0"/>
              </w:rPr>
              <w:fldChar w:fldCharType="begin"/>
            </w:r>
            <w:r w:rsidR="0067013E">
              <w:rPr>
                <w:b w:val="0"/>
              </w:rPr>
              <w:instrText xml:space="preserve"> PAGEREF _Toc184273029 \h </w:instrText>
            </w:r>
            <w:r w:rsidR="0067013E">
              <w:rPr>
                <w:b w:val="0"/>
              </w:rPr>
            </w:r>
            <w:r w:rsidR="0067013E">
              <w:rPr>
                <w:b w:val="0"/>
              </w:rPr>
              <w:fldChar w:fldCharType="separate"/>
            </w:r>
            <w:r w:rsidR="0067013E">
              <w:rPr>
                <w:b w:val="0"/>
              </w:rPr>
              <w:t>281</w:t>
            </w:r>
            <w:r w:rsidR="0067013E">
              <w:rPr>
                <w:b w:val="0"/>
              </w:rPr>
              <w:fldChar w:fldCharType="end"/>
            </w:r>
          </w:hyperlink>
        </w:p>
        <w:p w14:paraId="14BB88E4" w14:textId="77777777" w:rsidR="00B01D46" w:rsidRDefault="00FE757F">
          <w:pPr>
            <w:pStyle w:val="TOC2"/>
            <w:ind w:hanging="180"/>
            <w:rPr>
              <w:rFonts w:eastAsiaTheme="minorEastAsia"/>
              <w:color w:val="auto"/>
            </w:rPr>
          </w:pPr>
          <w:hyperlink w:anchor="_Toc184273030" w:history="1">
            <w:r w:rsidR="0067013E">
              <w:rPr>
                <w:rStyle w:val="Hyperlink"/>
              </w:rPr>
              <w:t>Appendix I: Survey Questionnaire for Students</w:t>
            </w:r>
            <w:r w:rsidR="0067013E">
              <w:tab/>
            </w:r>
            <w:r w:rsidR="0067013E">
              <w:fldChar w:fldCharType="begin"/>
            </w:r>
            <w:r w:rsidR="0067013E">
              <w:instrText xml:space="preserve"> PAGEREF _Toc184273030 \h </w:instrText>
            </w:r>
            <w:r w:rsidR="0067013E">
              <w:fldChar w:fldCharType="separate"/>
            </w:r>
            <w:r w:rsidR="0067013E">
              <w:t>281</w:t>
            </w:r>
            <w:r w:rsidR="0067013E">
              <w:fldChar w:fldCharType="end"/>
            </w:r>
          </w:hyperlink>
        </w:p>
        <w:p w14:paraId="797F4208" w14:textId="77777777" w:rsidR="00B01D46" w:rsidRDefault="00FE757F">
          <w:pPr>
            <w:pStyle w:val="TOC2"/>
            <w:ind w:hanging="180"/>
            <w:rPr>
              <w:rFonts w:eastAsiaTheme="minorEastAsia"/>
              <w:color w:val="auto"/>
            </w:rPr>
          </w:pPr>
          <w:hyperlink w:anchor="_Toc184273031" w:history="1">
            <w:r w:rsidR="0067013E">
              <w:rPr>
                <w:rStyle w:val="Hyperlink"/>
              </w:rPr>
              <w:t>Appendix II: Survey Questionnaire for Lecturers</w:t>
            </w:r>
            <w:r w:rsidR="0067013E">
              <w:tab/>
            </w:r>
            <w:r w:rsidR="0067013E">
              <w:fldChar w:fldCharType="begin"/>
            </w:r>
            <w:r w:rsidR="0067013E">
              <w:instrText xml:space="preserve"> PAGEREF _Toc184273031 \h </w:instrText>
            </w:r>
            <w:r w:rsidR="0067013E">
              <w:fldChar w:fldCharType="separate"/>
            </w:r>
            <w:r w:rsidR="0067013E">
              <w:t>293</w:t>
            </w:r>
            <w:r w:rsidR="0067013E">
              <w:fldChar w:fldCharType="end"/>
            </w:r>
          </w:hyperlink>
        </w:p>
        <w:p w14:paraId="22151762" w14:textId="77777777" w:rsidR="00B01D46" w:rsidRDefault="00FE757F">
          <w:pPr>
            <w:pStyle w:val="TOC2"/>
            <w:ind w:hanging="180"/>
            <w:rPr>
              <w:rFonts w:eastAsiaTheme="minorEastAsia"/>
              <w:color w:val="auto"/>
            </w:rPr>
          </w:pPr>
          <w:hyperlink w:anchor="_Toc184273032" w:history="1">
            <w:r w:rsidR="0067013E">
              <w:rPr>
                <w:rStyle w:val="Hyperlink"/>
              </w:rPr>
              <w:t>Appendix III: Interview Schedule for University Librarians</w:t>
            </w:r>
            <w:r w:rsidR="0067013E">
              <w:tab/>
            </w:r>
            <w:r w:rsidR="0067013E">
              <w:fldChar w:fldCharType="begin"/>
            </w:r>
            <w:r w:rsidR="0067013E">
              <w:instrText xml:space="preserve"> PAGEREF _Toc184273032 \h </w:instrText>
            </w:r>
            <w:r w:rsidR="0067013E">
              <w:fldChar w:fldCharType="separate"/>
            </w:r>
            <w:r w:rsidR="0067013E">
              <w:t>306</w:t>
            </w:r>
            <w:r w:rsidR="0067013E">
              <w:fldChar w:fldCharType="end"/>
            </w:r>
          </w:hyperlink>
        </w:p>
        <w:p w14:paraId="1E2EC26D" w14:textId="77777777" w:rsidR="00B01D46" w:rsidRDefault="00FE757F">
          <w:pPr>
            <w:pStyle w:val="TOC2"/>
            <w:ind w:hanging="180"/>
            <w:rPr>
              <w:rFonts w:eastAsiaTheme="minorEastAsia"/>
              <w:color w:val="auto"/>
            </w:rPr>
          </w:pPr>
          <w:hyperlink w:anchor="_Toc184273033" w:history="1">
            <w:r w:rsidR="0067013E">
              <w:rPr>
                <w:rStyle w:val="Hyperlink"/>
              </w:rPr>
              <w:t>Appendix IV: Interview Schedule for Head of Department</w:t>
            </w:r>
            <w:r w:rsidR="0067013E">
              <w:tab/>
            </w:r>
            <w:r w:rsidR="0067013E">
              <w:fldChar w:fldCharType="begin"/>
            </w:r>
            <w:r w:rsidR="0067013E">
              <w:instrText xml:space="preserve"> PAGEREF _Toc184273033 \h </w:instrText>
            </w:r>
            <w:r w:rsidR="0067013E">
              <w:fldChar w:fldCharType="separate"/>
            </w:r>
            <w:r w:rsidR="0067013E">
              <w:t>312</w:t>
            </w:r>
            <w:r w:rsidR="0067013E">
              <w:fldChar w:fldCharType="end"/>
            </w:r>
          </w:hyperlink>
        </w:p>
        <w:p w14:paraId="02E58F71" w14:textId="77777777" w:rsidR="00B01D46" w:rsidRDefault="00FE757F">
          <w:pPr>
            <w:pStyle w:val="TOC2"/>
            <w:ind w:hanging="180"/>
            <w:rPr>
              <w:rFonts w:eastAsiaTheme="minorEastAsia"/>
              <w:color w:val="auto"/>
            </w:rPr>
          </w:pPr>
          <w:hyperlink w:anchor="_Toc184273034" w:history="1">
            <w:r w:rsidR="0067013E">
              <w:rPr>
                <w:rStyle w:val="Hyperlink"/>
              </w:rPr>
              <w:t>Appendix V: Interview Schedule for Head Medical Librarians</w:t>
            </w:r>
            <w:r w:rsidR="0067013E">
              <w:tab/>
            </w:r>
            <w:r w:rsidR="0067013E">
              <w:fldChar w:fldCharType="begin"/>
            </w:r>
            <w:r w:rsidR="0067013E">
              <w:instrText xml:space="preserve"> PAGEREF _Toc184273034 \h </w:instrText>
            </w:r>
            <w:r w:rsidR="0067013E">
              <w:fldChar w:fldCharType="separate"/>
            </w:r>
            <w:r w:rsidR="0067013E">
              <w:t>318</w:t>
            </w:r>
            <w:r w:rsidR="0067013E">
              <w:fldChar w:fldCharType="end"/>
            </w:r>
          </w:hyperlink>
        </w:p>
        <w:p w14:paraId="3BBC8C3C" w14:textId="77777777" w:rsidR="00B01D46" w:rsidRDefault="00FE757F">
          <w:pPr>
            <w:pStyle w:val="TOC2"/>
            <w:ind w:hanging="180"/>
            <w:rPr>
              <w:rFonts w:eastAsiaTheme="minorEastAsia"/>
              <w:color w:val="auto"/>
            </w:rPr>
          </w:pPr>
          <w:hyperlink w:anchor="_Toc184273035" w:history="1">
            <w:r w:rsidR="0067013E">
              <w:rPr>
                <w:rStyle w:val="Hyperlink"/>
              </w:rPr>
              <w:t>Appendix VI: Request to NACOSTI to Undertake Research</w:t>
            </w:r>
            <w:r w:rsidR="0067013E">
              <w:tab/>
            </w:r>
            <w:r w:rsidR="0067013E">
              <w:fldChar w:fldCharType="begin"/>
            </w:r>
            <w:r w:rsidR="0067013E">
              <w:instrText xml:space="preserve"> PAGEREF _Toc184273035 \h </w:instrText>
            </w:r>
            <w:r w:rsidR="0067013E">
              <w:fldChar w:fldCharType="separate"/>
            </w:r>
            <w:r w:rsidR="0067013E">
              <w:t>324</w:t>
            </w:r>
            <w:r w:rsidR="0067013E">
              <w:fldChar w:fldCharType="end"/>
            </w:r>
          </w:hyperlink>
        </w:p>
        <w:p w14:paraId="4B5CBDC1" w14:textId="77777777" w:rsidR="00B01D46" w:rsidRDefault="00FE757F">
          <w:pPr>
            <w:pStyle w:val="TOC2"/>
            <w:ind w:hanging="180"/>
            <w:rPr>
              <w:rFonts w:eastAsiaTheme="minorEastAsia"/>
              <w:color w:val="auto"/>
            </w:rPr>
          </w:pPr>
          <w:hyperlink w:anchor="_Toc184273036" w:history="1">
            <w:r w:rsidR="0067013E">
              <w:rPr>
                <w:rStyle w:val="Hyperlink"/>
              </w:rPr>
              <w:t>Appendix VII: Authority from NACOSTI to Carry Out Research</w:t>
            </w:r>
            <w:r w:rsidR="0067013E">
              <w:tab/>
            </w:r>
            <w:r w:rsidR="0067013E">
              <w:fldChar w:fldCharType="begin"/>
            </w:r>
            <w:r w:rsidR="0067013E">
              <w:instrText xml:space="preserve"> PAGEREF _Toc184273036 \h </w:instrText>
            </w:r>
            <w:r w:rsidR="0067013E">
              <w:fldChar w:fldCharType="separate"/>
            </w:r>
            <w:r w:rsidR="0067013E">
              <w:t>325</w:t>
            </w:r>
            <w:r w:rsidR="0067013E">
              <w:fldChar w:fldCharType="end"/>
            </w:r>
          </w:hyperlink>
        </w:p>
        <w:p w14:paraId="3FE86B6E" w14:textId="77777777" w:rsidR="00B01D46" w:rsidRDefault="00FE757F">
          <w:pPr>
            <w:pStyle w:val="TOC2"/>
            <w:ind w:hanging="180"/>
            <w:rPr>
              <w:rFonts w:eastAsiaTheme="minorEastAsia"/>
              <w:color w:val="auto"/>
            </w:rPr>
          </w:pPr>
          <w:hyperlink w:anchor="_Toc184273037" w:history="1">
            <w:r w:rsidR="0067013E">
              <w:rPr>
                <w:rStyle w:val="Hyperlink"/>
              </w:rPr>
              <w:t>Appendix VIII: Request To Undertake Research in University of Nairobi</w:t>
            </w:r>
            <w:r w:rsidR="0067013E">
              <w:tab/>
            </w:r>
            <w:r w:rsidR="0067013E">
              <w:fldChar w:fldCharType="begin"/>
            </w:r>
            <w:r w:rsidR="0067013E">
              <w:instrText xml:space="preserve"> PAGEREF _Toc184273037 \h </w:instrText>
            </w:r>
            <w:r w:rsidR="0067013E">
              <w:fldChar w:fldCharType="separate"/>
            </w:r>
            <w:r w:rsidR="0067013E">
              <w:t>326</w:t>
            </w:r>
            <w:r w:rsidR="0067013E">
              <w:fldChar w:fldCharType="end"/>
            </w:r>
          </w:hyperlink>
        </w:p>
        <w:p w14:paraId="526E3E64" w14:textId="77777777" w:rsidR="00B01D46" w:rsidRDefault="00FE757F">
          <w:pPr>
            <w:pStyle w:val="TOC2"/>
            <w:ind w:hanging="180"/>
            <w:rPr>
              <w:rFonts w:eastAsiaTheme="minorEastAsia"/>
              <w:color w:val="auto"/>
            </w:rPr>
          </w:pPr>
          <w:hyperlink w:anchor="_Toc184273038" w:history="1">
            <w:r w:rsidR="0067013E">
              <w:rPr>
                <w:rStyle w:val="Hyperlink"/>
              </w:rPr>
              <w:t>Appendix IX: Authority Letter from University of Nairobi</w:t>
            </w:r>
            <w:r w:rsidR="0067013E">
              <w:tab/>
            </w:r>
            <w:r w:rsidR="0067013E">
              <w:fldChar w:fldCharType="begin"/>
            </w:r>
            <w:r w:rsidR="0067013E">
              <w:instrText xml:space="preserve"> PAGEREF _Toc184273038 \h </w:instrText>
            </w:r>
            <w:r w:rsidR="0067013E">
              <w:fldChar w:fldCharType="separate"/>
            </w:r>
            <w:r w:rsidR="0067013E">
              <w:t>327</w:t>
            </w:r>
            <w:r w:rsidR="0067013E">
              <w:fldChar w:fldCharType="end"/>
            </w:r>
          </w:hyperlink>
        </w:p>
        <w:p w14:paraId="6A5C5D97" w14:textId="77777777" w:rsidR="00B01D46" w:rsidRDefault="00FE757F">
          <w:pPr>
            <w:pStyle w:val="TOC2"/>
            <w:ind w:hanging="180"/>
            <w:rPr>
              <w:rFonts w:eastAsiaTheme="minorEastAsia"/>
              <w:color w:val="auto"/>
            </w:rPr>
          </w:pPr>
          <w:hyperlink w:anchor="_Toc184273039" w:history="1">
            <w:r w:rsidR="0067013E">
              <w:rPr>
                <w:rStyle w:val="Hyperlink"/>
              </w:rPr>
              <w:t>Appendix X: Request to Undertake Research in Moi University</w:t>
            </w:r>
            <w:r w:rsidR="0067013E">
              <w:tab/>
            </w:r>
            <w:r w:rsidR="0067013E">
              <w:fldChar w:fldCharType="begin"/>
            </w:r>
            <w:r w:rsidR="0067013E">
              <w:instrText xml:space="preserve"> PAGEREF _Toc184273039 \h </w:instrText>
            </w:r>
            <w:r w:rsidR="0067013E">
              <w:fldChar w:fldCharType="separate"/>
            </w:r>
            <w:r w:rsidR="0067013E">
              <w:t>328</w:t>
            </w:r>
            <w:r w:rsidR="0067013E">
              <w:fldChar w:fldCharType="end"/>
            </w:r>
          </w:hyperlink>
        </w:p>
        <w:p w14:paraId="747F4CD5" w14:textId="77777777" w:rsidR="00B01D46" w:rsidRDefault="00FE757F">
          <w:pPr>
            <w:pStyle w:val="TOC2"/>
            <w:ind w:hanging="180"/>
            <w:rPr>
              <w:rFonts w:eastAsiaTheme="minorEastAsia"/>
              <w:color w:val="auto"/>
            </w:rPr>
          </w:pPr>
          <w:hyperlink w:anchor="_Toc184273040" w:history="1">
            <w:r w:rsidR="0067013E">
              <w:rPr>
                <w:rStyle w:val="Hyperlink"/>
              </w:rPr>
              <w:t>Appendix XI: Plagiarism Awareness Certificate</w:t>
            </w:r>
            <w:r w:rsidR="0067013E">
              <w:tab/>
            </w:r>
            <w:r w:rsidR="0067013E">
              <w:fldChar w:fldCharType="begin"/>
            </w:r>
            <w:r w:rsidR="0067013E">
              <w:instrText xml:space="preserve"> PAGEREF _Toc184273040 \h </w:instrText>
            </w:r>
            <w:r w:rsidR="0067013E">
              <w:fldChar w:fldCharType="separate"/>
            </w:r>
            <w:r w:rsidR="0067013E">
              <w:t>329</w:t>
            </w:r>
            <w:r w:rsidR="0067013E">
              <w:fldChar w:fldCharType="end"/>
            </w:r>
          </w:hyperlink>
        </w:p>
        <w:p w14:paraId="52B3858F" w14:textId="77777777" w:rsidR="00B01D46" w:rsidRDefault="0067013E">
          <w:pPr>
            <w:tabs>
              <w:tab w:val="right" w:leader="dot" w:pos="8100"/>
            </w:tabs>
            <w:spacing w:after="0" w:line="360" w:lineRule="auto"/>
            <w:ind w:right="65"/>
          </w:pPr>
          <w:r>
            <w:rPr>
              <w:rFonts w:ascii="Times New Roman" w:hAnsi="Times New Roman" w:cs="Times New Roman"/>
              <w:sz w:val="24"/>
              <w:szCs w:val="24"/>
            </w:rPr>
            <w:fldChar w:fldCharType="end"/>
          </w:r>
        </w:p>
      </w:sdtContent>
    </w:sdt>
    <w:p w14:paraId="4C17944B" w14:textId="77777777" w:rsidR="00B01D46" w:rsidRDefault="0067013E">
      <w:pPr>
        <w:pStyle w:val="NoSpacing"/>
        <w:ind w:left="0"/>
        <w:rPr>
          <w:rFonts w:eastAsiaTheme="minorEastAsia"/>
        </w:rPr>
      </w:pPr>
      <w:r>
        <w:fldChar w:fldCharType="begin"/>
      </w:r>
      <w:r>
        <w:instrText xml:space="preserve"> TOC \o "1-3" \h \z \u </w:instrText>
      </w:r>
      <w:r>
        <w:fldChar w:fldCharType="separate"/>
      </w:r>
    </w:p>
    <w:p w14:paraId="3FA0D6D1" w14:textId="77777777" w:rsidR="00B01D46" w:rsidRDefault="00B01D46">
      <w:pPr>
        <w:rPr>
          <w:rFonts w:ascii="Times New Roman" w:hAnsi="Times New Roman" w:cs="Times New Roman"/>
          <w:sz w:val="24"/>
          <w:szCs w:val="24"/>
        </w:rPr>
      </w:pPr>
    </w:p>
    <w:p w14:paraId="185DD40A" w14:textId="77777777" w:rsidR="00B01D46" w:rsidRDefault="0067013E">
      <w:pPr>
        <w:tabs>
          <w:tab w:val="right" w:leader="dot" w:pos="8931"/>
          <w:tab w:val="right" w:leader="dot" w:pos="9072"/>
        </w:tabs>
        <w:spacing w:after="0" w:line="240" w:lineRule="auto"/>
        <w:ind w:left="426" w:right="26" w:hanging="426"/>
        <w:rPr>
          <w:rFonts w:ascii="Times New Roman" w:eastAsiaTheme="majorEastAsia" w:hAnsi="Times New Roman" w:cs="Times New Roman"/>
          <w:b/>
          <w:sz w:val="24"/>
          <w:szCs w:val="24"/>
        </w:rPr>
      </w:pPr>
      <w:r>
        <w:rPr>
          <w:rFonts w:ascii="Times New Roman" w:hAnsi="Times New Roman" w:cs="Times New Roman"/>
          <w:sz w:val="24"/>
          <w:szCs w:val="24"/>
        </w:rPr>
        <w:fldChar w:fldCharType="end"/>
      </w:r>
      <w:bookmarkStart w:id="47" w:name="_Toc164663952"/>
    </w:p>
    <w:p w14:paraId="629C3B61" w14:textId="77777777" w:rsidR="00B01D46" w:rsidRDefault="0067013E">
      <w:pPr>
        <w:spacing w:after="200" w:line="276" w:lineRule="auto"/>
        <w:rPr>
          <w:rFonts w:ascii="Times New Roman" w:eastAsiaTheme="majorEastAsia" w:hAnsi="Times New Roman" w:cs="Times New Roman"/>
          <w:b/>
          <w:sz w:val="24"/>
          <w:szCs w:val="24"/>
        </w:rPr>
      </w:pPr>
      <w:bookmarkStart w:id="48" w:name="_Toc165369110"/>
      <w:bookmarkStart w:id="49" w:name="_Toc165897950"/>
      <w:bookmarkStart w:id="50" w:name="_Toc165365097"/>
      <w:bookmarkStart w:id="51" w:name="_Toc165368294"/>
      <w:bookmarkStart w:id="52" w:name="_Toc165364830"/>
      <w:bookmarkStart w:id="53" w:name="_Toc165367568"/>
      <w:r>
        <w:rPr>
          <w:rFonts w:ascii="Times New Roman" w:hAnsi="Times New Roman" w:cs="Times New Roman"/>
          <w:sz w:val="24"/>
          <w:szCs w:val="24"/>
        </w:rPr>
        <w:br w:type="page"/>
      </w:r>
    </w:p>
    <w:p w14:paraId="1E9ED779" w14:textId="77777777" w:rsidR="00B01D46" w:rsidRDefault="0067013E">
      <w:pPr>
        <w:pStyle w:val="Heading1"/>
      </w:pPr>
      <w:bookmarkStart w:id="54" w:name="_Toc165975715"/>
      <w:bookmarkStart w:id="55" w:name="_Toc184272826"/>
      <w:bookmarkStart w:id="56" w:name="_Toc165972994"/>
      <w:r>
        <w:lastRenderedPageBreak/>
        <w:t>LIST OF TABLES</w:t>
      </w:r>
      <w:bookmarkEnd w:id="47"/>
      <w:bookmarkEnd w:id="48"/>
      <w:bookmarkEnd w:id="49"/>
      <w:bookmarkEnd w:id="50"/>
      <w:bookmarkEnd w:id="51"/>
      <w:bookmarkEnd w:id="52"/>
      <w:bookmarkEnd w:id="53"/>
      <w:bookmarkEnd w:id="54"/>
      <w:bookmarkEnd w:id="55"/>
      <w:bookmarkEnd w:id="56"/>
    </w:p>
    <w:p w14:paraId="4EBD11A0" w14:textId="77777777" w:rsidR="00B01D46" w:rsidRDefault="0067013E">
      <w:pPr>
        <w:pStyle w:val="TableofFigures"/>
        <w:tabs>
          <w:tab w:val="right" w:leader="dot" w:pos="8155"/>
        </w:tabs>
        <w:spacing w:line="360" w:lineRule="auto"/>
        <w:ind w:left="990" w:hanging="990"/>
        <w:rPr>
          <w:rFonts w:ascii="Times New Roman" w:eastAsiaTheme="minorEastAsia"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\t "Caption" \c "Table" </w:instrText>
      </w:r>
      <w:r>
        <w:rPr>
          <w:rFonts w:ascii="Times New Roman" w:hAnsi="Times New Roman" w:cs="Times New Roman"/>
          <w:sz w:val="24"/>
          <w:szCs w:val="24"/>
        </w:rPr>
        <w:fldChar w:fldCharType="separate"/>
      </w:r>
      <w:hyperlink w:anchor="_Toc184276887" w:history="1">
        <w:r>
          <w:rPr>
            <w:rStyle w:val="Hyperlink"/>
            <w:rFonts w:ascii="Times New Roman" w:hAnsi="Times New Roman" w:cs="Times New Roman"/>
            <w:sz w:val="24"/>
            <w:szCs w:val="24"/>
          </w:rPr>
          <w:t>Table 2.1: Mapping of Research Questions to Key Variables of the Sauce Theory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_Toc184276887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45</w:t>
        </w:r>
        <w:r>
          <w:rPr>
            <w:rFonts w:ascii="Times New Roman" w:hAnsi="Times New Roman" w:cs="Times New Roman"/>
            <w:sz w:val="24"/>
            <w:szCs w:val="24"/>
          </w:rPr>
          <w:fldChar w:fldCharType="end"/>
        </w:r>
      </w:hyperlink>
    </w:p>
    <w:p w14:paraId="465A0AB4"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889" w:history="1">
        <w:r w:rsidR="0067013E">
          <w:rPr>
            <w:rStyle w:val="Hyperlink"/>
            <w:rFonts w:ascii="Times New Roman" w:hAnsi="Times New Roman" w:cs="Times New Roman"/>
            <w:sz w:val="24"/>
            <w:szCs w:val="24"/>
          </w:rPr>
          <w:t>Table 3.1: Gaps from Literature and how they are addressed through Research Questions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_Toc184276889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77</w:t>
        </w:r>
        <w:r w:rsidR="0067013E">
          <w:rPr>
            <w:rFonts w:ascii="Times New Roman" w:hAnsi="Times New Roman" w:cs="Times New Roman"/>
            <w:sz w:val="24"/>
            <w:szCs w:val="24"/>
          </w:rPr>
          <w:fldChar w:fldCharType="end"/>
        </w:r>
      </w:hyperlink>
    </w:p>
    <w:p w14:paraId="07598498"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890" w:history="1">
        <w:r w:rsidR="0067013E">
          <w:rPr>
            <w:rStyle w:val="Hyperlink"/>
            <w:rFonts w:ascii="Times New Roman" w:hAnsi="Times New Roman" w:cs="Times New Roman"/>
            <w:sz w:val="24"/>
            <w:szCs w:val="24"/>
          </w:rPr>
          <w:t>Table 4.1: Target Population of Medicine, Dentistry and Nursing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_Toc184276890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93</w:t>
        </w:r>
        <w:r w:rsidR="0067013E">
          <w:rPr>
            <w:rFonts w:ascii="Times New Roman" w:hAnsi="Times New Roman" w:cs="Times New Roman"/>
            <w:sz w:val="24"/>
            <w:szCs w:val="24"/>
          </w:rPr>
          <w:fldChar w:fldCharType="end"/>
        </w:r>
      </w:hyperlink>
    </w:p>
    <w:p w14:paraId="10406F99"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891" w:history="1">
        <w:r w:rsidR="0067013E">
          <w:rPr>
            <w:rStyle w:val="Hyperlink"/>
            <w:rFonts w:ascii="Times New Roman" w:hAnsi="Times New Roman" w:cs="Times New Roman"/>
            <w:sz w:val="24"/>
            <w:szCs w:val="24"/>
          </w:rPr>
          <w:t>Table 4.2: Target Population of Heads of Departments and Lecturers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_Toc184276891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94</w:t>
        </w:r>
        <w:r w:rsidR="0067013E">
          <w:rPr>
            <w:rFonts w:ascii="Times New Roman" w:hAnsi="Times New Roman" w:cs="Times New Roman"/>
            <w:sz w:val="24"/>
            <w:szCs w:val="24"/>
          </w:rPr>
          <w:fldChar w:fldCharType="end"/>
        </w:r>
      </w:hyperlink>
    </w:p>
    <w:p w14:paraId="1305F2C9"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892" w:history="1">
        <w:r w:rsidR="0067013E">
          <w:rPr>
            <w:rStyle w:val="Hyperlink"/>
            <w:rFonts w:ascii="Times New Roman" w:hAnsi="Times New Roman" w:cs="Times New Roman"/>
            <w:sz w:val="24"/>
            <w:szCs w:val="24"/>
          </w:rPr>
          <w:t>Table 4.3: Target Population of University Librarians, Medical Librarians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_Toc184276892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95</w:t>
        </w:r>
        <w:r w:rsidR="0067013E">
          <w:rPr>
            <w:rFonts w:ascii="Times New Roman" w:hAnsi="Times New Roman" w:cs="Times New Roman"/>
            <w:sz w:val="24"/>
            <w:szCs w:val="24"/>
          </w:rPr>
          <w:fldChar w:fldCharType="end"/>
        </w:r>
      </w:hyperlink>
    </w:p>
    <w:p w14:paraId="663FD751"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893" w:history="1">
        <w:r w:rsidR="0067013E">
          <w:rPr>
            <w:rStyle w:val="Hyperlink"/>
            <w:rFonts w:ascii="Times New Roman" w:hAnsi="Times New Roman" w:cs="Times New Roman"/>
            <w:sz w:val="24"/>
            <w:szCs w:val="24"/>
          </w:rPr>
          <w:t>Table 4.4: Summary Table of the Entire Target Population</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_Toc184276893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95</w:t>
        </w:r>
        <w:r w:rsidR="0067013E">
          <w:rPr>
            <w:rFonts w:ascii="Times New Roman" w:hAnsi="Times New Roman" w:cs="Times New Roman"/>
            <w:sz w:val="24"/>
            <w:szCs w:val="24"/>
          </w:rPr>
          <w:fldChar w:fldCharType="end"/>
        </w:r>
      </w:hyperlink>
    </w:p>
    <w:p w14:paraId="3A343783"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894" w:history="1">
        <w:r w:rsidR="0067013E">
          <w:rPr>
            <w:rStyle w:val="Hyperlink"/>
            <w:rFonts w:ascii="Times New Roman" w:hAnsi="Times New Roman" w:cs="Times New Roman"/>
            <w:sz w:val="24"/>
            <w:szCs w:val="24"/>
          </w:rPr>
          <w:t>Table 4.5: Saunders, Lewis and Thornhill (2012) Table of Selecting Sample Sizes at 95 Level of Certainty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_Toc184276894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98</w:t>
        </w:r>
        <w:r w:rsidR="0067013E">
          <w:rPr>
            <w:rFonts w:ascii="Times New Roman" w:hAnsi="Times New Roman" w:cs="Times New Roman"/>
            <w:sz w:val="24"/>
            <w:szCs w:val="24"/>
          </w:rPr>
          <w:fldChar w:fldCharType="end"/>
        </w:r>
      </w:hyperlink>
    </w:p>
    <w:p w14:paraId="00426473"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895" w:history="1">
        <w:r w:rsidR="0067013E">
          <w:rPr>
            <w:rStyle w:val="Hyperlink"/>
            <w:rFonts w:ascii="Times New Roman" w:hAnsi="Times New Roman" w:cs="Times New Roman"/>
            <w:sz w:val="24"/>
            <w:szCs w:val="24"/>
          </w:rPr>
          <w:t>Table 4.6: Sample Size of Undergraduate Students (6</w:t>
        </w:r>
        <w:r w:rsidR="0067013E">
          <w:rPr>
            <w:rStyle w:val="Hyperlink"/>
            <w:rFonts w:ascii="Times New Roman" w:hAnsi="Times New Roman" w:cs="Times New Roman"/>
            <w:sz w:val="24"/>
            <w:szCs w:val="24"/>
            <w:vertAlign w:val="superscript"/>
          </w:rPr>
          <w:t>th</w:t>
        </w:r>
        <w:r w:rsidR="0067013E">
          <w:rPr>
            <w:rStyle w:val="Hyperlink"/>
            <w:rFonts w:ascii="Times New Roman" w:hAnsi="Times New Roman" w:cs="Times New Roman"/>
            <w:sz w:val="24"/>
            <w:szCs w:val="24"/>
          </w:rPr>
          <w:t xml:space="preserve"> year Medicine, 4</w:t>
        </w:r>
        <w:r w:rsidR="0067013E">
          <w:rPr>
            <w:rStyle w:val="Hyperlink"/>
            <w:rFonts w:ascii="Times New Roman" w:hAnsi="Times New Roman" w:cs="Times New Roman"/>
            <w:sz w:val="24"/>
            <w:szCs w:val="24"/>
            <w:vertAlign w:val="superscript"/>
          </w:rPr>
          <w:t>th</w:t>
        </w:r>
        <w:r w:rsidR="0067013E">
          <w:rPr>
            <w:rStyle w:val="Hyperlink"/>
            <w:rFonts w:ascii="Times New Roman" w:hAnsi="Times New Roman" w:cs="Times New Roman"/>
            <w:sz w:val="24"/>
            <w:szCs w:val="24"/>
          </w:rPr>
          <w:t xml:space="preserve"> year Dentistry and 5</w:t>
        </w:r>
        <w:r w:rsidR="0067013E">
          <w:rPr>
            <w:rStyle w:val="Hyperlink"/>
            <w:rFonts w:ascii="Times New Roman" w:hAnsi="Times New Roman" w:cs="Times New Roman"/>
            <w:sz w:val="24"/>
            <w:szCs w:val="24"/>
            <w:vertAlign w:val="superscript"/>
          </w:rPr>
          <w:t>th</w:t>
        </w:r>
        <w:r w:rsidR="0067013E">
          <w:rPr>
            <w:rStyle w:val="Hyperlink"/>
            <w:rFonts w:ascii="Times New Roman" w:hAnsi="Times New Roman" w:cs="Times New Roman"/>
            <w:sz w:val="24"/>
            <w:szCs w:val="24"/>
          </w:rPr>
          <w:t xml:space="preserve"> year Nursing) University of Nairobi (UON) and Moi University (MU)</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_Toc184276895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99</w:t>
        </w:r>
        <w:r w:rsidR="0067013E">
          <w:rPr>
            <w:rFonts w:ascii="Times New Roman" w:hAnsi="Times New Roman" w:cs="Times New Roman"/>
            <w:sz w:val="24"/>
            <w:szCs w:val="24"/>
          </w:rPr>
          <w:fldChar w:fldCharType="end"/>
        </w:r>
      </w:hyperlink>
    </w:p>
    <w:p w14:paraId="0E144AAD"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896" w:history="1">
        <w:r w:rsidR="0067013E">
          <w:rPr>
            <w:rStyle w:val="Hyperlink"/>
            <w:rFonts w:ascii="Times New Roman" w:hAnsi="Times New Roman" w:cs="Times New Roman"/>
            <w:sz w:val="24"/>
            <w:szCs w:val="24"/>
          </w:rPr>
          <w:t>Table 4.7: Relative Sample Size of Entire Population of Lecturers Teaching all the Units in Medicine, Nursing and Dentistry from University of Nairobi (UON) and Moi University (MU)</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_Toc184276896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100</w:t>
        </w:r>
        <w:r w:rsidR="0067013E">
          <w:rPr>
            <w:rFonts w:ascii="Times New Roman" w:hAnsi="Times New Roman" w:cs="Times New Roman"/>
            <w:sz w:val="24"/>
            <w:szCs w:val="24"/>
          </w:rPr>
          <w:fldChar w:fldCharType="end"/>
        </w:r>
      </w:hyperlink>
    </w:p>
    <w:p w14:paraId="3B81797C"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897" w:history="1">
        <w:r w:rsidR="0067013E">
          <w:rPr>
            <w:rStyle w:val="Hyperlink"/>
            <w:rFonts w:ascii="Times New Roman" w:hAnsi="Times New Roman" w:cs="Times New Roman"/>
            <w:sz w:val="24"/>
            <w:szCs w:val="24"/>
          </w:rPr>
          <w:t>Table 4.8: Cronbach’s Alpha Table</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_Toc184276897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112</w:t>
        </w:r>
        <w:r w:rsidR="0067013E">
          <w:rPr>
            <w:rFonts w:ascii="Times New Roman" w:hAnsi="Times New Roman" w:cs="Times New Roman"/>
            <w:sz w:val="24"/>
            <w:szCs w:val="24"/>
          </w:rPr>
          <w:fldChar w:fldCharType="end"/>
        </w:r>
      </w:hyperlink>
    </w:p>
    <w:p w14:paraId="711E5973"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898" w:history="1">
        <w:r w:rsidR="0067013E">
          <w:rPr>
            <w:rStyle w:val="Hyperlink"/>
            <w:rFonts w:ascii="Times New Roman" w:hAnsi="Times New Roman" w:cs="Times New Roman"/>
            <w:sz w:val="24"/>
            <w:szCs w:val="24"/>
          </w:rPr>
          <w:t>Table 4.9: Cronbach’s Alpha Values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_Toc184276898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113</w:t>
        </w:r>
        <w:r w:rsidR="0067013E">
          <w:rPr>
            <w:rFonts w:ascii="Times New Roman" w:hAnsi="Times New Roman" w:cs="Times New Roman"/>
            <w:sz w:val="24"/>
            <w:szCs w:val="24"/>
          </w:rPr>
          <w:fldChar w:fldCharType="end"/>
        </w:r>
      </w:hyperlink>
    </w:p>
    <w:p w14:paraId="345A872A"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899" w:history="1">
        <w:r w:rsidR="0067013E">
          <w:rPr>
            <w:rStyle w:val="Hyperlink"/>
            <w:rFonts w:ascii="Times New Roman" w:hAnsi="Times New Roman" w:cs="Times New Roman"/>
            <w:sz w:val="24"/>
            <w:szCs w:val="24"/>
          </w:rPr>
          <w:t>Table 4.10: Mapping Research Questions to Sources of Data and Data Analysis Approach</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_Toc184276899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114</w:t>
        </w:r>
        <w:r w:rsidR="0067013E">
          <w:rPr>
            <w:rFonts w:ascii="Times New Roman" w:hAnsi="Times New Roman" w:cs="Times New Roman"/>
            <w:sz w:val="24"/>
            <w:szCs w:val="24"/>
          </w:rPr>
          <w:fldChar w:fldCharType="end"/>
        </w:r>
      </w:hyperlink>
    </w:p>
    <w:p w14:paraId="10002FCD"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00" w:history="1">
        <w:r w:rsidR="0067013E">
          <w:rPr>
            <w:rStyle w:val="Hyperlink"/>
            <w:rFonts w:ascii="Times New Roman" w:hAnsi="Times New Roman" w:cs="Times New Roman"/>
            <w:sz w:val="24"/>
            <w:szCs w:val="24"/>
          </w:rPr>
          <w:t>Table 5.1: Response Rates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_Toc184276900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119</w:t>
        </w:r>
        <w:r w:rsidR="0067013E">
          <w:rPr>
            <w:rFonts w:ascii="Times New Roman" w:hAnsi="Times New Roman" w:cs="Times New Roman"/>
            <w:sz w:val="24"/>
            <w:szCs w:val="24"/>
          </w:rPr>
          <w:fldChar w:fldCharType="end"/>
        </w:r>
      </w:hyperlink>
    </w:p>
    <w:p w14:paraId="72368145"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01" w:history="1">
        <w:r w:rsidR="0067013E">
          <w:rPr>
            <w:rStyle w:val="Hyperlink"/>
            <w:rFonts w:ascii="Times New Roman" w:hAnsi="Times New Roman" w:cs="Times New Roman"/>
            <w:sz w:val="24"/>
            <w:szCs w:val="24"/>
          </w:rPr>
          <w:t>Table 5.2: Students Demographics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_Toc184276901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120</w:t>
        </w:r>
        <w:r w:rsidR="0067013E">
          <w:rPr>
            <w:rFonts w:ascii="Times New Roman" w:hAnsi="Times New Roman" w:cs="Times New Roman"/>
            <w:sz w:val="24"/>
            <w:szCs w:val="24"/>
          </w:rPr>
          <w:fldChar w:fldCharType="end"/>
        </w:r>
      </w:hyperlink>
    </w:p>
    <w:p w14:paraId="300A1DF1"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02" w:history="1">
        <w:r w:rsidR="0067013E">
          <w:rPr>
            <w:rStyle w:val="Hyperlink"/>
            <w:rFonts w:ascii="Times New Roman" w:hAnsi="Times New Roman" w:cs="Times New Roman"/>
            <w:sz w:val="24"/>
            <w:szCs w:val="24"/>
          </w:rPr>
          <w:t>Table 5.3: Lecturers Demographics Data</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_Toc184276902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121</w:t>
        </w:r>
        <w:r w:rsidR="0067013E">
          <w:rPr>
            <w:rFonts w:ascii="Times New Roman" w:hAnsi="Times New Roman" w:cs="Times New Roman"/>
            <w:sz w:val="24"/>
            <w:szCs w:val="24"/>
          </w:rPr>
          <w:fldChar w:fldCharType="end"/>
        </w:r>
      </w:hyperlink>
    </w:p>
    <w:p w14:paraId="0F2B735B"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03" w:history="1">
        <w:r w:rsidR="0067013E">
          <w:rPr>
            <w:rStyle w:val="Hyperlink"/>
            <w:rFonts w:ascii="Times New Roman" w:hAnsi="Times New Roman" w:cs="Times New Roman"/>
            <w:sz w:val="24"/>
            <w:szCs w:val="24"/>
          </w:rPr>
          <w:t>Table 5.4: Demographic Data of University Librarians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_Toc184276903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122</w:t>
        </w:r>
        <w:r w:rsidR="0067013E">
          <w:rPr>
            <w:rFonts w:ascii="Times New Roman" w:hAnsi="Times New Roman" w:cs="Times New Roman"/>
            <w:sz w:val="24"/>
            <w:szCs w:val="24"/>
          </w:rPr>
          <w:fldChar w:fldCharType="end"/>
        </w:r>
      </w:hyperlink>
    </w:p>
    <w:p w14:paraId="10F52482"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04" w:history="1">
        <w:r w:rsidR="0067013E">
          <w:rPr>
            <w:rStyle w:val="Hyperlink"/>
            <w:rFonts w:ascii="Times New Roman" w:hAnsi="Times New Roman" w:cs="Times New Roman"/>
            <w:sz w:val="24"/>
            <w:szCs w:val="24"/>
          </w:rPr>
          <w:t>Table 5.5: Head Medical Librarians Demographics Data</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_Toc184276904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123</w:t>
        </w:r>
        <w:r w:rsidR="0067013E">
          <w:rPr>
            <w:rFonts w:ascii="Times New Roman" w:hAnsi="Times New Roman" w:cs="Times New Roman"/>
            <w:sz w:val="24"/>
            <w:szCs w:val="24"/>
          </w:rPr>
          <w:fldChar w:fldCharType="end"/>
        </w:r>
      </w:hyperlink>
    </w:p>
    <w:p w14:paraId="2786366A"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05" w:history="1">
        <w:r w:rsidR="0067013E">
          <w:rPr>
            <w:rStyle w:val="Hyperlink"/>
            <w:rFonts w:ascii="Times New Roman" w:hAnsi="Times New Roman" w:cs="Times New Roman"/>
            <w:sz w:val="24"/>
            <w:szCs w:val="24"/>
          </w:rPr>
          <w:t>Table 5.6: Head of Departments Demographics Data</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_Toc184276905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124</w:t>
        </w:r>
        <w:r w:rsidR="0067013E">
          <w:rPr>
            <w:rFonts w:ascii="Times New Roman" w:hAnsi="Times New Roman" w:cs="Times New Roman"/>
            <w:sz w:val="24"/>
            <w:szCs w:val="24"/>
          </w:rPr>
          <w:fldChar w:fldCharType="end"/>
        </w:r>
      </w:hyperlink>
    </w:p>
    <w:p w14:paraId="62E25A45"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06" w:history="1">
        <w:r w:rsidR="0067013E">
          <w:rPr>
            <w:rStyle w:val="Hyperlink"/>
            <w:rFonts w:ascii="Times New Roman" w:hAnsi="Times New Roman" w:cs="Times New Roman"/>
            <w:sz w:val="24"/>
            <w:szCs w:val="24"/>
          </w:rPr>
          <w:t>Table 5.7: Status of Students’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_Toc184276906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127</w:t>
        </w:r>
        <w:r w:rsidR="0067013E">
          <w:rPr>
            <w:rFonts w:ascii="Times New Roman" w:hAnsi="Times New Roman" w:cs="Times New Roman"/>
            <w:sz w:val="24"/>
            <w:szCs w:val="24"/>
          </w:rPr>
          <w:fldChar w:fldCharType="end"/>
        </w:r>
      </w:hyperlink>
    </w:p>
    <w:p w14:paraId="20ADFA23"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07" w:history="1">
        <w:r w:rsidR="0067013E">
          <w:rPr>
            <w:rStyle w:val="Hyperlink"/>
            <w:rFonts w:ascii="Times New Roman" w:hAnsi="Times New Roman" w:cs="Times New Roman"/>
            <w:sz w:val="24"/>
            <w:szCs w:val="24"/>
          </w:rPr>
          <w:t>Table 5.8: Lecturers' Responses on the Status of ILS of Undergraduate Medical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_Toc184276907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132</w:t>
        </w:r>
        <w:r w:rsidR="0067013E">
          <w:rPr>
            <w:rFonts w:ascii="Times New Roman" w:hAnsi="Times New Roman" w:cs="Times New Roman"/>
            <w:sz w:val="24"/>
            <w:szCs w:val="24"/>
          </w:rPr>
          <w:fldChar w:fldCharType="end"/>
        </w:r>
      </w:hyperlink>
    </w:p>
    <w:p w14:paraId="4D61C7DD"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10" w:history="1">
        <w:r w:rsidR="0067013E">
          <w:rPr>
            <w:rStyle w:val="Hyperlink"/>
            <w:rFonts w:ascii="Times New Roman" w:hAnsi="Times New Roman" w:cs="Times New Roman"/>
            <w:sz w:val="24"/>
            <w:szCs w:val="24"/>
          </w:rPr>
          <w:t>Table 5.9: ILS Skills Covered by the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_Toc184276910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140</w:t>
        </w:r>
        <w:r w:rsidR="0067013E">
          <w:rPr>
            <w:rFonts w:ascii="Times New Roman" w:hAnsi="Times New Roman" w:cs="Times New Roman"/>
            <w:sz w:val="24"/>
            <w:szCs w:val="24"/>
          </w:rPr>
          <w:fldChar w:fldCharType="end"/>
        </w:r>
      </w:hyperlink>
    </w:p>
    <w:p w14:paraId="3B3D3723"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11" w:history="1">
        <w:r w:rsidR="0067013E">
          <w:rPr>
            <w:rStyle w:val="Hyperlink"/>
            <w:rFonts w:ascii="Times New Roman" w:hAnsi="Times New Roman" w:cs="Times New Roman"/>
            <w:sz w:val="24"/>
            <w:szCs w:val="24"/>
          </w:rPr>
          <w:t>Table 5.10: Lecturer’s Response on Information Literacy Skills Covered by the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_Toc184276911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141</w:t>
        </w:r>
        <w:r w:rsidR="0067013E">
          <w:rPr>
            <w:rFonts w:ascii="Times New Roman" w:hAnsi="Times New Roman" w:cs="Times New Roman"/>
            <w:sz w:val="24"/>
            <w:szCs w:val="24"/>
          </w:rPr>
          <w:fldChar w:fldCharType="end"/>
        </w:r>
      </w:hyperlink>
    </w:p>
    <w:p w14:paraId="367908FD"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12" w:history="1">
        <w:r w:rsidR="0067013E">
          <w:rPr>
            <w:rStyle w:val="Hyperlink"/>
            <w:rFonts w:ascii="Times New Roman" w:hAnsi="Times New Roman" w:cs="Times New Roman"/>
            <w:sz w:val="24"/>
            <w:szCs w:val="24"/>
          </w:rPr>
          <w:t>Table 5.11: Contributions of Various Stakeholders to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_Toc184276912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142</w:t>
        </w:r>
        <w:r w:rsidR="0067013E">
          <w:rPr>
            <w:rFonts w:ascii="Times New Roman" w:hAnsi="Times New Roman" w:cs="Times New Roman"/>
            <w:sz w:val="24"/>
            <w:szCs w:val="24"/>
          </w:rPr>
          <w:fldChar w:fldCharType="end"/>
        </w:r>
      </w:hyperlink>
    </w:p>
    <w:p w14:paraId="5C5AB27E"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15" w:history="1">
        <w:r w:rsidR="0067013E">
          <w:rPr>
            <w:rStyle w:val="Hyperlink"/>
            <w:rFonts w:ascii="Times New Roman" w:hAnsi="Times New Roman" w:cs="Times New Roman"/>
            <w:sz w:val="24"/>
            <w:szCs w:val="24"/>
          </w:rPr>
          <w:t>Table 5.12: Students’ Responses on the Topics Covered by the ILS Curriculum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_Toc184276915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146</w:t>
        </w:r>
        <w:r w:rsidR="0067013E">
          <w:rPr>
            <w:rFonts w:ascii="Times New Roman" w:hAnsi="Times New Roman" w:cs="Times New Roman"/>
            <w:sz w:val="24"/>
            <w:szCs w:val="24"/>
          </w:rPr>
          <w:fldChar w:fldCharType="end"/>
        </w:r>
      </w:hyperlink>
    </w:p>
    <w:p w14:paraId="1E7E6AC9"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16" w:history="1">
        <w:r w:rsidR="0067013E">
          <w:rPr>
            <w:rStyle w:val="Hyperlink"/>
            <w:rFonts w:ascii="Times New Roman" w:hAnsi="Times New Roman" w:cs="Times New Roman"/>
            <w:sz w:val="24"/>
            <w:szCs w:val="24"/>
          </w:rPr>
          <w:t>Table 5.13 Lecturers’ Responses on the Topics Covered by the ILS Curriculum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_Toc184276916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147</w:t>
        </w:r>
        <w:r w:rsidR="0067013E">
          <w:rPr>
            <w:rFonts w:ascii="Times New Roman" w:hAnsi="Times New Roman" w:cs="Times New Roman"/>
            <w:sz w:val="24"/>
            <w:szCs w:val="24"/>
          </w:rPr>
          <w:fldChar w:fldCharType="end"/>
        </w:r>
      </w:hyperlink>
    </w:p>
    <w:p w14:paraId="72D360C8"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17" w:history="1">
        <w:r w:rsidR="0067013E">
          <w:rPr>
            <w:rStyle w:val="Hyperlink"/>
            <w:rFonts w:ascii="Times New Roman" w:hAnsi="Times New Roman" w:cs="Times New Roman"/>
            <w:sz w:val="24"/>
            <w:szCs w:val="24"/>
          </w:rPr>
          <w:t>Table 5.14: Students’ Response to Methods of ILS Delivery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_Toc184276917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149</w:t>
        </w:r>
        <w:r w:rsidR="0067013E">
          <w:rPr>
            <w:rFonts w:ascii="Times New Roman" w:hAnsi="Times New Roman" w:cs="Times New Roman"/>
            <w:sz w:val="24"/>
            <w:szCs w:val="24"/>
          </w:rPr>
          <w:fldChar w:fldCharType="end"/>
        </w:r>
      </w:hyperlink>
    </w:p>
    <w:p w14:paraId="3234C89A"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19" w:history="1">
        <w:r w:rsidR="0067013E">
          <w:rPr>
            <w:rStyle w:val="Hyperlink"/>
            <w:rFonts w:ascii="Times New Roman" w:hAnsi="Times New Roman" w:cs="Times New Roman"/>
            <w:sz w:val="24"/>
            <w:szCs w:val="24"/>
          </w:rPr>
          <w:t>Table 5.15: Lecturers’ Response on Methods of ILS Delivery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_Toc184276919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150</w:t>
        </w:r>
        <w:r w:rsidR="0067013E">
          <w:rPr>
            <w:rFonts w:ascii="Times New Roman" w:hAnsi="Times New Roman" w:cs="Times New Roman"/>
            <w:sz w:val="24"/>
            <w:szCs w:val="24"/>
          </w:rPr>
          <w:fldChar w:fldCharType="end"/>
        </w:r>
      </w:hyperlink>
    </w:p>
    <w:p w14:paraId="2E007DCF"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20" w:history="1">
        <w:r w:rsidR="0067013E">
          <w:rPr>
            <w:rStyle w:val="Hyperlink"/>
            <w:rFonts w:ascii="Times New Roman" w:hAnsi="Times New Roman" w:cs="Times New Roman"/>
            <w:sz w:val="24"/>
            <w:szCs w:val="24"/>
          </w:rPr>
          <w:t>Table 5.16: Staff Involved in ILS Instruction</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_Toc184276920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152</w:t>
        </w:r>
        <w:r w:rsidR="0067013E">
          <w:rPr>
            <w:rFonts w:ascii="Times New Roman" w:hAnsi="Times New Roman" w:cs="Times New Roman"/>
            <w:sz w:val="24"/>
            <w:szCs w:val="24"/>
          </w:rPr>
          <w:fldChar w:fldCharType="end"/>
        </w:r>
      </w:hyperlink>
    </w:p>
    <w:p w14:paraId="63E73B13"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21" w:history="1">
        <w:r w:rsidR="0067013E">
          <w:rPr>
            <w:rStyle w:val="Hyperlink"/>
            <w:rFonts w:ascii="Times New Roman" w:hAnsi="Times New Roman" w:cs="Times New Roman"/>
            <w:sz w:val="24"/>
            <w:szCs w:val="24"/>
          </w:rPr>
          <w:t>Table 5.17: Techniques for Assessing the Effectiveness of the ILS Curriculum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_Toc184276921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153</w:t>
        </w:r>
        <w:r w:rsidR="0067013E">
          <w:rPr>
            <w:rFonts w:ascii="Times New Roman" w:hAnsi="Times New Roman" w:cs="Times New Roman"/>
            <w:sz w:val="24"/>
            <w:szCs w:val="24"/>
          </w:rPr>
          <w:fldChar w:fldCharType="end"/>
        </w:r>
      </w:hyperlink>
    </w:p>
    <w:p w14:paraId="38D22FAE"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23" w:history="1">
        <w:r w:rsidR="0067013E">
          <w:rPr>
            <w:rStyle w:val="Hyperlink"/>
            <w:rFonts w:ascii="Times New Roman" w:hAnsi="Times New Roman" w:cs="Times New Roman"/>
            <w:sz w:val="24"/>
            <w:szCs w:val="24"/>
          </w:rPr>
          <w:t>Table 5.18: Responses of Students who were Enthusiastic about ILS Learning and Instruction</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_Toc184276923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156</w:t>
        </w:r>
        <w:r w:rsidR="0067013E">
          <w:rPr>
            <w:rFonts w:ascii="Times New Roman" w:hAnsi="Times New Roman" w:cs="Times New Roman"/>
            <w:sz w:val="24"/>
            <w:szCs w:val="24"/>
          </w:rPr>
          <w:fldChar w:fldCharType="end"/>
        </w:r>
      </w:hyperlink>
    </w:p>
    <w:p w14:paraId="727BEFA3"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24" w:history="1">
        <w:r w:rsidR="0067013E">
          <w:rPr>
            <w:rStyle w:val="Hyperlink"/>
            <w:rFonts w:ascii="Times New Roman" w:hAnsi="Times New Roman" w:cs="Times New Roman"/>
            <w:sz w:val="24"/>
            <w:szCs w:val="24"/>
          </w:rPr>
          <w:t>Table 5.19: Student Responses Indicating Unfavorable View towards ILS Learning and Instruction</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_Toc184276924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156</w:t>
        </w:r>
        <w:r w:rsidR="0067013E">
          <w:rPr>
            <w:rFonts w:ascii="Times New Roman" w:hAnsi="Times New Roman" w:cs="Times New Roman"/>
            <w:sz w:val="24"/>
            <w:szCs w:val="24"/>
          </w:rPr>
          <w:fldChar w:fldCharType="end"/>
        </w:r>
      </w:hyperlink>
    </w:p>
    <w:p w14:paraId="17A540B8"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25" w:history="1">
        <w:r w:rsidR="0067013E">
          <w:rPr>
            <w:rStyle w:val="Hyperlink"/>
            <w:rFonts w:ascii="Times New Roman" w:hAnsi="Times New Roman" w:cs="Times New Roman"/>
            <w:sz w:val="24"/>
            <w:szCs w:val="24"/>
          </w:rPr>
          <w:t>Table 5.20: Lecturers’ Response on the’ ILS Understanding among Undergraduate Medical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_Toc184276925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157</w:t>
        </w:r>
        <w:r w:rsidR="0067013E">
          <w:rPr>
            <w:rFonts w:ascii="Times New Roman" w:hAnsi="Times New Roman" w:cs="Times New Roman"/>
            <w:sz w:val="24"/>
            <w:szCs w:val="24"/>
          </w:rPr>
          <w:fldChar w:fldCharType="end"/>
        </w:r>
      </w:hyperlink>
    </w:p>
    <w:p w14:paraId="39B09A1A"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26" w:history="1">
        <w:r w:rsidR="0067013E">
          <w:rPr>
            <w:rStyle w:val="Hyperlink"/>
            <w:rFonts w:ascii="Times New Roman" w:hAnsi="Times New Roman" w:cs="Times New Roman"/>
            <w:sz w:val="24"/>
            <w:szCs w:val="24"/>
          </w:rPr>
          <w:t>Table 5.21: Students’ Library Experience after ILS Training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_Toc184276926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159</w:t>
        </w:r>
        <w:r w:rsidR="0067013E">
          <w:rPr>
            <w:rFonts w:ascii="Times New Roman" w:hAnsi="Times New Roman" w:cs="Times New Roman"/>
            <w:sz w:val="24"/>
            <w:szCs w:val="24"/>
          </w:rPr>
          <w:fldChar w:fldCharType="end"/>
        </w:r>
      </w:hyperlink>
    </w:p>
    <w:p w14:paraId="4714A752"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27" w:history="1">
        <w:r w:rsidR="0067013E">
          <w:rPr>
            <w:rStyle w:val="Hyperlink"/>
            <w:rFonts w:ascii="Times New Roman" w:hAnsi="Times New Roman" w:cs="Times New Roman"/>
            <w:sz w:val="24"/>
            <w:szCs w:val="24"/>
          </w:rPr>
          <w:t xml:space="preserve">Table 5.22: Lecturers’ Response on Students’ Library Experience after ILS Training </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_Toc184276927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160</w:t>
        </w:r>
        <w:r w:rsidR="0067013E">
          <w:rPr>
            <w:rFonts w:ascii="Times New Roman" w:hAnsi="Times New Roman" w:cs="Times New Roman"/>
            <w:sz w:val="24"/>
            <w:szCs w:val="24"/>
          </w:rPr>
          <w:fldChar w:fldCharType="end"/>
        </w:r>
      </w:hyperlink>
    </w:p>
    <w:p w14:paraId="7E63C063"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28" w:history="1">
        <w:r w:rsidR="0067013E">
          <w:rPr>
            <w:rStyle w:val="Hyperlink"/>
            <w:rFonts w:ascii="Times New Roman" w:hAnsi="Times New Roman" w:cs="Times New Roman"/>
            <w:sz w:val="24"/>
            <w:szCs w:val="24"/>
          </w:rPr>
          <w:t xml:space="preserve">Table 5.23: Students’ Response to Knowledge and Skills Possessed by Staff Facilitating ILS among </w:t>
        </w:r>
        <w:r w:rsidR="0067013E">
          <w:rPr>
            <w:rStyle w:val="Hyperlink"/>
            <w:rFonts w:ascii="Times New Roman" w:eastAsia="Times New Roman" w:hAnsi="Times New Roman" w:cs="Times New Roman"/>
            <w:sz w:val="24"/>
            <w:szCs w:val="24"/>
          </w:rPr>
          <w:t>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_Toc184276928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163</w:t>
        </w:r>
        <w:r w:rsidR="0067013E">
          <w:rPr>
            <w:rFonts w:ascii="Times New Roman" w:hAnsi="Times New Roman" w:cs="Times New Roman"/>
            <w:sz w:val="24"/>
            <w:szCs w:val="24"/>
          </w:rPr>
          <w:fldChar w:fldCharType="end"/>
        </w:r>
      </w:hyperlink>
    </w:p>
    <w:p w14:paraId="53D8A0BB"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29" w:history="1">
        <w:r w:rsidR="0067013E">
          <w:rPr>
            <w:rStyle w:val="Hyperlink"/>
            <w:rFonts w:ascii="Times New Roman" w:hAnsi="Times New Roman" w:cs="Times New Roman"/>
            <w:sz w:val="24"/>
            <w:szCs w:val="24"/>
          </w:rPr>
          <w:t>Table 5.24: Lecturers’ Response to ILS skills Possessed by Library Staff</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_Toc184276929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164</w:t>
        </w:r>
        <w:r w:rsidR="0067013E">
          <w:rPr>
            <w:rFonts w:ascii="Times New Roman" w:hAnsi="Times New Roman" w:cs="Times New Roman"/>
            <w:sz w:val="24"/>
            <w:szCs w:val="24"/>
          </w:rPr>
          <w:fldChar w:fldCharType="end"/>
        </w:r>
      </w:hyperlink>
    </w:p>
    <w:p w14:paraId="389B0F0F"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30" w:history="1">
        <w:r w:rsidR="0067013E">
          <w:rPr>
            <w:rStyle w:val="Hyperlink"/>
            <w:rFonts w:ascii="Times New Roman" w:hAnsi="Times New Roman" w:cs="Times New Roman"/>
            <w:sz w:val="24"/>
            <w:szCs w:val="24"/>
          </w:rPr>
          <w:t>Table 5.25: Students’ Integration of ICT skills with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_Toc184276930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167</w:t>
        </w:r>
        <w:r w:rsidR="0067013E">
          <w:rPr>
            <w:rFonts w:ascii="Times New Roman" w:hAnsi="Times New Roman" w:cs="Times New Roman"/>
            <w:sz w:val="24"/>
            <w:szCs w:val="24"/>
          </w:rPr>
          <w:fldChar w:fldCharType="end"/>
        </w:r>
      </w:hyperlink>
    </w:p>
    <w:p w14:paraId="2F9D8638"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31" w:history="1">
        <w:r w:rsidR="0067013E">
          <w:rPr>
            <w:rStyle w:val="Hyperlink"/>
            <w:rFonts w:ascii="Times New Roman" w:hAnsi="Times New Roman" w:cs="Times New Roman"/>
            <w:sz w:val="24"/>
            <w:szCs w:val="24"/>
          </w:rPr>
          <w:t>Table 5.26: The Lecturers’ Response on Students’ Integration of ICT Skills with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_Toc184276931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168</w:t>
        </w:r>
        <w:r w:rsidR="0067013E">
          <w:rPr>
            <w:rFonts w:ascii="Times New Roman" w:hAnsi="Times New Roman" w:cs="Times New Roman"/>
            <w:sz w:val="24"/>
            <w:szCs w:val="24"/>
          </w:rPr>
          <w:fldChar w:fldCharType="end"/>
        </w:r>
      </w:hyperlink>
    </w:p>
    <w:p w14:paraId="4932EF08"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32" w:history="1">
        <w:r w:rsidR="0067013E">
          <w:rPr>
            <w:rStyle w:val="Hyperlink"/>
            <w:rFonts w:ascii="Times New Roman" w:hAnsi="Times New Roman" w:cs="Times New Roman"/>
            <w:sz w:val="24"/>
            <w:szCs w:val="24"/>
          </w:rPr>
          <w:t>Table 5.27: The Lecturers’ Response on ICT Skills Integration in ILS Training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_Toc184276932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170</w:t>
        </w:r>
        <w:r w:rsidR="0067013E">
          <w:rPr>
            <w:rFonts w:ascii="Times New Roman" w:hAnsi="Times New Roman" w:cs="Times New Roman"/>
            <w:sz w:val="24"/>
            <w:szCs w:val="24"/>
          </w:rPr>
          <w:fldChar w:fldCharType="end"/>
        </w:r>
      </w:hyperlink>
    </w:p>
    <w:p w14:paraId="4208D3D5"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33" w:history="1">
        <w:r w:rsidR="0067013E">
          <w:rPr>
            <w:rStyle w:val="Hyperlink"/>
            <w:rFonts w:ascii="Times New Roman" w:hAnsi="Times New Roman" w:cs="Times New Roman"/>
            <w:sz w:val="24"/>
            <w:szCs w:val="24"/>
          </w:rPr>
          <w:t>Table 5.28: Students’ Response on the ICT(S) Tools and Devices used for ILS Learning and Training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_Toc184276933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171</w:t>
        </w:r>
        <w:r w:rsidR="0067013E">
          <w:rPr>
            <w:rFonts w:ascii="Times New Roman" w:hAnsi="Times New Roman" w:cs="Times New Roman"/>
            <w:sz w:val="24"/>
            <w:szCs w:val="24"/>
          </w:rPr>
          <w:fldChar w:fldCharType="end"/>
        </w:r>
      </w:hyperlink>
    </w:p>
    <w:p w14:paraId="67B3689F"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34" w:history="1">
        <w:r w:rsidR="0067013E">
          <w:rPr>
            <w:rStyle w:val="Hyperlink"/>
            <w:rFonts w:ascii="Times New Roman" w:hAnsi="Times New Roman" w:cs="Times New Roman"/>
            <w:sz w:val="24"/>
            <w:szCs w:val="24"/>
          </w:rPr>
          <w:t>Table 5.29: Students’ Response to Challenges Hindering Effective Utilization of ICT Tools and Devices Facilitating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_Toc184276934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174</w:t>
        </w:r>
        <w:r w:rsidR="0067013E">
          <w:rPr>
            <w:rFonts w:ascii="Times New Roman" w:hAnsi="Times New Roman" w:cs="Times New Roman"/>
            <w:sz w:val="24"/>
            <w:szCs w:val="24"/>
          </w:rPr>
          <w:fldChar w:fldCharType="end"/>
        </w:r>
      </w:hyperlink>
    </w:p>
    <w:p w14:paraId="68C17839"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35" w:history="1">
        <w:r w:rsidR="0067013E">
          <w:rPr>
            <w:rStyle w:val="Hyperlink"/>
            <w:rFonts w:ascii="Times New Roman" w:hAnsi="Times New Roman" w:cs="Times New Roman"/>
            <w:sz w:val="24"/>
            <w:szCs w:val="24"/>
          </w:rPr>
          <w:t>Table 5.30: Lecturers’ Response to Challenges Hindering Effective Utilization of ICT Tools and Devices Facilitating ILS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_Toc184276935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175</w:t>
        </w:r>
        <w:r w:rsidR="0067013E">
          <w:rPr>
            <w:rFonts w:ascii="Times New Roman" w:hAnsi="Times New Roman" w:cs="Times New Roman"/>
            <w:sz w:val="24"/>
            <w:szCs w:val="24"/>
          </w:rPr>
          <w:fldChar w:fldCharType="end"/>
        </w:r>
      </w:hyperlink>
    </w:p>
    <w:p w14:paraId="612E0217"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36" w:history="1">
        <w:r w:rsidR="0067013E">
          <w:rPr>
            <w:rStyle w:val="Hyperlink"/>
            <w:rFonts w:ascii="Times New Roman" w:hAnsi="Times New Roman" w:cs="Times New Roman"/>
            <w:sz w:val="24"/>
            <w:szCs w:val="24"/>
          </w:rPr>
          <w:t>Table 5.31: Students’ Responses to Challenges Hindering ILS Delivery to 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_Toc184276936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177</w:t>
        </w:r>
        <w:r w:rsidR="0067013E">
          <w:rPr>
            <w:rFonts w:ascii="Times New Roman" w:hAnsi="Times New Roman" w:cs="Times New Roman"/>
            <w:sz w:val="24"/>
            <w:szCs w:val="24"/>
          </w:rPr>
          <w:fldChar w:fldCharType="end"/>
        </w:r>
      </w:hyperlink>
    </w:p>
    <w:p w14:paraId="3D130EF6"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37" w:history="1">
        <w:r w:rsidR="0067013E">
          <w:rPr>
            <w:rStyle w:val="Hyperlink"/>
            <w:rFonts w:ascii="Times New Roman" w:hAnsi="Times New Roman" w:cs="Times New Roman"/>
            <w:sz w:val="24"/>
            <w:szCs w:val="24"/>
          </w:rPr>
          <w:t xml:space="preserve">Table 5.32: Lecturers’ Responses to Challenges Hindering ILS Delivery to </w:t>
        </w:r>
        <w:r w:rsidR="0067013E">
          <w:rPr>
            <w:rStyle w:val="Hyperlink"/>
            <w:rFonts w:ascii="Times New Roman" w:eastAsia="Times New Roman" w:hAnsi="Times New Roman" w:cs="Times New Roman"/>
            <w:sz w:val="24"/>
            <w:szCs w:val="24"/>
          </w:rPr>
          <w:t>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_Toc184276937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177</w:t>
        </w:r>
        <w:r w:rsidR="0067013E">
          <w:rPr>
            <w:rFonts w:ascii="Times New Roman" w:hAnsi="Times New Roman" w:cs="Times New Roman"/>
            <w:sz w:val="24"/>
            <w:szCs w:val="24"/>
          </w:rPr>
          <w:fldChar w:fldCharType="end"/>
        </w:r>
      </w:hyperlink>
    </w:p>
    <w:p w14:paraId="1F31CEB5" w14:textId="77777777" w:rsidR="00B01D46" w:rsidRDefault="00FE757F">
      <w:pPr>
        <w:pStyle w:val="TableofFigures"/>
        <w:tabs>
          <w:tab w:val="right" w:leader="dot" w:pos="8155"/>
        </w:tabs>
        <w:spacing w:line="360" w:lineRule="auto"/>
        <w:ind w:left="990" w:hanging="990"/>
        <w:rPr>
          <w:rFonts w:ascii="Times New Roman" w:eastAsiaTheme="minorEastAsia" w:hAnsi="Times New Roman" w:cs="Times New Roman"/>
          <w:sz w:val="24"/>
          <w:szCs w:val="24"/>
        </w:rPr>
      </w:pPr>
      <w:hyperlink w:anchor="_Toc184276938" w:history="1">
        <w:r w:rsidR="0067013E">
          <w:rPr>
            <w:rStyle w:val="Hyperlink"/>
            <w:rFonts w:ascii="Times New Roman" w:hAnsi="Times New Roman" w:cs="Times New Roman"/>
            <w:sz w:val="24"/>
            <w:szCs w:val="24"/>
          </w:rPr>
          <w:t>Table 6.1: Summary of Findings Mapped to the Theoretical Models and the Research Questions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_Toc184276938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223</w:t>
        </w:r>
        <w:r w:rsidR="0067013E">
          <w:rPr>
            <w:rFonts w:ascii="Times New Roman" w:hAnsi="Times New Roman" w:cs="Times New Roman"/>
            <w:sz w:val="24"/>
            <w:szCs w:val="24"/>
          </w:rPr>
          <w:fldChar w:fldCharType="end"/>
        </w:r>
      </w:hyperlink>
    </w:p>
    <w:p w14:paraId="54D3B957" w14:textId="77777777" w:rsidR="00B01D46" w:rsidRDefault="0067013E">
      <w:pPr>
        <w:spacing w:line="360" w:lineRule="auto"/>
        <w:ind w:left="810" w:hanging="810"/>
        <w:rPr>
          <w:rFonts w:ascii="Times New Roman" w:hAnsi="Times New Roman" w:cs="Times New Roman"/>
          <w:sz w:val="24"/>
          <w:szCs w:val="24"/>
        </w:rPr>
      </w:pPr>
      <w:r>
        <w:rPr>
          <w:rFonts w:ascii="Times New Roman" w:hAnsi="Times New Roman" w:cs="Times New Roman"/>
          <w:sz w:val="24"/>
          <w:szCs w:val="24"/>
        </w:rPr>
        <w:fldChar w:fldCharType="end"/>
      </w:r>
    </w:p>
    <w:p w14:paraId="597A124D" w14:textId="77777777" w:rsidR="00B01D46" w:rsidRDefault="00B01D46">
      <w:pPr>
        <w:spacing w:before="120" w:after="0" w:line="480" w:lineRule="auto"/>
        <w:ind w:left="-288" w:right="-288"/>
        <w:jc w:val="both"/>
        <w:rPr>
          <w:rFonts w:ascii="Times New Roman" w:hAnsi="Times New Roman" w:cs="Times New Roman"/>
          <w:b/>
          <w:sz w:val="24"/>
          <w:szCs w:val="24"/>
        </w:rPr>
      </w:pPr>
    </w:p>
    <w:p w14:paraId="3B1CE9B1" w14:textId="77777777" w:rsidR="00B01D46" w:rsidRDefault="0067013E">
      <w:pPr>
        <w:spacing w:after="0" w:line="240" w:lineRule="auto"/>
        <w:rPr>
          <w:rFonts w:ascii="Times New Roman" w:eastAsiaTheme="majorEastAsia" w:hAnsi="Times New Roman" w:cs="Times New Roman"/>
          <w:b/>
          <w:sz w:val="24"/>
          <w:szCs w:val="24"/>
        </w:rPr>
      </w:pPr>
      <w:bookmarkStart w:id="57" w:name="_Toc165364831"/>
      <w:bookmarkStart w:id="58" w:name="_Toc164663953"/>
      <w:bookmarkStart w:id="59" w:name="_Toc165367569"/>
      <w:bookmarkStart w:id="60" w:name="_Toc165365098"/>
      <w:bookmarkStart w:id="61" w:name="_Toc165369111"/>
      <w:bookmarkStart w:id="62" w:name="_Toc165368295"/>
      <w:r>
        <w:rPr>
          <w:rFonts w:ascii="Times New Roman" w:hAnsi="Times New Roman" w:cs="Times New Roman"/>
          <w:sz w:val="24"/>
          <w:szCs w:val="24"/>
        </w:rPr>
        <w:br w:type="page"/>
      </w:r>
    </w:p>
    <w:p w14:paraId="5F3DFD58" w14:textId="77777777" w:rsidR="00B01D46" w:rsidRDefault="0067013E">
      <w:pPr>
        <w:pStyle w:val="Heading1"/>
        <w:spacing w:before="120"/>
        <w:ind w:left="-288" w:right="-288"/>
        <w:rPr>
          <w:rFonts w:cs="Times New Roman"/>
          <w:szCs w:val="24"/>
        </w:rPr>
      </w:pPr>
      <w:bookmarkStart w:id="63" w:name="_Toc165975716"/>
      <w:bookmarkStart w:id="64" w:name="_Toc184272827"/>
      <w:bookmarkStart w:id="65" w:name="_Toc165972995"/>
      <w:bookmarkStart w:id="66" w:name="_Toc165897951"/>
      <w:r>
        <w:rPr>
          <w:rFonts w:cs="Times New Roman"/>
          <w:szCs w:val="24"/>
        </w:rPr>
        <w:lastRenderedPageBreak/>
        <w:t>LIST OF FIGURES</w:t>
      </w:r>
      <w:bookmarkEnd w:id="57"/>
      <w:bookmarkEnd w:id="58"/>
      <w:bookmarkEnd w:id="59"/>
      <w:bookmarkEnd w:id="60"/>
      <w:bookmarkEnd w:id="61"/>
      <w:bookmarkEnd w:id="62"/>
      <w:bookmarkEnd w:id="63"/>
      <w:bookmarkEnd w:id="64"/>
      <w:bookmarkEnd w:id="65"/>
      <w:bookmarkEnd w:id="66"/>
    </w:p>
    <w:p w14:paraId="682D1533" w14:textId="77777777" w:rsidR="00B01D46" w:rsidRDefault="0067013E">
      <w:pPr>
        <w:pStyle w:val="TableofFigures"/>
        <w:tabs>
          <w:tab w:val="right" w:leader="dot" w:pos="8155"/>
        </w:tabs>
        <w:spacing w:line="360" w:lineRule="auto"/>
        <w:ind w:left="1170" w:hanging="117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\t "Caption" \c "Figure" </w:instrText>
      </w:r>
      <w:r>
        <w:rPr>
          <w:rFonts w:ascii="Times New Roman" w:hAnsi="Times New Roman" w:cs="Times New Roman"/>
          <w:sz w:val="24"/>
          <w:szCs w:val="24"/>
        </w:rPr>
        <w:fldChar w:fldCharType="separate"/>
      </w:r>
      <w:hyperlink w:anchor="_Toc184271970" w:history="1">
        <w:r>
          <w:rPr>
            <w:rStyle w:val="Hyperlink"/>
            <w:rFonts w:ascii="Times New Roman" w:hAnsi="Times New Roman" w:cs="Times New Roman"/>
            <w:sz w:val="24"/>
            <w:szCs w:val="24"/>
          </w:rPr>
          <w:t>Figure 2.1: Sauce Model Diagram</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_Toc184271970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33</w:t>
        </w:r>
        <w:r>
          <w:rPr>
            <w:rFonts w:ascii="Times New Roman" w:hAnsi="Times New Roman" w:cs="Times New Roman"/>
            <w:sz w:val="24"/>
            <w:szCs w:val="24"/>
          </w:rPr>
          <w:fldChar w:fldCharType="end"/>
        </w:r>
      </w:hyperlink>
    </w:p>
    <w:p w14:paraId="24932583"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1971" w:history="1">
        <w:r w:rsidR="0067013E">
          <w:rPr>
            <w:rStyle w:val="Hyperlink"/>
            <w:rFonts w:ascii="Times New Roman" w:hAnsi="Times New Roman" w:cs="Times New Roman"/>
            <w:sz w:val="24"/>
            <w:szCs w:val="24"/>
          </w:rPr>
          <w:t>Figure 2.2: Content Frame-</w:t>
        </w:r>
        <w:r w:rsidR="0067013E">
          <w:rPr>
            <w:rStyle w:val="Hyperlink"/>
            <w:rFonts w:ascii="Times New Roman" w:eastAsia="Times New Roman" w:hAnsi="Times New Roman" w:cs="Times New Roman"/>
            <w:sz w:val="24"/>
            <w:szCs w:val="24"/>
          </w:rPr>
          <w:t>Six Frames for Information Literacy Education Model</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_Toc184271971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39</w:t>
        </w:r>
        <w:r w:rsidR="0067013E">
          <w:rPr>
            <w:rFonts w:ascii="Times New Roman" w:hAnsi="Times New Roman" w:cs="Times New Roman"/>
            <w:sz w:val="24"/>
            <w:szCs w:val="24"/>
          </w:rPr>
          <w:fldChar w:fldCharType="end"/>
        </w:r>
      </w:hyperlink>
    </w:p>
    <w:p w14:paraId="3C12E037"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1972" w:history="1">
        <w:r w:rsidR="0067013E">
          <w:rPr>
            <w:rStyle w:val="Hyperlink"/>
            <w:rFonts w:ascii="Times New Roman" w:hAnsi="Times New Roman" w:cs="Times New Roman"/>
            <w:sz w:val="24"/>
            <w:szCs w:val="24"/>
          </w:rPr>
          <w:t>Figure 2.3: Competency Frame-</w:t>
        </w:r>
        <w:r w:rsidR="0067013E">
          <w:rPr>
            <w:rStyle w:val="Hyperlink"/>
            <w:rFonts w:ascii="Times New Roman" w:eastAsia="Times New Roman" w:hAnsi="Times New Roman" w:cs="Times New Roman"/>
            <w:sz w:val="24"/>
            <w:szCs w:val="24"/>
          </w:rPr>
          <w:t>Six Frames for Information Literacy Education Model</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_Toc184271972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40</w:t>
        </w:r>
        <w:r w:rsidR="0067013E">
          <w:rPr>
            <w:rFonts w:ascii="Times New Roman" w:hAnsi="Times New Roman" w:cs="Times New Roman"/>
            <w:sz w:val="24"/>
            <w:szCs w:val="24"/>
          </w:rPr>
          <w:fldChar w:fldCharType="end"/>
        </w:r>
      </w:hyperlink>
    </w:p>
    <w:p w14:paraId="3B307EB7"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1973" w:history="1">
        <w:r w:rsidR="0067013E">
          <w:rPr>
            <w:rStyle w:val="Hyperlink"/>
            <w:rFonts w:ascii="Times New Roman" w:hAnsi="Times New Roman" w:cs="Times New Roman"/>
            <w:sz w:val="24"/>
            <w:szCs w:val="24"/>
          </w:rPr>
          <w:t>Figure 2.4: Learning to Learn Frame-</w:t>
        </w:r>
        <w:r w:rsidR="0067013E">
          <w:rPr>
            <w:rStyle w:val="Hyperlink"/>
            <w:rFonts w:ascii="Times New Roman" w:eastAsia="Times New Roman" w:hAnsi="Times New Roman" w:cs="Times New Roman"/>
            <w:sz w:val="24"/>
            <w:szCs w:val="24"/>
          </w:rPr>
          <w:t>Six Frames for Information Literacy Education Model</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_Toc184271973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40</w:t>
        </w:r>
        <w:r w:rsidR="0067013E">
          <w:rPr>
            <w:rFonts w:ascii="Times New Roman" w:hAnsi="Times New Roman" w:cs="Times New Roman"/>
            <w:sz w:val="24"/>
            <w:szCs w:val="24"/>
          </w:rPr>
          <w:fldChar w:fldCharType="end"/>
        </w:r>
      </w:hyperlink>
    </w:p>
    <w:p w14:paraId="4E79F910"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1974" w:history="1">
        <w:r w:rsidR="0067013E">
          <w:rPr>
            <w:rStyle w:val="Hyperlink"/>
            <w:rFonts w:ascii="Times New Roman" w:hAnsi="Times New Roman" w:cs="Times New Roman"/>
            <w:sz w:val="24"/>
            <w:szCs w:val="24"/>
          </w:rPr>
          <w:t>Figure 2.5: Personal Relevance Frame-</w:t>
        </w:r>
        <w:r w:rsidR="0067013E">
          <w:rPr>
            <w:rStyle w:val="Hyperlink"/>
            <w:rFonts w:ascii="Times New Roman" w:eastAsia="Times New Roman" w:hAnsi="Times New Roman" w:cs="Times New Roman"/>
            <w:sz w:val="24"/>
            <w:szCs w:val="24"/>
          </w:rPr>
          <w:t>Six Frames For Information Literacy Education Model</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_Toc184271974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41</w:t>
        </w:r>
        <w:r w:rsidR="0067013E">
          <w:rPr>
            <w:rFonts w:ascii="Times New Roman" w:hAnsi="Times New Roman" w:cs="Times New Roman"/>
            <w:sz w:val="24"/>
            <w:szCs w:val="24"/>
          </w:rPr>
          <w:fldChar w:fldCharType="end"/>
        </w:r>
      </w:hyperlink>
    </w:p>
    <w:p w14:paraId="3854B8B3"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1975" w:history="1">
        <w:r w:rsidR="0067013E">
          <w:rPr>
            <w:rStyle w:val="Hyperlink"/>
            <w:rFonts w:ascii="Times New Roman" w:hAnsi="Times New Roman" w:cs="Times New Roman"/>
            <w:sz w:val="24"/>
            <w:szCs w:val="24"/>
          </w:rPr>
          <w:t>Figure 2.6: Social Impact Frame-</w:t>
        </w:r>
        <w:r w:rsidR="0067013E">
          <w:rPr>
            <w:rStyle w:val="Hyperlink"/>
            <w:rFonts w:ascii="Times New Roman" w:eastAsia="Times New Roman" w:hAnsi="Times New Roman" w:cs="Times New Roman"/>
            <w:sz w:val="24"/>
            <w:szCs w:val="24"/>
          </w:rPr>
          <w:t>Six Frames for Information Literacy Education Model</w:t>
        </w:r>
        <w:r w:rsidR="0067013E">
          <w:rPr>
            <w:rStyle w:val="Hyperlink"/>
            <w:rFonts w:ascii="Times New Roman" w:hAnsi="Times New Roman" w:cs="Times New Roman"/>
            <w:sz w:val="24"/>
            <w:szCs w:val="24"/>
          </w:rPr>
          <w:t>)</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_Toc184271975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41</w:t>
        </w:r>
        <w:r w:rsidR="0067013E">
          <w:rPr>
            <w:rFonts w:ascii="Times New Roman" w:hAnsi="Times New Roman" w:cs="Times New Roman"/>
            <w:sz w:val="24"/>
            <w:szCs w:val="24"/>
          </w:rPr>
          <w:fldChar w:fldCharType="end"/>
        </w:r>
      </w:hyperlink>
    </w:p>
    <w:p w14:paraId="253E755C"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1976" w:history="1">
        <w:r w:rsidR="0067013E">
          <w:rPr>
            <w:rStyle w:val="Hyperlink"/>
            <w:rFonts w:ascii="Times New Roman" w:hAnsi="Times New Roman" w:cs="Times New Roman"/>
            <w:sz w:val="24"/>
            <w:szCs w:val="24"/>
          </w:rPr>
          <w:t>Figure 2.7: Relational Frame-</w:t>
        </w:r>
        <w:r w:rsidR="0067013E">
          <w:rPr>
            <w:rStyle w:val="Hyperlink"/>
            <w:rFonts w:ascii="Times New Roman" w:eastAsia="Times New Roman" w:hAnsi="Times New Roman" w:cs="Times New Roman"/>
            <w:sz w:val="24"/>
            <w:szCs w:val="24"/>
          </w:rPr>
          <w:t>Six Frames for Information Literacy Education Model</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_Toc184271976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42</w:t>
        </w:r>
        <w:r w:rsidR="0067013E">
          <w:rPr>
            <w:rFonts w:ascii="Times New Roman" w:hAnsi="Times New Roman" w:cs="Times New Roman"/>
            <w:sz w:val="24"/>
            <w:szCs w:val="24"/>
          </w:rPr>
          <w:fldChar w:fldCharType="end"/>
        </w:r>
      </w:hyperlink>
    </w:p>
    <w:p w14:paraId="68290517"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1978" w:history="1">
        <w:r w:rsidR="0067013E">
          <w:rPr>
            <w:rStyle w:val="Hyperlink"/>
            <w:rFonts w:ascii="Times New Roman" w:hAnsi="Times New Roman" w:cs="Times New Roman"/>
            <w:sz w:val="24"/>
            <w:szCs w:val="24"/>
          </w:rPr>
          <w:t>Figure 3.1: Information Literacy Landscape</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_Toc184271978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51</w:t>
        </w:r>
        <w:r w:rsidR="0067013E">
          <w:rPr>
            <w:rFonts w:ascii="Times New Roman" w:hAnsi="Times New Roman" w:cs="Times New Roman"/>
            <w:sz w:val="24"/>
            <w:szCs w:val="24"/>
          </w:rPr>
          <w:fldChar w:fldCharType="end"/>
        </w:r>
      </w:hyperlink>
    </w:p>
    <w:p w14:paraId="08B525D1"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1998" w:history="1">
        <w:r w:rsidR="0067013E">
          <w:rPr>
            <w:rStyle w:val="Hyperlink"/>
            <w:rFonts w:ascii="Times New Roman" w:hAnsi="Times New Roman" w:cs="Times New Roman"/>
            <w:sz w:val="24"/>
            <w:szCs w:val="24"/>
          </w:rPr>
          <w:t>Figure 5.1: Availability of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_Toc184271998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138</w:t>
        </w:r>
        <w:r w:rsidR="0067013E">
          <w:rPr>
            <w:rFonts w:ascii="Times New Roman" w:hAnsi="Times New Roman" w:cs="Times New Roman"/>
            <w:sz w:val="24"/>
            <w:szCs w:val="24"/>
          </w:rPr>
          <w:fldChar w:fldCharType="end"/>
        </w:r>
      </w:hyperlink>
    </w:p>
    <w:p w14:paraId="287869F7"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1999" w:history="1">
        <w:r w:rsidR="0067013E">
          <w:rPr>
            <w:rStyle w:val="Hyperlink"/>
            <w:rFonts w:ascii="Times New Roman" w:eastAsia="Times New Roman" w:hAnsi="Times New Roman" w:cs="Times New Roman"/>
            <w:sz w:val="24"/>
            <w:szCs w:val="24"/>
          </w:rPr>
          <w:t xml:space="preserve">Figure 5.2: Lecturers’ Responses on </w:t>
        </w:r>
        <w:r w:rsidR="0067013E">
          <w:rPr>
            <w:rStyle w:val="Hyperlink"/>
            <w:rFonts w:ascii="Times New Roman" w:hAnsi="Times New Roman" w:cs="Times New Roman"/>
            <w:sz w:val="24"/>
            <w:szCs w:val="24"/>
          </w:rPr>
          <w:t>availability of a Formal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_Toc184271999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138</w:t>
        </w:r>
        <w:r w:rsidR="0067013E">
          <w:rPr>
            <w:rFonts w:ascii="Times New Roman" w:hAnsi="Times New Roman" w:cs="Times New Roman"/>
            <w:sz w:val="24"/>
            <w:szCs w:val="24"/>
          </w:rPr>
          <w:fldChar w:fldCharType="end"/>
        </w:r>
      </w:hyperlink>
    </w:p>
    <w:p w14:paraId="2E85F48F"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2003" w:history="1">
        <w:r w:rsidR="0067013E">
          <w:rPr>
            <w:rStyle w:val="Hyperlink"/>
            <w:rFonts w:ascii="Times New Roman" w:hAnsi="Times New Roman" w:cs="Times New Roman"/>
            <w:sz w:val="24"/>
            <w:szCs w:val="24"/>
          </w:rPr>
          <w:t>Figure 5.3: Adequacy of ILS Policy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_Toc184272003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144</w:t>
        </w:r>
        <w:r w:rsidR="0067013E">
          <w:rPr>
            <w:rFonts w:ascii="Times New Roman" w:hAnsi="Times New Roman" w:cs="Times New Roman"/>
            <w:sz w:val="24"/>
            <w:szCs w:val="24"/>
          </w:rPr>
          <w:fldChar w:fldCharType="end"/>
        </w:r>
      </w:hyperlink>
    </w:p>
    <w:p w14:paraId="6403E4E5"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2004" w:history="1">
        <w:r w:rsidR="0067013E">
          <w:rPr>
            <w:rStyle w:val="Hyperlink"/>
            <w:rFonts w:ascii="Times New Roman" w:hAnsi="Times New Roman" w:cs="Times New Roman"/>
            <w:sz w:val="24"/>
            <w:szCs w:val="24"/>
          </w:rPr>
          <w:t>Figure 5.4: Students’ Response on the Existence of ILS Curriculum</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_Toc184272004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145</w:t>
        </w:r>
        <w:r w:rsidR="0067013E">
          <w:rPr>
            <w:rFonts w:ascii="Times New Roman" w:hAnsi="Times New Roman" w:cs="Times New Roman"/>
            <w:sz w:val="24"/>
            <w:szCs w:val="24"/>
          </w:rPr>
          <w:fldChar w:fldCharType="end"/>
        </w:r>
      </w:hyperlink>
    </w:p>
    <w:p w14:paraId="047101F5"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2008" w:history="1">
        <w:r w:rsidR="0067013E">
          <w:rPr>
            <w:rStyle w:val="Hyperlink"/>
            <w:rFonts w:ascii="Times New Roman" w:hAnsi="Times New Roman" w:cs="Times New Roman"/>
            <w:sz w:val="24"/>
            <w:szCs w:val="24"/>
          </w:rPr>
          <w:t>Figure 5.5: Grouped bar chart displaying the frequencies of students' responses on methods of ILS delivery</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_Toc184272008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149</w:t>
        </w:r>
        <w:r w:rsidR="0067013E">
          <w:rPr>
            <w:rFonts w:ascii="Times New Roman" w:hAnsi="Times New Roman" w:cs="Times New Roman"/>
            <w:sz w:val="24"/>
            <w:szCs w:val="24"/>
          </w:rPr>
          <w:fldChar w:fldCharType="end"/>
        </w:r>
      </w:hyperlink>
    </w:p>
    <w:p w14:paraId="7E64C288"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2012" w:history="1">
        <w:r w:rsidR="0067013E">
          <w:rPr>
            <w:rStyle w:val="Hyperlink"/>
            <w:rFonts w:ascii="Times New Roman" w:hAnsi="Times New Roman" w:cs="Times New Roman"/>
            <w:sz w:val="24"/>
            <w:szCs w:val="24"/>
          </w:rPr>
          <w:t>Figure 5.5: Students’ Views toward ILS Training and Learning</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_Toc184272012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155</w:t>
        </w:r>
        <w:r w:rsidR="0067013E">
          <w:rPr>
            <w:rFonts w:ascii="Times New Roman" w:hAnsi="Times New Roman" w:cs="Times New Roman"/>
            <w:sz w:val="24"/>
            <w:szCs w:val="24"/>
          </w:rPr>
          <w:fldChar w:fldCharType="end"/>
        </w:r>
      </w:hyperlink>
    </w:p>
    <w:p w14:paraId="7A87D3E3" w14:textId="77777777" w:rsidR="00B01D46" w:rsidRDefault="00FE757F">
      <w:pPr>
        <w:pStyle w:val="TableofFigures"/>
        <w:tabs>
          <w:tab w:val="right" w:leader="dot" w:pos="8155"/>
        </w:tabs>
        <w:spacing w:line="360" w:lineRule="auto"/>
        <w:ind w:left="1170" w:hanging="1170"/>
        <w:rPr>
          <w:rFonts w:ascii="Times New Roman" w:hAnsi="Times New Roman" w:cs="Times New Roman"/>
          <w:sz w:val="24"/>
          <w:szCs w:val="24"/>
        </w:rPr>
      </w:pPr>
      <w:hyperlink w:anchor="_Toc184272029" w:history="1">
        <w:r w:rsidR="0067013E">
          <w:rPr>
            <w:rStyle w:val="Hyperlink"/>
            <w:rFonts w:ascii="Times New Roman" w:hAnsi="Times New Roman" w:cs="Times New Roman"/>
            <w:sz w:val="24"/>
            <w:szCs w:val="24"/>
          </w:rPr>
          <w:t>Figure 7.1: Proposed 8-Step ILS Adequacy Enhancing Framework for Medical Undergraduate Students</w:t>
        </w:r>
        <w:r w:rsidR="0067013E">
          <w:rPr>
            <w:rFonts w:ascii="Times New Roman" w:hAnsi="Times New Roman" w:cs="Times New Roman"/>
            <w:sz w:val="24"/>
            <w:szCs w:val="24"/>
          </w:rPr>
          <w:tab/>
        </w:r>
        <w:r w:rsidR="0067013E">
          <w:rPr>
            <w:rFonts w:ascii="Times New Roman" w:hAnsi="Times New Roman" w:cs="Times New Roman"/>
            <w:sz w:val="24"/>
            <w:szCs w:val="24"/>
          </w:rPr>
          <w:fldChar w:fldCharType="begin"/>
        </w:r>
        <w:r w:rsidR="0067013E">
          <w:rPr>
            <w:rFonts w:ascii="Times New Roman" w:hAnsi="Times New Roman" w:cs="Times New Roman"/>
            <w:sz w:val="24"/>
            <w:szCs w:val="24"/>
          </w:rPr>
          <w:instrText xml:space="preserve"> PAGEREF _Toc184272029 \h </w:instrText>
        </w:r>
        <w:r w:rsidR="0067013E">
          <w:rPr>
            <w:rFonts w:ascii="Times New Roman" w:hAnsi="Times New Roman" w:cs="Times New Roman"/>
            <w:sz w:val="24"/>
            <w:szCs w:val="24"/>
          </w:rPr>
        </w:r>
        <w:r w:rsidR="0067013E">
          <w:rPr>
            <w:rFonts w:ascii="Times New Roman" w:hAnsi="Times New Roman" w:cs="Times New Roman"/>
            <w:sz w:val="24"/>
            <w:szCs w:val="24"/>
          </w:rPr>
          <w:fldChar w:fldCharType="separate"/>
        </w:r>
        <w:r w:rsidR="0067013E">
          <w:rPr>
            <w:rFonts w:ascii="Times New Roman" w:hAnsi="Times New Roman" w:cs="Times New Roman"/>
            <w:sz w:val="24"/>
            <w:szCs w:val="24"/>
          </w:rPr>
          <w:t>239</w:t>
        </w:r>
        <w:r w:rsidR="0067013E">
          <w:rPr>
            <w:rFonts w:ascii="Times New Roman" w:hAnsi="Times New Roman" w:cs="Times New Roman"/>
            <w:sz w:val="24"/>
            <w:szCs w:val="24"/>
          </w:rPr>
          <w:fldChar w:fldCharType="end"/>
        </w:r>
      </w:hyperlink>
    </w:p>
    <w:p w14:paraId="47D8AEAA" w14:textId="77777777" w:rsidR="00B01D46" w:rsidRDefault="0067013E">
      <w:pPr>
        <w:spacing w:line="360" w:lineRule="auto"/>
        <w:ind w:left="1170" w:hanging="1170"/>
      </w:pPr>
      <w:r>
        <w:rPr>
          <w:rFonts w:ascii="Times New Roman" w:hAnsi="Times New Roman" w:cs="Times New Roman"/>
          <w:sz w:val="24"/>
          <w:szCs w:val="24"/>
        </w:rPr>
        <w:fldChar w:fldCharType="end"/>
      </w:r>
    </w:p>
    <w:p w14:paraId="5EB18BB1" w14:textId="77777777" w:rsidR="00B01D46" w:rsidRDefault="0067013E">
      <w:pPr>
        <w:pStyle w:val="TOC1"/>
        <w:tabs>
          <w:tab w:val="clear" w:pos="9356"/>
          <w:tab w:val="right" w:leader="dot" w:pos="9214"/>
        </w:tabs>
        <w:spacing w:line="360" w:lineRule="auto"/>
        <w:rPr>
          <w:rFonts w:eastAsiaTheme="minorEastAsia"/>
        </w:rPr>
      </w:pPr>
      <w:r>
        <w:rPr>
          <w:b w:val="0"/>
        </w:rPr>
        <w:fldChar w:fldCharType="begin"/>
      </w:r>
      <w:r>
        <w:rPr>
          <w:b w:val="0"/>
        </w:rPr>
        <w:instrText xml:space="preserve"> TOC \o "1-3" \h \z \u </w:instrText>
      </w:r>
      <w:r>
        <w:rPr>
          <w:b w:val="0"/>
        </w:rPr>
        <w:fldChar w:fldCharType="separate"/>
      </w:r>
    </w:p>
    <w:p w14:paraId="5C4900A2" w14:textId="77777777" w:rsidR="00B01D46" w:rsidRDefault="00B01D46">
      <w:pPr>
        <w:rPr>
          <w:rFonts w:ascii="Times New Roman" w:hAnsi="Times New Roman" w:cs="Times New Roman"/>
          <w:sz w:val="24"/>
          <w:szCs w:val="24"/>
        </w:rPr>
      </w:pPr>
    </w:p>
    <w:p w14:paraId="77AA1FF0" w14:textId="77777777" w:rsidR="00B01D46" w:rsidRDefault="0067013E">
      <w:pPr>
        <w:tabs>
          <w:tab w:val="right" w:leader="dot" w:pos="9356"/>
        </w:tabs>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p w14:paraId="54983944" w14:textId="77777777" w:rsidR="00B01D46" w:rsidRDefault="00B01D46">
      <w:pPr>
        <w:pStyle w:val="NormalWeb"/>
        <w:shd w:val="clear" w:color="auto" w:fill="FFFFFF"/>
        <w:spacing w:before="120" w:beforeAutospacing="0" w:after="0" w:afterAutospacing="0" w:line="480" w:lineRule="auto"/>
        <w:ind w:left="-288" w:right="-288"/>
        <w:rPr>
          <w:b/>
          <w:bCs/>
        </w:rPr>
      </w:pPr>
    </w:p>
    <w:p w14:paraId="6ED9C1F0" w14:textId="77777777" w:rsidR="00B01D46" w:rsidRDefault="00B01D46">
      <w:pPr>
        <w:pStyle w:val="NormalWeb"/>
        <w:shd w:val="clear" w:color="auto" w:fill="FFFFFF"/>
        <w:spacing w:before="120" w:beforeAutospacing="0" w:after="0" w:afterAutospacing="0" w:line="480" w:lineRule="auto"/>
        <w:ind w:left="-288" w:right="-288"/>
        <w:rPr>
          <w:b/>
          <w:bCs/>
        </w:rPr>
      </w:pPr>
    </w:p>
    <w:p w14:paraId="32F20508" w14:textId="77777777" w:rsidR="00B01D46" w:rsidRDefault="0067013E">
      <w:pPr>
        <w:spacing w:after="200" w:line="276" w:lineRule="auto"/>
        <w:rPr>
          <w:rFonts w:ascii="Times New Roman" w:eastAsiaTheme="majorEastAsia" w:hAnsi="Times New Roman" w:cs="Times New Roman"/>
          <w:b/>
          <w:sz w:val="24"/>
          <w:szCs w:val="24"/>
        </w:rPr>
      </w:pPr>
      <w:bookmarkStart w:id="67" w:name="_Toc165365099"/>
      <w:bookmarkStart w:id="68" w:name="_Toc164663954"/>
      <w:bookmarkStart w:id="69" w:name="_Toc165364832"/>
      <w:r>
        <w:rPr>
          <w:rFonts w:ascii="Times New Roman" w:hAnsi="Times New Roman" w:cs="Times New Roman"/>
          <w:sz w:val="24"/>
          <w:szCs w:val="24"/>
        </w:rPr>
        <w:br w:type="page"/>
      </w:r>
    </w:p>
    <w:p w14:paraId="09B7CCAA" w14:textId="77777777" w:rsidR="00B01D46" w:rsidRDefault="0067013E">
      <w:pPr>
        <w:pStyle w:val="Heading1"/>
        <w:spacing w:before="120"/>
        <w:ind w:left="-288" w:right="-288"/>
        <w:rPr>
          <w:rFonts w:cs="Times New Roman"/>
          <w:b w:val="0"/>
          <w:szCs w:val="24"/>
        </w:rPr>
      </w:pPr>
      <w:bookmarkStart w:id="70" w:name="_Toc165367570"/>
      <w:bookmarkStart w:id="71" w:name="_Toc165897952"/>
      <w:bookmarkStart w:id="72" w:name="_Toc165975717"/>
      <w:bookmarkStart w:id="73" w:name="_Toc184272828"/>
      <w:bookmarkStart w:id="74" w:name="_Toc165368296"/>
      <w:bookmarkStart w:id="75" w:name="_Toc165972996"/>
      <w:bookmarkStart w:id="76" w:name="_Toc165369112"/>
      <w:r>
        <w:rPr>
          <w:rFonts w:cs="Times New Roman"/>
          <w:szCs w:val="24"/>
        </w:rPr>
        <w:lastRenderedPageBreak/>
        <w:t>LIST OF ABBREVIATIONS</w:t>
      </w:r>
      <w:bookmarkEnd w:id="67"/>
      <w:bookmarkEnd w:id="68"/>
      <w:bookmarkEnd w:id="69"/>
      <w:bookmarkEnd w:id="70"/>
      <w:bookmarkEnd w:id="71"/>
      <w:bookmarkEnd w:id="72"/>
      <w:bookmarkEnd w:id="73"/>
      <w:bookmarkEnd w:id="74"/>
      <w:bookmarkEnd w:id="75"/>
      <w:bookmarkEnd w:id="76"/>
    </w:p>
    <w:p w14:paraId="6B33578B"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AAHE </w:t>
      </w:r>
      <w:r>
        <w:rPr>
          <w:rFonts w:ascii="Times New Roman" w:hAnsi="Times New Roman" w:cs="Times New Roman"/>
          <w:sz w:val="24"/>
          <w:szCs w:val="24"/>
        </w:rPr>
        <w:tab/>
        <w:t xml:space="preserve">- </w:t>
      </w:r>
      <w:r>
        <w:rPr>
          <w:rFonts w:ascii="Times New Roman" w:hAnsi="Times New Roman" w:cs="Times New Roman"/>
          <w:sz w:val="24"/>
          <w:szCs w:val="24"/>
        </w:rPr>
        <w:tab/>
        <w:t>American Association for Higher Education</w:t>
      </w:r>
    </w:p>
    <w:p w14:paraId="2BB25BC5"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AASL</w:t>
      </w:r>
      <w:r>
        <w:rPr>
          <w:rFonts w:ascii="Times New Roman" w:hAnsi="Times New Roman" w:cs="Times New Roman"/>
          <w:sz w:val="24"/>
          <w:szCs w:val="24"/>
        </w:rPr>
        <w:tab/>
        <w:t xml:space="preserve">- </w:t>
      </w:r>
      <w:r>
        <w:rPr>
          <w:rFonts w:ascii="Times New Roman" w:hAnsi="Times New Roman" w:cs="Times New Roman"/>
          <w:sz w:val="24"/>
          <w:szCs w:val="24"/>
        </w:rPr>
        <w:tab/>
        <w:t>American Association of School Librarians</w:t>
      </w:r>
    </w:p>
    <w:p w14:paraId="74775A2C"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ACRL </w:t>
      </w:r>
      <w:r>
        <w:rPr>
          <w:rFonts w:ascii="Times New Roman" w:hAnsi="Times New Roman" w:cs="Times New Roman"/>
          <w:sz w:val="24"/>
          <w:szCs w:val="24"/>
        </w:rPr>
        <w:tab/>
        <w:t xml:space="preserve">- </w:t>
      </w:r>
      <w:r>
        <w:rPr>
          <w:rFonts w:ascii="Times New Roman" w:hAnsi="Times New Roman" w:cs="Times New Roman"/>
          <w:sz w:val="24"/>
          <w:szCs w:val="24"/>
        </w:rPr>
        <w:tab/>
        <w:t>Association of College and Research Libraries</w:t>
      </w:r>
    </w:p>
    <w:p w14:paraId="21CB4060"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ALA </w:t>
      </w:r>
      <w:r>
        <w:rPr>
          <w:rFonts w:ascii="Times New Roman" w:hAnsi="Times New Roman" w:cs="Times New Roman"/>
          <w:sz w:val="24"/>
          <w:szCs w:val="24"/>
        </w:rPr>
        <w:tab/>
        <w:t xml:space="preserve">- </w:t>
      </w:r>
      <w:r>
        <w:rPr>
          <w:rFonts w:ascii="Times New Roman" w:hAnsi="Times New Roman" w:cs="Times New Roman"/>
          <w:sz w:val="24"/>
          <w:szCs w:val="24"/>
        </w:rPr>
        <w:tab/>
        <w:t>American Library Association</w:t>
      </w:r>
    </w:p>
    <w:p w14:paraId="0D71560E"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ACRL</w:t>
      </w:r>
      <w:r>
        <w:rPr>
          <w:rFonts w:ascii="Times New Roman" w:hAnsi="Times New Roman" w:cs="Times New Roman"/>
          <w:sz w:val="24"/>
          <w:szCs w:val="24"/>
        </w:rPr>
        <w:tab/>
        <w:t xml:space="preserve">- </w:t>
      </w:r>
      <w:r>
        <w:rPr>
          <w:rFonts w:ascii="Times New Roman" w:hAnsi="Times New Roman" w:cs="Times New Roman"/>
          <w:sz w:val="24"/>
          <w:szCs w:val="24"/>
        </w:rPr>
        <w:tab/>
        <w:t>Association of College and Research Libraries</w:t>
      </w:r>
    </w:p>
    <w:p w14:paraId="4FFF0CE2"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ALAPCIL</w:t>
      </w:r>
      <w:r>
        <w:rPr>
          <w:rFonts w:ascii="Times New Roman" w:hAnsi="Times New Roman" w:cs="Times New Roman"/>
          <w:sz w:val="24"/>
          <w:szCs w:val="24"/>
        </w:rPr>
        <w:tab/>
        <w:t xml:space="preserve">- </w:t>
      </w:r>
      <w:r>
        <w:rPr>
          <w:rFonts w:ascii="Times New Roman" w:hAnsi="Times New Roman" w:cs="Times New Roman"/>
          <w:sz w:val="24"/>
          <w:szCs w:val="24"/>
        </w:rPr>
        <w:tab/>
        <w:t xml:space="preserve">The American Library Association Presidential Committee on Information Literacy </w:t>
      </w:r>
    </w:p>
    <w:p w14:paraId="069E23FB"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ANZIL </w:t>
      </w:r>
      <w:r>
        <w:rPr>
          <w:rFonts w:ascii="Times New Roman" w:hAnsi="Times New Roman" w:cs="Times New Roman"/>
          <w:sz w:val="24"/>
          <w:szCs w:val="24"/>
        </w:rPr>
        <w:tab/>
        <w:t xml:space="preserve">- </w:t>
      </w:r>
      <w:r>
        <w:rPr>
          <w:rFonts w:ascii="Times New Roman" w:hAnsi="Times New Roman" w:cs="Times New Roman"/>
          <w:sz w:val="24"/>
          <w:szCs w:val="24"/>
        </w:rPr>
        <w:tab/>
        <w:t>Australian and New Zealand Institute for Information Literacy</w:t>
      </w:r>
    </w:p>
    <w:p w14:paraId="7BD6FA8B"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CAUL</w:t>
      </w:r>
      <w:r>
        <w:rPr>
          <w:rFonts w:ascii="Times New Roman" w:hAnsi="Times New Roman" w:cs="Times New Roman"/>
          <w:sz w:val="24"/>
          <w:szCs w:val="24"/>
        </w:rPr>
        <w:tab/>
        <w:t xml:space="preserve">- </w:t>
      </w:r>
      <w:r>
        <w:rPr>
          <w:rFonts w:ascii="Times New Roman" w:hAnsi="Times New Roman" w:cs="Times New Roman"/>
          <w:sz w:val="24"/>
          <w:szCs w:val="24"/>
        </w:rPr>
        <w:tab/>
        <w:t>Council of Australian University Librarians</w:t>
      </w:r>
    </w:p>
    <w:p w14:paraId="0156A6B4"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CC </w:t>
      </w:r>
      <w:r>
        <w:rPr>
          <w:rFonts w:ascii="Times New Roman" w:hAnsi="Times New Roman" w:cs="Times New Roman"/>
          <w:sz w:val="24"/>
          <w:szCs w:val="24"/>
        </w:rPr>
        <w:tab/>
        <w:t xml:space="preserve">- </w:t>
      </w:r>
      <w:r>
        <w:rPr>
          <w:rFonts w:ascii="Times New Roman" w:hAnsi="Times New Roman" w:cs="Times New Roman"/>
          <w:sz w:val="24"/>
          <w:szCs w:val="24"/>
        </w:rPr>
        <w:tab/>
        <w:t>Conventional Curricula</w:t>
      </w:r>
    </w:p>
    <w:p w14:paraId="7445F2C5"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CHS</w:t>
      </w:r>
      <w:r>
        <w:rPr>
          <w:rFonts w:ascii="Times New Roman" w:hAnsi="Times New Roman" w:cs="Times New Roman"/>
          <w:sz w:val="24"/>
          <w:szCs w:val="24"/>
        </w:rPr>
        <w:tab/>
        <w:t xml:space="preserve">- </w:t>
      </w:r>
      <w:r>
        <w:rPr>
          <w:rFonts w:ascii="Times New Roman" w:hAnsi="Times New Roman" w:cs="Times New Roman"/>
          <w:sz w:val="24"/>
          <w:szCs w:val="24"/>
        </w:rPr>
        <w:tab/>
        <w:t>College of Health Sciences</w:t>
      </w:r>
    </w:p>
    <w:p w14:paraId="3A7F764A"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CILIP </w:t>
      </w:r>
      <w:r>
        <w:rPr>
          <w:rFonts w:ascii="Times New Roman" w:hAnsi="Times New Roman" w:cs="Times New Roman"/>
          <w:sz w:val="24"/>
          <w:szCs w:val="24"/>
        </w:rPr>
        <w:tab/>
        <w:t xml:space="preserve">- </w:t>
      </w:r>
      <w:r>
        <w:rPr>
          <w:rFonts w:ascii="Times New Roman" w:hAnsi="Times New Roman" w:cs="Times New Roman"/>
          <w:sz w:val="24"/>
          <w:szCs w:val="24"/>
        </w:rPr>
        <w:tab/>
        <w:t>Chartered Institute of Library and Information Professionals</w:t>
      </w:r>
    </w:p>
    <w:p w14:paraId="46E9CA87"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CIPDE </w:t>
      </w:r>
      <w:r>
        <w:rPr>
          <w:rFonts w:ascii="Times New Roman" w:hAnsi="Times New Roman" w:cs="Times New Roman"/>
          <w:sz w:val="24"/>
          <w:szCs w:val="24"/>
        </w:rPr>
        <w:tab/>
        <w:t xml:space="preserve">- </w:t>
      </w:r>
      <w:r>
        <w:rPr>
          <w:rFonts w:ascii="Times New Roman" w:hAnsi="Times New Roman" w:cs="Times New Roman"/>
          <w:sz w:val="24"/>
          <w:szCs w:val="24"/>
        </w:rPr>
        <w:tab/>
        <w:t>Centre for Intellectual Property in the Digital Environment)</w:t>
      </w:r>
    </w:p>
    <w:p w14:paraId="120B6820"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COBES</w:t>
      </w:r>
      <w:r>
        <w:rPr>
          <w:rFonts w:ascii="Times New Roman" w:hAnsi="Times New Roman" w:cs="Times New Roman"/>
          <w:sz w:val="24"/>
          <w:szCs w:val="24"/>
        </w:rPr>
        <w:tab/>
        <w:t xml:space="preserve">- </w:t>
      </w:r>
      <w:r>
        <w:rPr>
          <w:rFonts w:ascii="Times New Roman" w:hAnsi="Times New Roman" w:cs="Times New Roman"/>
          <w:sz w:val="24"/>
          <w:szCs w:val="24"/>
        </w:rPr>
        <w:tab/>
        <w:t>Community-Based Education and Service</w:t>
      </w:r>
    </w:p>
    <w:p w14:paraId="5AA64740"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CONUL </w:t>
      </w:r>
      <w:r>
        <w:rPr>
          <w:rFonts w:ascii="Times New Roman" w:hAnsi="Times New Roman" w:cs="Times New Roman"/>
          <w:sz w:val="24"/>
          <w:szCs w:val="24"/>
        </w:rPr>
        <w:tab/>
        <w:t xml:space="preserve">- </w:t>
      </w:r>
      <w:r>
        <w:rPr>
          <w:rFonts w:ascii="Times New Roman" w:hAnsi="Times New Roman" w:cs="Times New Roman"/>
          <w:sz w:val="24"/>
          <w:szCs w:val="24"/>
        </w:rPr>
        <w:tab/>
        <w:t>Consortium of National and University Libraries</w:t>
      </w:r>
    </w:p>
    <w:p w14:paraId="380841DC"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CORIL </w:t>
      </w:r>
      <w:r>
        <w:rPr>
          <w:rFonts w:ascii="Times New Roman" w:hAnsi="Times New Roman" w:cs="Times New Roman"/>
          <w:sz w:val="24"/>
          <w:szCs w:val="24"/>
        </w:rPr>
        <w:tab/>
        <w:t xml:space="preserve">- </w:t>
      </w:r>
      <w:r>
        <w:rPr>
          <w:rFonts w:ascii="Times New Roman" w:hAnsi="Times New Roman" w:cs="Times New Roman"/>
          <w:sz w:val="24"/>
          <w:szCs w:val="24"/>
        </w:rPr>
        <w:tab/>
        <w:t>Cooperative Online Repository for Information Literacy</w:t>
      </w:r>
    </w:p>
    <w:p w14:paraId="2FD36612"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CORIL</w:t>
      </w:r>
      <w:r>
        <w:rPr>
          <w:rFonts w:ascii="Times New Roman" w:hAnsi="Times New Roman" w:cs="Times New Roman"/>
          <w:sz w:val="24"/>
          <w:szCs w:val="24"/>
        </w:rPr>
        <w:tab/>
        <w:t xml:space="preserve">- </w:t>
      </w:r>
      <w:r>
        <w:rPr>
          <w:rFonts w:ascii="Times New Roman" w:hAnsi="Times New Roman" w:cs="Times New Roman"/>
          <w:sz w:val="24"/>
          <w:szCs w:val="24"/>
        </w:rPr>
        <w:tab/>
        <w:t xml:space="preserve">Cooperative Online Repository for Information Literacy </w:t>
      </w:r>
    </w:p>
    <w:p w14:paraId="5BFF8F83"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CUE </w:t>
      </w:r>
      <w:r>
        <w:rPr>
          <w:rFonts w:ascii="Times New Roman" w:hAnsi="Times New Roman" w:cs="Times New Roman"/>
          <w:sz w:val="24"/>
          <w:szCs w:val="24"/>
        </w:rPr>
        <w:tab/>
        <w:t xml:space="preserve">- </w:t>
      </w:r>
      <w:r>
        <w:rPr>
          <w:rFonts w:ascii="Times New Roman" w:hAnsi="Times New Roman" w:cs="Times New Roman"/>
          <w:sz w:val="24"/>
          <w:szCs w:val="24"/>
        </w:rPr>
        <w:tab/>
        <w:t>Commission for University Education</w:t>
      </w:r>
    </w:p>
    <w:p w14:paraId="76317FA9"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DelPHE</w:t>
      </w:r>
      <w:r>
        <w:rPr>
          <w:rFonts w:ascii="Times New Roman" w:hAnsi="Times New Roman" w:cs="Times New Roman"/>
          <w:sz w:val="24"/>
          <w:szCs w:val="24"/>
        </w:rPr>
        <w:tab/>
        <w:t xml:space="preserve">- </w:t>
      </w:r>
      <w:r>
        <w:rPr>
          <w:rFonts w:ascii="Times New Roman" w:hAnsi="Times New Roman" w:cs="Times New Roman"/>
          <w:sz w:val="24"/>
          <w:szCs w:val="24"/>
        </w:rPr>
        <w:tab/>
        <w:t>Development Partnerships in Higher Education</w:t>
      </w:r>
    </w:p>
    <w:p w14:paraId="63FB65E3" w14:textId="77777777" w:rsidR="00B01D46" w:rsidRDefault="0067013E">
      <w:pPr>
        <w:tabs>
          <w:tab w:val="left" w:pos="1134"/>
        </w:tabs>
        <w:spacing w:after="0" w:line="480" w:lineRule="auto"/>
        <w:ind w:left="1701" w:right="-288" w:hanging="1701"/>
        <w:rPr>
          <w:rFonts w:ascii="Times New Roman" w:hAnsi="Times New Roman" w:cs="Times New Roman"/>
          <w:sz w:val="24"/>
          <w:szCs w:val="24"/>
          <w:shd w:val="clear" w:color="auto" w:fill="FFFFFF"/>
        </w:rPr>
      </w:pPr>
      <w:r>
        <w:rPr>
          <w:rFonts w:ascii="Times New Roman" w:hAnsi="Times New Roman" w:cs="Times New Roman"/>
          <w:sz w:val="24"/>
          <w:szCs w:val="24"/>
        </w:rPr>
        <w:t>IBAL</w:t>
      </w:r>
      <w:r>
        <w:rPr>
          <w:rFonts w:ascii="Times New Roman" w:hAnsi="Times New Roman" w:cs="Times New Roman"/>
          <w:sz w:val="24"/>
          <w:szCs w:val="24"/>
        </w:rPr>
        <w:tab/>
        <w:t xml:space="preserve">- </w:t>
      </w:r>
      <w:r>
        <w:rPr>
          <w:rFonts w:ascii="Times New Roman" w:hAnsi="Times New Roman" w:cs="Times New Roman"/>
          <w:sz w:val="24"/>
          <w:szCs w:val="24"/>
        </w:rPr>
        <w:tab/>
        <w:t xml:space="preserve">the Institute of Beijing Academic Libraries </w:t>
      </w:r>
    </w:p>
    <w:p w14:paraId="3E809A18" w14:textId="77777777" w:rsidR="00B01D46" w:rsidRDefault="0067013E">
      <w:pPr>
        <w:tabs>
          <w:tab w:val="left" w:pos="1134"/>
        </w:tabs>
        <w:spacing w:after="0" w:line="480" w:lineRule="auto"/>
        <w:ind w:left="1701" w:right="-288" w:hanging="1701"/>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IBMI</w:t>
      </w:r>
      <w:r>
        <w:rPr>
          <w:rFonts w:ascii="Times New Roman" w:hAnsi="Times New Roman" w:cs="Times New Roman"/>
          <w:sz w:val="24"/>
          <w:szCs w:val="24"/>
          <w:shd w:val="clear" w:color="auto" w:fill="FFFFFF"/>
        </w:rPr>
        <w:tab/>
        <w:t xml:space="preserve">- </w:t>
      </w:r>
      <w:r>
        <w:rPr>
          <w:rFonts w:ascii="Times New Roman" w:hAnsi="Times New Roman" w:cs="Times New Roman"/>
          <w:sz w:val="24"/>
          <w:szCs w:val="24"/>
          <w:shd w:val="clear" w:color="auto" w:fill="FFFFFF"/>
        </w:rPr>
        <w:tab/>
        <w:t xml:space="preserve">Institute of Biomedical Informatics </w:t>
      </w:r>
    </w:p>
    <w:p w14:paraId="66A46262"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ICTs </w:t>
      </w:r>
      <w:r>
        <w:rPr>
          <w:rFonts w:ascii="Times New Roman" w:hAnsi="Times New Roman" w:cs="Times New Roman"/>
          <w:sz w:val="24"/>
          <w:szCs w:val="24"/>
        </w:rPr>
        <w:tab/>
        <w:t xml:space="preserve">- </w:t>
      </w:r>
      <w:r>
        <w:rPr>
          <w:rFonts w:ascii="Times New Roman" w:hAnsi="Times New Roman" w:cs="Times New Roman"/>
          <w:sz w:val="24"/>
          <w:szCs w:val="24"/>
        </w:rPr>
        <w:tab/>
        <w:t>Information Communication Technologies</w:t>
      </w:r>
    </w:p>
    <w:p w14:paraId="4B5F375F"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IFLA</w:t>
      </w:r>
      <w:r>
        <w:rPr>
          <w:rFonts w:ascii="Times New Roman" w:hAnsi="Times New Roman" w:cs="Times New Roman"/>
          <w:sz w:val="24"/>
          <w:szCs w:val="24"/>
        </w:rPr>
        <w:tab/>
        <w:t xml:space="preserve">- </w:t>
      </w:r>
      <w:r>
        <w:rPr>
          <w:rFonts w:ascii="Times New Roman" w:hAnsi="Times New Roman" w:cs="Times New Roman"/>
          <w:sz w:val="24"/>
          <w:szCs w:val="24"/>
        </w:rPr>
        <w:tab/>
        <w:t xml:space="preserve">International Federation of Library Associations </w:t>
      </w:r>
    </w:p>
    <w:p w14:paraId="1EDC1553"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IL </w:t>
      </w:r>
      <w:r>
        <w:rPr>
          <w:rFonts w:ascii="Times New Roman" w:hAnsi="Times New Roman" w:cs="Times New Roman"/>
          <w:sz w:val="24"/>
          <w:szCs w:val="24"/>
        </w:rPr>
        <w:tab/>
        <w:t xml:space="preserve">- </w:t>
      </w:r>
      <w:r>
        <w:rPr>
          <w:rFonts w:ascii="Times New Roman" w:hAnsi="Times New Roman" w:cs="Times New Roman"/>
          <w:sz w:val="24"/>
          <w:szCs w:val="24"/>
        </w:rPr>
        <w:tab/>
        <w:t>Information Literacy</w:t>
      </w:r>
    </w:p>
    <w:p w14:paraId="7C2AD482"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lastRenderedPageBreak/>
        <w:t xml:space="preserve"> ILCSHEC</w:t>
      </w:r>
      <w:r>
        <w:rPr>
          <w:rFonts w:ascii="Times New Roman" w:hAnsi="Times New Roman" w:cs="Times New Roman"/>
          <w:sz w:val="24"/>
          <w:szCs w:val="24"/>
        </w:rPr>
        <w:tab/>
        <w:t xml:space="preserve">- </w:t>
      </w:r>
      <w:r>
        <w:rPr>
          <w:rFonts w:ascii="Times New Roman" w:hAnsi="Times New Roman" w:cs="Times New Roman"/>
          <w:sz w:val="24"/>
          <w:szCs w:val="24"/>
        </w:rPr>
        <w:tab/>
        <w:t xml:space="preserve">the Information Literacy Competency Standards for Higher Education in China </w:t>
      </w:r>
    </w:p>
    <w:p w14:paraId="12278ABF"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ILS </w:t>
      </w:r>
      <w:r>
        <w:rPr>
          <w:rFonts w:ascii="Times New Roman" w:hAnsi="Times New Roman" w:cs="Times New Roman"/>
          <w:sz w:val="24"/>
          <w:szCs w:val="24"/>
        </w:rPr>
        <w:tab/>
        <w:t>-</w:t>
      </w:r>
      <w:r>
        <w:rPr>
          <w:rFonts w:ascii="Times New Roman" w:hAnsi="Times New Roman" w:cs="Times New Roman"/>
          <w:sz w:val="24"/>
          <w:szCs w:val="24"/>
        </w:rPr>
        <w:tab/>
        <w:t xml:space="preserve"> Information Literacy Skills</w:t>
      </w:r>
    </w:p>
    <w:p w14:paraId="12027D42"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INFUL </w:t>
      </w:r>
      <w:r>
        <w:rPr>
          <w:rFonts w:ascii="Times New Roman" w:hAnsi="Times New Roman" w:cs="Times New Roman"/>
          <w:sz w:val="24"/>
          <w:szCs w:val="24"/>
        </w:rPr>
        <w:tab/>
        <w:t xml:space="preserve">- </w:t>
      </w:r>
      <w:r>
        <w:rPr>
          <w:rFonts w:ascii="Times New Roman" w:hAnsi="Times New Roman" w:cs="Times New Roman"/>
          <w:sz w:val="24"/>
          <w:szCs w:val="24"/>
        </w:rPr>
        <w:tab/>
        <w:t>Information Literacy Network of Finnish University Libraries</w:t>
      </w:r>
    </w:p>
    <w:p w14:paraId="048C057A"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IT </w:t>
      </w:r>
      <w:r>
        <w:rPr>
          <w:rFonts w:ascii="Times New Roman" w:hAnsi="Times New Roman" w:cs="Times New Roman"/>
          <w:sz w:val="24"/>
          <w:szCs w:val="24"/>
        </w:rPr>
        <w:tab/>
        <w:t xml:space="preserve">- </w:t>
      </w:r>
      <w:r>
        <w:rPr>
          <w:rFonts w:ascii="Times New Roman" w:hAnsi="Times New Roman" w:cs="Times New Roman"/>
          <w:sz w:val="24"/>
          <w:szCs w:val="24"/>
        </w:rPr>
        <w:tab/>
        <w:t>Information Technology,</w:t>
      </w:r>
    </w:p>
    <w:p w14:paraId="0ABACB27"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KLISC </w:t>
      </w:r>
      <w:r>
        <w:rPr>
          <w:rFonts w:ascii="Times New Roman" w:hAnsi="Times New Roman" w:cs="Times New Roman"/>
          <w:sz w:val="24"/>
          <w:szCs w:val="24"/>
        </w:rPr>
        <w:tab/>
        <w:t xml:space="preserve">- </w:t>
      </w:r>
      <w:r>
        <w:rPr>
          <w:rFonts w:ascii="Times New Roman" w:hAnsi="Times New Roman" w:cs="Times New Roman"/>
          <w:sz w:val="24"/>
          <w:szCs w:val="24"/>
        </w:rPr>
        <w:tab/>
        <w:t>Kenya Libraries and Information Services Consortium</w:t>
      </w:r>
    </w:p>
    <w:p w14:paraId="3B1042A1"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KMPDB</w:t>
      </w:r>
      <w:r>
        <w:rPr>
          <w:rFonts w:ascii="Times New Roman" w:hAnsi="Times New Roman" w:cs="Times New Roman"/>
          <w:sz w:val="24"/>
          <w:szCs w:val="24"/>
        </w:rPr>
        <w:tab/>
        <w:t xml:space="preserve">- </w:t>
      </w:r>
      <w:r>
        <w:rPr>
          <w:rFonts w:ascii="Times New Roman" w:hAnsi="Times New Roman" w:cs="Times New Roman"/>
          <w:sz w:val="24"/>
          <w:szCs w:val="24"/>
        </w:rPr>
        <w:tab/>
        <w:t xml:space="preserve">Kenya Medical Practitioners and Dentist Board </w:t>
      </w:r>
    </w:p>
    <w:p w14:paraId="79D8DB73"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KSU           -        Kentucky State University</w:t>
      </w:r>
    </w:p>
    <w:p w14:paraId="0F67B721"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MDGs </w:t>
      </w:r>
      <w:r>
        <w:rPr>
          <w:rFonts w:ascii="Times New Roman" w:hAnsi="Times New Roman" w:cs="Times New Roman"/>
          <w:sz w:val="24"/>
          <w:szCs w:val="24"/>
        </w:rPr>
        <w:tab/>
        <w:t xml:space="preserve">- </w:t>
      </w:r>
      <w:r>
        <w:rPr>
          <w:rFonts w:ascii="Times New Roman" w:hAnsi="Times New Roman" w:cs="Times New Roman"/>
          <w:sz w:val="24"/>
          <w:szCs w:val="24"/>
        </w:rPr>
        <w:tab/>
        <w:t>Millennium Development Goals</w:t>
      </w:r>
    </w:p>
    <w:p w14:paraId="18E91348"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MU</w:t>
      </w:r>
      <w:r>
        <w:rPr>
          <w:rFonts w:ascii="Times New Roman" w:hAnsi="Times New Roman" w:cs="Times New Roman"/>
          <w:sz w:val="24"/>
          <w:szCs w:val="24"/>
        </w:rPr>
        <w:tab/>
        <w:t>-</w:t>
      </w:r>
      <w:r>
        <w:rPr>
          <w:rFonts w:ascii="Times New Roman" w:hAnsi="Times New Roman" w:cs="Times New Roman"/>
          <w:sz w:val="24"/>
          <w:szCs w:val="24"/>
        </w:rPr>
        <w:tab/>
        <w:t>Moi University</w:t>
      </w:r>
    </w:p>
    <w:p w14:paraId="40955DAA"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NZIIL</w:t>
      </w:r>
      <w:r>
        <w:rPr>
          <w:rFonts w:ascii="Times New Roman" w:hAnsi="Times New Roman" w:cs="Times New Roman"/>
          <w:sz w:val="24"/>
          <w:szCs w:val="24"/>
        </w:rPr>
        <w:tab/>
        <w:t>-</w:t>
      </w:r>
      <w:r>
        <w:rPr>
          <w:rFonts w:ascii="Times New Roman" w:hAnsi="Times New Roman" w:cs="Times New Roman"/>
          <w:sz w:val="24"/>
          <w:szCs w:val="24"/>
        </w:rPr>
        <w:tab/>
        <w:t>New Zealand Institute for Information Literacy</w:t>
      </w:r>
    </w:p>
    <w:p w14:paraId="3D37188D"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OPAC </w:t>
      </w:r>
      <w:r>
        <w:rPr>
          <w:rFonts w:ascii="Times New Roman" w:hAnsi="Times New Roman" w:cs="Times New Roman"/>
          <w:sz w:val="24"/>
          <w:szCs w:val="24"/>
        </w:rPr>
        <w:tab/>
        <w:t xml:space="preserve">- </w:t>
      </w:r>
      <w:r>
        <w:rPr>
          <w:rFonts w:ascii="Times New Roman" w:hAnsi="Times New Roman" w:cs="Times New Roman"/>
          <w:sz w:val="24"/>
          <w:szCs w:val="24"/>
        </w:rPr>
        <w:tab/>
        <w:t>Online Public Access Catalog</w:t>
      </w:r>
    </w:p>
    <w:p w14:paraId="05B5B23E" w14:textId="77777777" w:rsidR="00B01D46" w:rsidRDefault="0067013E">
      <w:pPr>
        <w:tabs>
          <w:tab w:val="left" w:pos="1134"/>
        </w:tabs>
        <w:spacing w:after="0" w:line="480" w:lineRule="auto"/>
        <w:ind w:left="1701" w:right="-288" w:hanging="1701"/>
        <w:rPr>
          <w:rFonts w:ascii="Times New Roman" w:hAnsi="Times New Roman" w:cs="Times New Roman"/>
          <w:bCs/>
          <w:sz w:val="24"/>
          <w:szCs w:val="24"/>
        </w:rPr>
      </w:pPr>
      <w:r>
        <w:rPr>
          <w:rFonts w:ascii="Times New Roman" w:hAnsi="Times New Roman" w:cs="Times New Roman"/>
          <w:bCs/>
          <w:sz w:val="24"/>
          <w:szCs w:val="24"/>
        </w:rPr>
        <w:t>PBLC</w:t>
      </w:r>
      <w:r>
        <w:rPr>
          <w:rFonts w:ascii="Times New Roman" w:hAnsi="Times New Roman" w:cs="Times New Roman"/>
          <w:bCs/>
          <w:sz w:val="24"/>
          <w:szCs w:val="24"/>
        </w:rPr>
        <w:tab/>
        <w:t xml:space="preserve">- </w:t>
      </w:r>
      <w:r>
        <w:rPr>
          <w:rFonts w:ascii="Times New Roman" w:hAnsi="Times New Roman" w:cs="Times New Roman"/>
          <w:bCs/>
          <w:sz w:val="24"/>
          <w:szCs w:val="24"/>
        </w:rPr>
        <w:tab/>
        <w:t xml:space="preserve">Problem-Based Learning Curriculum </w:t>
      </w:r>
    </w:p>
    <w:p w14:paraId="26839FE9"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SCECSAL - </w:t>
      </w:r>
      <w:r>
        <w:rPr>
          <w:rFonts w:ascii="Times New Roman" w:hAnsi="Times New Roman" w:cs="Times New Roman"/>
          <w:sz w:val="24"/>
          <w:szCs w:val="24"/>
        </w:rPr>
        <w:tab/>
        <w:t>Standing Conference of Eastern, Central, and Southern Africa Library and Information Associations</w:t>
      </w:r>
    </w:p>
    <w:p w14:paraId="229A67A4"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SCONUL </w:t>
      </w:r>
      <w:r>
        <w:rPr>
          <w:rFonts w:ascii="Times New Roman" w:hAnsi="Times New Roman" w:cs="Times New Roman"/>
          <w:sz w:val="24"/>
          <w:szCs w:val="24"/>
        </w:rPr>
        <w:tab/>
        <w:t xml:space="preserve">- </w:t>
      </w:r>
      <w:r>
        <w:rPr>
          <w:rFonts w:ascii="Times New Roman" w:hAnsi="Times New Roman" w:cs="Times New Roman"/>
          <w:sz w:val="24"/>
          <w:szCs w:val="24"/>
        </w:rPr>
        <w:tab/>
        <w:t xml:space="preserve">Society of College, National and University Libraries </w:t>
      </w:r>
    </w:p>
    <w:p w14:paraId="1886C8AF"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UCT</w:t>
      </w:r>
      <w:r>
        <w:rPr>
          <w:rFonts w:ascii="Times New Roman" w:hAnsi="Times New Roman" w:cs="Times New Roman"/>
          <w:sz w:val="24"/>
          <w:szCs w:val="24"/>
        </w:rPr>
        <w:tab/>
        <w:t xml:space="preserve">- </w:t>
      </w:r>
      <w:r>
        <w:rPr>
          <w:rFonts w:ascii="Times New Roman" w:hAnsi="Times New Roman" w:cs="Times New Roman"/>
          <w:sz w:val="24"/>
          <w:szCs w:val="24"/>
        </w:rPr>
        <w:tab/>
        <w:t xml:space="preserve">University of Cape Town </w:t>
      </w:r>
    </w:p>
    <w:p w14:paraId="05CDADB5" w14:textId="77777777" w:rsidR="00B01D46" w:rsidRDefault="0067013E">
      <w:pPr>
        <w:tabs>
          <w:tab w:val="left" w:pos="1134"/>
        </w:tabs>
        <w:autoSpaceDE w:val="0"/>
        <w:autoSpaceDN w:val="0"/>
        <w:adjustRightInd w:val="0"/>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UNESCO </w:t>
      </w:r>
      <w:r>
        <w:rPr>
          <w:rFonts w:ascii="Times New Roman" w:hAnsi="Times New Roman" w:cs="Times New Roman"/>
          <w:sz w:val="24"/>
          <w:szCs w:val="24"/>
        </w:rPr>
        <w:tab/>
        <w:t xml:space="preserve">- </w:t>
      </w:r>
      <w:r>
        <w:rPr>
          <w:rFonts w:ascii="Times New Roman" w:hAnsi="Times New Roman" w:cs="Times New Roman"/>
          <w:sz w:val="24"/>
          <w:szCs w:val="24"/>
        </w:rPr>
        <w:tab/>
        <w:t>United Nations Educational Scientific and Cultural Organization</w:t>
      </w:r>
    </w:p>
    <w:p w14:paraId="3E8D9AD9"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 xml:space="preserve">UON </w:t>
      </w:r>
      <w:r>
        <w:rPr>
          <w:rFonts w:ascii="Times New Roman" w:hAnsi="Times New Roman" w:cs="Times New Roman"/>
          <w:sz w:val="24"/>
          <w:szCs w:val="24"/>
        </w:rPr>
        <w:tab/>
        <w:t xml:space="preserve">- </w:t>
      </w:r>
      <w:r>
        <w:rPr>
          <w:rFonts w:ascii="Times New Roman" w:hAnsi="Times New Roman" w:cs="Times New Roman"/>
          <w:sz w:val="24"/>
          <w:szCs w:val="24"/>
        </w:rPr>
        <w:tab/>
        <w:t xml:space="preserve">University of Nairobi </w:t>
      </w:r>
    </w:p>
    <w:p w14:paraId="597A431C"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UP</w:t>
      </w:r>
      <w:r>
        <w:rPr>
          <w:rFonts w:ascii="Times New Roman" w:hAnsi="Times New Roman" w:cs="Times New Roman"/>
          <w:sz w:val="24"/>
          <w:szCs w:val="24"/>
        </w:rPr>
        <w:tab/>
        <w:t xml:space="preserve">- </w:t>
      </w:r>
      <w:r>
        <w:rPr>
          <w:rFonts w:ascii="Times New Roman" w:hAnsi="Times New Roman" w:cs="Times New Roman"/>
          <w:sz w:val="24"/>
          <w:szCs w:val="24"/>
        </w:rPr>
        <w:tab/>
        <w:t>University of Pretoria</w:t>
      </w:r>
    </w:p>
    <w:p w14:paraId="426D5F90"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US</w:t>
      </w:r>
      <w:r>
        <w:rPr>
          <w:rFonts w:ascii="Times New Roman" w:hAnsi="Times New Roman" w:cs="Times New Roman"/>
          <w:sz w:val="24"/>
          <w:szCs w:val="24"/>
        </w:rPr>
        <w:tab/>
        <w:t xml:space="preserve">- </w:t>
      </w:r>
      <w:r>
        <w:rPr>
          <w:rFonts w:ascii="Times New Roman" w:hAnsi="Times New Roman" w:cs="Times New Roman"/>
          <w:sz w:val="24"/>
          <w:szCs w:val="24"/>
        </w:rPr>
        <w:tab/>
        <w:t xml:space="preserve">United States </w:t>
      </w:r>
    </w:p>
    <w:p w14:paraId="78F801B5"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VPBL</w:t>
      </w:r>
      <w:r>
        <w:rPr>
          <w:rFonts w:ascii="Times New Roman" w:hAnsi="Times New Roman" w:cs="Times New Roman"/>
          <w:sz w:val="24"/>
          <w:szCs w:val="24"/>
        </w:rPr>
        <w:tab/>
        <w:t xml:space="preserve">- </w:t>
      </w:r>
      <w:r>
        <w:rPr>
          <w:rFonts w:ascii="Times New Roman" w:hAnsi="Times New Roman" w:cs="Times New Roman"/>
          <w:sz w:val="24"/>
          <w:szCs w:val="24"/>
        </w:rPr>
        <w:tab/>
        <w:t xml:space="preserve">Variant Project-Based Learning </w:t>
      </w:r>
    </w:p>
    <w:p w14:paraId="5D667A42" w14:textId="77777777" w:rsidR="00B01D46" w:rsidRDefault="0067013E">
      <w:pPr>
        <w:tabs>
          <w:tab w:val="left" w:pos="1134"/>
        </w:tabs>
        <w:spacing w:after="0" w:line="480" w:lineRule="auto"/>
        <w:ind w:left="1701" w:right="-288" w:hanging="1701"/>
        <w:rPr>
          <w:rFonts w:ascii="Times New Roman" w:hAnsi="Times New Roman" w:cs="Times New Roman"/>
          <w:sz w:val="24"/>
          <w:szCs w:val="24"/>
        </w:rPr>
      </w:pPr>
      <w:r>
        <w:rPr>
          <w:rFonts w:ascii="Times New Roman" w:hAnsi="Times New Roman" w:cs="Times New Roman"/>
          <w:sz w:val="24"/>
          <w:szCs w:val="24"/>
        </w:rPr>
        <w:t>MU</w:t>
      </w:r>
      <w:r>
        <w:rPr>
          <w:rFonts w:ascii="Times New Roman" w:hAnsi="Times New Roman" w:cs="Times New Roman"/>
          <w:sz w:val="24"/>
          <w:szCs w:val="24"/>
        </w:rPr>
        <w:tab/>
        <w:t>-</w:t>
      </w:r>
      <w:r>
        <w:rPr>
          <w:rFonts w:ascii="Times New Roman" w:hAnsi="Times New Roman" w:cs="Times New Roman"/>
          <w:sz w:val="24"/>
          <w:szCs w:val="24"/>
        </w:rPr>
        <w:tab/>
        <w:t xml:space="preserve">MOI University </w:t>
      </w:r>
    </w:p>
    <w:p w14:paraId="3F6D1968" w14:textId="77777777" w:rsidR="00B01D46" w:rsidRDefault="00B01D46">
      <w:pPr>
        <w:rPr>
          <w:rFonts w:ascii="Times New Roman" w:hAnsi="Times New Roman" w:cs="Times New Roman"/>
          <w:sz w:val="24"/>
          <w:szCs w:val="24"/>
        </w:rPr>
      </w:pPr>
    </w:p>
    <w:p w14:paraId="5774860B" w14:textId="77777777" w:rsidR="00B01D46" w:rsidRDefault="00B01D46">
      <w:pPr>
        <w:spacing w:after="0" w:line="240" w:lineRule="auto"/>
        <w:rPr>
          <w:rFonts w:ascii="Times New Roman" w:hAnsi="Times New Roman" w:cs="Times New Roman"/>
          <w:sz w:val="24"/>
          <w:szCs w:val="24"/>
        </w:rPr>
        <w:sectPr w:rsidR="00B01D46">
          <w:headerReference w:type="default" r:id="rId12"/>
          <w:pgSz w:w="11909" w:h="16834"/>
          <w:pgMar w:top="1440" w:right="1584" w:bottom="1440" w:left="2160" w:header="720" w:footer="720" w:gutter="0"/>
          <w:pgNumType w:fmt="lowerRoman" w:start="1"/>
          <w:cols w:space="720"/>
          <w:titlePg/>
          <w:docGrid w:linePitch="360"/>
        </w:sectPr>
      </w:pPr>
    </w:p>
    <w:p w14:paraId="2C4736FA" w14:textId="77777777" w:rsidR="00B01D46" w:rsidRDefault="0067013E">
      <w:pPr>
        <w:pStyle w:val="Heading1"/>
        <w:spacing w:before="120"/>
        <w:ind w:right="65"/>
        <w:rPr>
          <w:rFonts w:cs="Times New Roman"/>
          <w:b w:val="0"/>
          <w:szCs w:val="24"/>
        </w:rPr>
      </w:pPr>
      <w:bookmarkStart w:id="77" w:name="_Toc165367571"/>
      <w:bookmarkStart w:id="78" w:name="_Toc165972997"/>
      <w:bookmarkStart w:id="79" w:name="_Toc165364833"/>
      <w:bookmarkStart w:id="80" w:name="_Toc165368297"/>
      <w:bookmarkStart w:id="81" w:name="_Toc165365100"/>
      <w:bookmarkStart w:id="82" w:name="_Toc165369113"/>
      <w:bookmarkStart w:id="83" w:name="_Toc165897953"/>
      <w:bookmarkStart w:id="84" w:name="_Toc184272829"/>
      <w:bookmarkStart w:id="85" w:name="_Toc165975718"/>
      <w:bookmarkStart w:id="86" w:name="_Toc164663955"/>
      <w:r>
        <w:rPr>
          <w:rFonts w:cs="Times New Roman"/>
          <w:szCs w:val="24"/>
        </w:rPr>
        <w:lastRenderedPageBreak/>
        <w:t>CHAPTER ONE</w:t>
      </w:r>
      <w:bookmarkEnd w:id="77"/>
      <w:bookmarkEnd w:id="78"/>
      <w:bookmarkEnd w:id="79"/>
      <w:bookmarkEnd w:id="80"/>
      <w:bookmarkEnd w:id="81"/>
      <w:bookmarkEnd w:id="82"/>
      <w:bookmarkEnd w:id="83"/>
      <w:bookmarkEnd w:id="84"/>
      <w:bookmarkEnd w:id="85"/>
      <w:bookmarkEnd w:id="86"/>
    </w:p>
    <w:p w14:paraId="4314ECA3" w14:textId="77777777" w:rsidR="00B01D46" w:rsidRDefault="0067013E">
      <w:pPr>
        <w:pStyle w:val="Heading1"/>
        <w:spacing w:before="120"/>
        <w:ind w:right="65"/>
        <w:rPr>
          <w:rFonts w:cs="Times New Roman"/>
          <w:b w:val="0"/>
          <w:szCs w:val="24"/>
        </w:rPr>
      </w:pPr>
      <w:bookmarkStart w:id="87" w:name="_Toc165364834"/>
      <w:bookmarkStart w:id="88" w:name="_Toc165369114"/>
      <w:bookmarkStart w:id="89" w:name="_Toc165367572"/>
      <w:bookmarkStart w:id="90" w:name="_Toc164663956"/>
      <w:bookmarkStart w:id="91" w:name="_Toc165897954"/>
      <w:bookmarkStart w:id="92" w:name="_Toc165972998"/>
      <w:bookmarkStart w:id="93" w:name="_Toc165368298"/>
      <w:bookmarkStart w:id="94" w:name="_Toc165365101"/>
      <w:bookmarkStart w:id="95" w:name="_Toc184272830"/>
      <w:bookmarkStart w:id="96" w:name="_Toc165975719"/>
      <w:r>
        <w:rPr>
          <w:rFonts w:cs="Times New Roman"/>
          <w:szCs w:val="24"/>
        </w:rPr>
        <w:t>INTRODUCTION AND BACKGROUND TO THE STUDY</w:t>
      </w:r>
      <w:bookmarkEnd w:id="87"/>
      <w:bookmarkEnd w:id="88"/>
      <w:bookmarkEnd w:id="89"/>
      <w:bookmarkEnd w:id="90"/>
      <w:bookmarkEnd w:id="91"/>
      <w:bookmarkEnd w:id="92"/>
      <w:bookmarkEnd w:id="93"/>
      <w:bookmarkEnd w:id="94"/>
      <w:bookmarkEnd w:id="95"/>
      <w:bookmarkEnd w:id="96"/>
    </w:p>
    <w:p w14:paraId="14C6FE90" w14:textId="77777777" w:rsidR="00B01D46" w:rsidRDefault="0067013E">
      <w:pPr>
        <w:pStyle w:val="Heading2"/>
        <w:ind w:right="65"/>
      </w:pPr>
      <w:bookmarkStart w:id="97" w:name="_Toc164663957"/>
      <w:bookmarkStart w:id="98" w:name="_Toc165972999"/>
      <w:bookmarkStart w:id="99" w:name="_Toc165368299"/>
      <w:bookmarkStart w:id="100" w:name="_Toc165369115"/>
      <w:bookmarkStart w:id="101" w:name="_Toc165367573"/>
      <w:bookmarkStart w:id="102" w:name="_Toc165365102"/>
      <w:bookmarkStart w:id="103" w:name="_Toc165364835"/>
      <w:bookmarkStart w:id="104" w:name="_Toc165897955"/>
      <w:bookmarkStart w:id="105" w:name="_Toc165975720"/>
      <w:bookmarkStart w:id="106" w:name="_Toc184272831"/>
      <w:r>
        <w:t>1.1 Introduction</w:t>
      </w:r>
      <w:bookmarkEnd w:id="97"/>
      <w:bookmarkEnd w:id="98"/>
      <w:bookmarkEnd w:id="99"/>
      <w:bookmarkEnd w:id="100"/>
      <w:bookmarkEnd w:id="101"/>
      <w:bookmarkEnd w:id="102"/>
      <w:bookmarkEnd w:id="103"/>
      <w:bookmarkEnd w:id="104"/>
      <w:bookmarkEnd w:id="105"/>
      <w:bookmarkEnd w:id="106"/>
    </w:p>
    <w:p w14:paraId="31208985" w14:textId="77777777" w:rsidR="00B01D46" w:rsidRDefault="0067013E">
      <w:pPr>
        <w:spacing w:after="0" w:line="480" w:lineRule="auto"/>
        <w:ind w:right="65"/>
        <w:jc w:val="both"/>
        <w:rPr>
          <w:rFonts w:ascii="Times New Roman" w:hAnsi="Times New Roman" w:cs="Times New Roman"/>
          <w:color w:val="FF0000"/>
          <w:sz w:val="24"/>
          <w:szCs w:val="24"/>
        </w:rPr>
      </w:pPr>
      <w:r>
        <w:rPr>
          <w:rFonts w:ascii="Times New Roman" w:hAnsi="Times New Roman" w:cs="Times New Roman"/>
          <w:bCs/>
          <w:sz w:val="24"/>
          <w:szCs w:val="24"/>
        </w:rPr>
        <w:t xml:space="preserve">This study aimed to assess the information literacy skills (ILS) of undergraduate medical students at Moi University and the University of Nairobi, Kenya and to provide a framework to enhance ILS adequacy among undergraduate medical students. This chapter presents </w:t>
      </w:r>
      <w:r>
        <w:rPr>
          <w:rFonts w:ascii="Times New Roman" w:hAnsi="Times New Roman" w:cs="Times New Roman"/>
          <w:sz w:val="24"/>
          <w:szCs w:val="24"/>
        </w:rPr>
        <w:t xml:space="preserve">the background information, the aim of the study, statement of the problem, the objectives of the study, research questions of the study, the significance, and scope of the study, and </w:t>
      </w:r>
      <w:r>
        <w:rPr>
          <w:rFonts w:ascii="Times New Roman" w:hAnsi="Times New Roman" w:cs="Times New Roman"/>
          <w:bCs/>
          <w:sz w:val="24"/>
          <w:szCs w:val="24"/>
        </w:rPr>
        <w:t>the conceptual and contextual framework for the investigation.</w:t>
      </w:r>
    </w:p>
    <w:p w14:paraId="4848776D"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bookmarkStart w:id="107" w:name="_Hlk147908087"/>
      <w:r>
        <w:rPr>
          <w:rFonts w:ascii="Times New Roman" w:hAnsi="Times New Roman" w:cs="Times New Roman"/>
          <w:sz w:val="24"/>
          <w:szCs w:val="24"/>
        </w:rPr>
        <w:t>People in all aspects of life need information.  Information is a crucial resource that is characterized as processed material that aids in decision-making, broadens one's knowledge and mental capacity, and alters a society's overall status (</w:t>
      </w:r>
      <w:r>
        <w:rPr>
          <w:rFonts w:ascii="Times New Roman" w:hAnsi="Times New Roman" w:cs="Times New Roman"/>
          <w:bCs/>
          <w:sz w:val="24"/>
          <w:szCs w:val="24"/>
        </w:rPr>
        <w:t>Madden, 2000). Similarly, Badween</w:t>
      </w:r>
      <w:r>
        <w:rPr>
          <w:rFonts w:ascii="Times New Roman" w:hAnsi="Times New Roman" w:cs="Times New Roman"/>
          <w:sz w:val="24"/>
          <w:szCs w:val="24"/>
        </w:rPr>
        <w:t xml:space="preserve"> (2001) describes</w:t>
      </w:r>
      <w:r>
        <w:rPr>
          <w:rFonts w:ascii="Times New Roman" w:hAnsi="Times New Roman" w:cs="Times New Roman"/>
          <w:bCs/>
          <w:sz w:val="24"/>
          <w:szCs w:val="24"/>
        </w:rPr>
        <w:t xml:space="preserve"> information as the resolution of ambiguity that responds to the query "What is an entity?" and so identifies the qualities and essence of the object.</w:t>
      </w:r>
      <w:r>
        <w:rPr>
          <w:rFonts w:ascii="Times New Roman" w:hAnsi="Times New Roman" w:cs="Times New Roman"/>
          <w:sz w:val="24"/>
          <w:szCs w:val="24"/>
          <w:vertAlign w:val="superscript"/>
        </w:rPr>
        <w:t xml:space="preserve"> </w:t>
      </w:r>
      <w:r>
        <w:rPr>
          <w:rFonts w:ascii="Times New Roman" w:hAnsi="Times New Roman" w:cs="Times New Roman"/>
          <w:sz w:val="24"/>
          <w:szCs w:val="24"/>
        </w:rPr>
        <w:t>Merrium-Webster, (2019) argues that information is crucial for decision-making and effective operation at all levels of any undertaking. In addition, for an individual to effectively utilize information one requires ILS competencies (Baro, 2009)</w:t>
      </w:r>
    </w:p>
    <w:p w14:paraId="1F1A6EB6"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According to Bruce (2004), ILS is the ability to locate, obtain, analyze, and utilize information. Similarly, the American Library Association (ALA) (1972) defined ILS as having the capability to identify when information is wanted as well as to find, assess, and apply it appropriately. ILS is viewed as a tool for community and individual empowerment in the twenty-first century. Additionally, the ability to </w:t>
      </w:r>
      <w:r>
        <w:rPr>
          <w:rFonts w:ascii="Times New Roman" w:hAnsi="Times New Roman" w:cs="Times New Roman"/>
          <w:sz w:val="24"/>
          <w:szCs w:val="24"/>
        </w:rPr>
        <w:lastRenderedPageBreak/>
        <w:t>recognize when information is needed has been defined as ILS (Hall, 2010); Diehm &amp; Lupton 2014). Being aware of when information is required enables one to locate, retrieve, evaluate, and use it efficiently to either carry out further study or address the issue for which it was intended. The foundation of lifelong learning is ILS, which permeates all academic levels, learning contexts, and disciplines. Furthermore, ILS aids students in developing greater self-direction, greater control over their education, topic comprehension, and study breadth (Hall, 2010). The success of information literacy in an individual is determined by the individual’s agility and how well they utilize learned ILS (Baro, 2010).</w:t>
      </w:r>
    </w:p>
    <w:p w14:paraId="5415F4FD" w14:textId="77777777" w:rsidR="00B01D46" w:rsidRDefault="00B01D46">
      <w:pPr>
        <w:autoSpaceDE w:val="0"/>
        <w:autoSpaceDN w:val="0"/>
        <w:adjustRightInd w:val="0"/>
        <w:spacing w:after="0" w:line="240" w:lineRule="auto"/>
        <w:ind w:right="65"/>
        <w:jc w:val="both"/>
        <w:rPr>
          <w:rFonts w:ascii="Times New Roman" w:hAnsi="Times New Roman" w:cs="Times New Roman"/>
          <w:sz w:val="24"/>
          <w:szCs w:val="24"/>
        </w:rPr>
      </w:pPr>
    </w:p>
    <w:p w14:paraId="69646294" w14:textId="48A0E673" w:rsidR="00B01D46" w:rsidRDefault="0067013E">
      <w:pPr>
        <w:spacing w:after="0" w:line="480" w:lineRule="auto"/>
        <w:ind w:right="65"/>
        <w:jc w:val="both"/>
        <w:rPr>
          <w:rFonts w:ascii="Times New Roman" w:hAnsi="Times New Roman" w:cs="Times New Roman"/>
          <w:sz w:val="24"/>
          <w:szCs w:val="24"/>
        </w:rPr>
      </w:pPr>
      <w:bookmarkStart w:id="108" w:name="_Hlk147908258"/>
      <w:bookmarkEnd w:id="107"/>
      <w:r>
        <w:rPr>
          <w:rFonts w:ascii="Times New Roman" w:hAnsi="Times New Roman" w:cs="Times New Roman"/>
          <w:sz w:val="24"/>
          <w:szCs w:val="24"/>
        </w:rPr>
        <w:t>Moreover, researchers like Kavulya (2003), Gui (2007), Gatero (2010), Mudave (2016),  Diehm &amp; Lupton (2014)</w:t>
      </w:r>
      <w:r w:rsidR="00CE2007">
        <w:rPr>
          <w:rFonts w:ascii="Times New Roman" w:hAnsi="Times New Roman" w:cs="Times New Roman"/>
          <w:sz w:val="24"/>
          <w:szCs w:val="24"/>
        </w:rPr>
        <w:t>; and</w:t>
      </w:r>
      <w:r>
        <w:rPr>
          <w:rFonts w:ascii="Times New Roman" w:hAnsi="Times New Roman" w:cs="Times New Roman"/>
          <w:sz w:val="24"/>
          <w:szCs w:val="24"/>
        </w:rPr>
        <w:t>(ACRL, 2000) assert that ILS enables students to obtain and utilize information to address specific issues in their study discipline which calls for the know-how to recognize, find, assess, and manipulate information ethically and for lifelong learning. From these definitions, ILS can depict to mean the prowess to recognize when one is deprived of information. In a rejoinder to the deprived state, one locates, critically analyses it, and uses it for research and long-life learning.</w:t>
      </w:r>
    </w:p>
    <w:p w14:paraId="4B26AB58" w14:textId="77777777" w:rsidR="00B01D46" w:rsidRDefault="00B01D46">
      <w:pPr>
        <w:spacing w:after="0" w:line="240" w:lineRule="auto"/>
        <w:ind w:right="65"/>
        <w:jc w:val="both"/>
        <w:rPr>
          <w:rFonts w:ascii="Times New Roman" w:hAnsi="Times New Roman" w:cs="Times New Roman"/>
          <w:sz w:val="24"/>
          <w:szCs w:val="24"/>
        </w:rPr>
      </w:pPr>
    </w:p>
    <w:p w14:paraId="2588382C" w14:textId="77777777" w:rsidR="00B01D46" w:rsidRDefault="0067013E">
      <w:pPr>
        <w:pStyle w:val="Heading3"/>
        <w:ind w:right="65"/>
        <w:rPr>
          <w:szCs w:val="24"/>
        </w:rPr>
      </w:pPr>
      <w:bookmarkStart w:id="109" w:name="_Toc165367574"/>
      <w:bookmarkStart w:id="110" w:name="_Toc184272832"/>
      <w:bookmarkStart w:id="111" w:name="_Toc164663958"/>
      <w:bookmarkStart w:id="112" w:name="_Toc165365103"/>
      <w:bookmarkStart w:id="113" w:name="_Toc165364836"/>
      <w:bookmarkStart w:id="114" w:name="_Toc165973000"/>
      <w:bookmarkStart w:id="115" w:name="_Toc165368300"/>
      <w:bookmarkStart w:id="116" w:name="_Toc165369116"/>
      <w:bookmarkStart w:id="117" w:name="_Toc165975721"/>
      <w:bookmarkStart w:id="118" w:name="_Toc165897956"/>
      <w:bookmarkEnd w:id="108"/>
      <w:r>
        <w:rPr>
          <w:szCs w:val="24"/>
        </w:rPr>
        <w:t>1.1.1 Information Literate</w:t>
      </w:r>
      <w:bookmarkEnd w:id="109"/>
      <w:bookmarkEnd w:id="110"/>
      <w:bookmarkEnd w:id="111"/>
      <w:bookmarkEnd w:id="112"/>
      <w:bookmarkEnd w:id="113"/>
      <w:bookmarkEnd w:id="114"/>
      <w:bookmarkEnd w:id="115"/>
      <w:bookmarkEnd w:id="116"/>
      <w:bookmarkEnd w:id="117"/>
      <w:bookmarkEnd w:id="118"/>
      <w:r>
        <w:rPr>
          <w:szCs w:val="24"/>
        </w:rPr>
        <w:t xml:space="preserve"> </w:t>
      </w:r>
    </w:p>
    <w:p w14:paraId="75DFA45B" w14:textId="7777777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Zurkowski (1974) defined information literate as someone who has been trained to use information resources in their work and who has mastered the use of a variety of information tools and primary sources to create information-based remedies for their problems. Additionally, ALAPCIL, (1989) argues that individuals deemed to be information literate have perfected the art of learning. They understand how information is arranged, how to locate, and utilize information so that others might </w:t>
      </w:r>
      <w:r>
        <w:rPr>
          <w:rFonts w:ascii="Times New Roman" w:hAnsi="Times New Roman" w:cs="Times New Roman"/>
          <w:sz w:val="24"/>
          <w:szCs w:val="24"/>
        </w:rPr>
        <w:lastRenderedPageBreak/>
        <w:t>learn from them. Thus, those who possess the ability to identify when they need information and the ability to find, assess, arrange, and effectively apply that information to address and resolve particular work-related issues, as well, as broader societal issues are considered information literate (Bundy, 2004).</w:t>
      </w:r>
    </w:p>
    <w:p w14:paraId="1FB135FD" w14:textId="77777777" w:rsidR="00B01D46" w:rsidRDefault="0067013E">
      <w:pPr>
        <w:spacing w:before="120" w:after="0" w:line="480" w:lineRule="auto"/>
        <w:ind w:right="65"/>
        <w:jc w:val="both"/>
        <w:rPr>
          <w:rFonts w:ascii="Times New Roman" w:hAnsi="Times New Roman" w:cs="Times New Roman"/>
          <w:sz w:val="24"/>
          <w:szCs w:val="24"/>
        </w:rPr>
      </w:pPr>
      <w:bookmarkStart w:id="119" w:name="_Hlk147908333"/>
      <w:r>
        <w:rPr>
          <w:rFonts w:ascii="Times New Roman" w:hAnsi="Times New Roman" w:cs="Times New Roman"/>
          <w:sz w:val="24"/>
          <w:szCs w:val="24"/>
        </w:rPr>
        <w:t xml:space="preserve">There is a flood of information in medical discipline and ingress to this complex information necessitates ILS. Medical practitioners as well as students actively participate in information literacy skills lessons and inquiry-based learning to build these skills (Tunde, 2018). They must learn how to effectively use and seek out information if they are to properly navigate their surroundings and gain skills in the medical research process. Consequently, information literacy abilities are unquestionably important predictors of active and goal-driven involvement in the medical research process. </w:t>
      </w:r>
    </w:p>
    <w:p w14:paraId="6C70F95C" w14:textId="7F6CF224" w:rsidR="00B01D46" w:rsidRDefault="0067013E">
      <w:pPr>
        <w:spacing w:before="120" w:after="0" w:line="480" w:lineRule="auto"/>
        <w:ind w:right="65"/>
        <w:jc w:val="both"/>
        <w:rPr>
          <w:rFonts w:ascii="Times New Roman" w:hAnsi="Times New Roman" w:cs="Times New Roman"/>
          <w:sz w:val="24"/>
          <w:szCs w:val="24"/>
        </w:rPr>
      </w:pPr>
      <w:bookmarkStart w:id="120" w:name="_Hlk147908404"/>
      <w:bookmarkEnd w:id="119"/>
      <w:r>
        <w:rPr>
          <w:rFonts w:ascii="Times New Roman" w:hAnsi="Times New Roman" w:cs="Times New Roman"/>
          <w:sz w:val="24"/>
          <w:szCs w:val="24"/>
        </w:rPr>
        <w:t>According to Krupat et al. (2012)</w:t>
      </w:r>
      <w:r w:rsidR="00CE2007">
        <w:rPr>
          <w:rFonts w:ascii="Times New Roman" w:hAnsi="Times New Roman" w:cs="Times New Roman"/>
          <w:sz w:val="24"/>
          <w:szCs w:val="24"/>
        </w:rPr>
        <w:t>;</w:t>
      </w:r>
      <w:r>
        <w:rPr>
          <w:rFonts w:ascii="Times New Roman" w:hAnsi="Times New Roman" w:cs="Times New Roman"/>
          <w:sz w:val="24"/>
          <w:szCs w:val="24"/>
        </w:rPr>
        <w:t xml:space="preserve"> and Zurayk (2010), medical faculties play key roles in patient care, biomedical education, research development, and promotion. Similarly, Tunde (2018) believes that the function of a medical faculty member requires considerable information literacy skills to support these academic responsibilities and browse vast amounts of medical data. In this regard, Bhutta (2010); Cohen (2009); Zurayk (2010); Fineburg (2011); and Bazrafkan et al (2018) proclaim that medical schools should train medical specialists to utilize the most up-to-date scientific information in medical practice through instruction, investigation, and the treatment of patients. According to Bazrafkan et al. (2018), medical practice demands students to update their information over time to practice evidence-based medicine. </w:t>
      </w:r>
    </w:p>
    <w:p w14:paraId="451B1F14"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lastRenderedPageBreak/>
        <w:t xml:space="preserve">Furthermore, to realize their job responsibilities and navigate the intricacies of many medical specializations, students in medical schools need access to a wide range of information resources. Medical students must possess ILS to better make use of the information resources at their disposal by developing their information search, retrieval, and evaluation abilities. These abilities will make it easier to implement evidence-based learning. The efficiency and effectiveness of ILS are founded on sound components, as posited by Bundy (2004) which include: </w:t>
      </w:r>
    </w:p>
    <w:p w14:paraId="3C842865" w14:textId="77777777" w:rsidR="00B01D46" w:rsidRDefault="0067013E">
      <w:pPr>
        <w:pStyle w:val="ListParagraph"/>
        <w:numPr>
          <w:ilvl w:val="0"/>
          <w:numId w:val="1"/>
        </w:numPr>
        <w:spacing w:before="120" w:after="0" w:line="480" w:lineRule="auto"/>
        <w:ind w:left="284" w:right="65" w:hanging="284"/>
        <w:rPr>
          <w:szCs w:val="24"/>
        </w:rPr>
      </w:pPr>
      <w:r>
        <w:rPr>
          <w:szCs w:val="24"/>
        </w:rPr>
        <w:t>Information skills, such as information utilization, information searching, and technological fluency;</w:t>
      </w:r>
    </w:p>
    <w:p w14:paraId="350E7446" w14:textId="77777777" w:rsidR="00B01D46" w:rsidRDefault="0067013E">
      <w:pPr>
        <w:pStyle w:val="ListParagraph"/>
        <w:numPr>
          <w:ilvl w:val="0"/>
          <w:numId w:val="1"/>
        </w:numPr>
        <w:spacing w:before="120" w:after="0" w:line="480" w:lineRule="auto"/>
        <w:ind w:left="284" w:right="65" w:hanging="284"/>
        <w:rPr>
          <w:szCs w:val="24"/>
        </w:rPr>
      </w:pPr>
      <w:r>
        <w:rPr>
          <w:szCs w:val="24"/>
        </w:rPr>
        <w:t>Generic skills, such as solving problems, working with others, cooperation, interpersonal skills, and analytical thinking;</w:t>
      </w:r>
    </w:p>
    <w:p w14:paraId="068F6325" w14:textId="77777777" w:rsidR="00B01D46" w:rsidRDefault="0067013E">
      <w:pPr>
        <w:pStyle w:val="ListParagraph"/>
        <w:numPr>
          <w:ilvl w:val="0"/>
          <w:numId w:val="1"/>
        </w:numPr>
        <w:spacing w:before="120" w:after="0" w:line="480" w:lineRule="auto"/>
        <w:ind w:left="284" w:right="65" w:hanging="284"/>
        <w:rPr>
          <w:szCs w:val="24"/>
        </w:rPr>
      </w:pPr>
      <w:r>
        <w:rPr>
          <w:szCs w:val="24"/>
        </w:rPr>
        <w:t xml:space="preserve">Values and beliefs, such as participating in society and using information responsibly and ethically. </w:t>
      </w:r>
    </w:p>
    <w:bookmarkEnd w:id="120"/>
    <w:p w14:paraId="45DB4162"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Therefore, with the information explosion and technological development, ILS is important to medical students, because the skills enable students to master how to identify when they need information, where to find it, and how to use it most effectively.</w:t>
      </w:r>
    </w:p>
    <w:p w14:paraId="07681643" w14:textId="77777777" w:rsidR="00B01D46" w:rsidRDefault="00B01D46">
      <w:pPr>
        <w:spacing w:after="0" w:line="240" w:lineRule="auto"/>
        <w:ind w:right="65"/>
        <w:jc w:val="both"/>
        <w:rPr>
          <w:rFonts w:ascii="Times New Roman" w:hAnsi="Times New Roman" w:cs="Times New Roman"/>
          <w:sz w:val="24"/>
          <w:szCs w:val="24"/>
        </w:rPr>
      </w:pPr>
    </w:p>
    <w:p w14:paraId="3F2AAAA8" w14:textId="77777777" w:rsidR="00B01D46" w:rsidRDefault="0067013E">
      <w:pPr>
        <w:pStyle w:val="Heading3"/>
        <w:ind w:right="65"/>
      </w:pPr>
      <w:bookmarkStart w:id="121" w:name="_Toc165973001"/>
      <w:bookmarkStart w:id="122" w:name="_Toc165364837"/>
      <w:bookmarkStart w:id="123" w:name="_Toc165368301"/>
      <w:bookmarkStart w:id="124" w:name="_Toc164663959"/>
      <w:bookmarkStart w:id="125" w:name="_Toc165975722"/>
      <w:bookmarkStart w:id="126" w:name="_Toc165369117"/>
      <w:bookmarkStart w:id="127" w:name="_Toc165365104"/>
      <w:bookmarkStart w:id="128" w:name="_Toc184272833"/>
      <w:bookmarkStart w:id="129" w:name="_Toc165897957"/>
      <w:bookmarkStart w:id="130" w:name="_Toc165367575"/>
      <w:r>
        <w:t>1.1.</w:t>
      </w:r>
      <w:bookmarkStart w:id="131" w:name="_Hlk147908457"/>
      <w:r>
        <w:t>2 ILS and Medical Training</w:t>
      </w:r>
      <w:bookmarkEnd w:id="121"/>
      <w:bookmarkEnd w:id="122"/>
      <w:bookmarkEnd w:id="123"/>
      <w:bookmarkEnd w:id="124"/>
      <w:bookmarkEnd w:id="125"/>
      <w:bookmarkEnd w:id="126"/>
      <w:bookmarkEnd w:id="127"/>
      <w:bookmarkEnd w:id="128"/>
      <w:bookmarkEnd w:id="129"/>
      <w:bookmarkEnd w:id="130"/>
    </w:p>
    <w:p w14:paraId="62E1D036" w14:textId="77777777" w:rsidR="00B01D46" w:rsidRDefault="0067013E">
      <w:pPr>
        <w:pStyle w:val="Default"/>
        <w:spacing w:line="480" w:lineRule="auto"/>
        <w:ind w:right="65"/>
        <w:jc w:val="both"/>
      </w:pPr>
      <w:r>
        <w:t xml:space="preserve">The rapidly expanding body of medical information necessitates the integration of ILS into medical practice and basic sciences to help medical students determine, find, assess, arrange, and utilize medical information efficiently for their training and upcoming medical assignments. (Barrows 1996; Boud &amp; Feletti 1997; Vainiomäki 1995). </w:t>
      </w:r>
    </w:p>
    <w:p w14:paraId="0BFD9803" w14:textId="77777777" w:rsidR="00B01D46" w:rsidRDefault="0067013E">
      <w:pPr>
        <w:pStyle w:val="Default"/>
        <w:spacing w:before="120" w:line="480" w:lineRule="auto"/>
        <w:ind w:right="65"/>
        <w:jc w:val="both"/>
      </w:pPr>
      <w:r>
        <w:lastRenderedPageBreak/>
        <w:t>According to</w:t>
      </w:r>
      <w:r>
        <w:rPr>
          <w:color w:val="222222"/>
          <w:shd w:val="clear" w:color="auto" w:fill="FFFFFF"/>
        </w:rPr>
        <w:t xml:space="preserve"> Khalid (2023)</w:t>
      </w:r>
      <w:r>
        <w:t xml:space="preserve"> medical professionals' expert judgment in the management of medications, requires trustworthy and evidence-based information for patient care, education, and research. Healthcare providers must acquire relevant and trustworthy information to meet their academic and work duties. In addition, Booth and Meijman (2011) observed that healthcare professionals require fast access to information that can assist them in solving medical difficulties.</w:t>
      </w:r>
    </w:p>
    <w:p w14:paraId="1ABD7040"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There are two types of curricula used in medical school training worldwide (Tunde, 2018; Eskola, 2005). These are the Problem-Based Learning Curriculum (PBLC) and Conventional Curricula (CC).  Eskola (2005) states that in PBLC, students’ study by engaging in resolving issues as compared to just idly taking in data. Eskola continues by saying that PBLC starts students' learning with a problem. Contrarily, Tunde (2018) explains that in tutor-centered CC, learners passively assimilate knowledge through regular accomplishment exams, structured laboratory experiences, big group lectures, and tutorials. Furthermore, Tunde (2018) alludes that those students in CC passively assimilate knowledge rather than actively acquiring it.  CC is characterized by a first- and second-year rudimentary science section comprising formal study units selected from different basic science disciplines. According to research done at McGill University in Canada (2014) on the impact of curriculum on students’ retention rate revealed that those students who took the conventional curriculum had a "forward-directed" style of reasoning which was/is tedious and required cramming. Similarly, Moore et al. (2000), assert that students who followed the standard curriculum seemed more inclined to characterize their preclinical experience as "non-relevant, passive, and boring." This illustrates their inability to use and interpret information utilizing ILS.</w:t>
      </w:r>
    </w:p>
    <w:p w14:paraId="708813D3"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lastRenderedPageBreak/>
        <w:t>Medical educators have been increasingly worried over the years that traditional teaching methods (lecture-based curriculum) don't foster the correct traits in students or instill an appreciation for learning that lasts a lifetime. Therefore, Osler (1899) suggested doing away with the lecture method of teaching and allowing students to study independently because he felt that the medical field is very complicated and advanced beyond the capacity of the lecturers to expound all that students are required to know. Osler (1899) emphasized the significance of teachers in assisting students in observing and making sense of the world. These skills will empower medical students to carry on with their learning for the rest of their lives. This can only be accomplished by lowering classroom overcrowding, releasing some of the current rigidity and homogeneity in medical education, and modifying health studies to better match the instructional demands of students, hence the need for a problem-based learning curriculum.</w:t>
      </w:r>
    </w:p>
    <w:p w14:paraId="2F6D77EB"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bookmarkStart w:id="132" w:name="_Hlk147908492"/>
      <w:bookmarkEnd w:id="131"/>
      <w:r>
        <w:rPr>
          <w:rFonts w:ascii="Times New Roman" w:hAnsi="Times New Roman" w:cs="Times New Roman"/>
          <w:sz w:val="24"/>
          <w:szCs w:val="24"/>
        </w:rPr>
        <w:t>Problem-based learning curricula prioritize meaning (understanding) over memorization and cramming (Tunde, 2018). In addition, Moore et al. (2000) note that students studying under the PBLC curricula focus on journals and online databases as information sources, utilize the library more frequently, and use self-learning information materials more frequently, all of which require strong ILS. Otherwise, students may experience information overload if they lack the necessary ILS to discover and utilize information efficiently (Andretta, 2005). Therefore, ILS competencies are essential for the development of autonomous learners in any academic setting, including PBLC students (Peters et al., 2007).</w:t>
      </w:r>
    </w:p>
    <w:p w14:paraId="159E4C5D"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Santharooban (2016) further argues that in PBLC students are given triggers or tests that have been developed based on actual case studies, and they collaborate in teams through a structured procedure to solve and learn background information about a </w:t>
      </w:r>
      <w:r>
        <w:rPr>
          <w:rFonts w:ascii="Times New Roman" w:hAnsi="Times New Roman" w:cs="Times New Roman"/>
          <w:sz w:val="24"/>
          <w:szCs w:val="24"/>
        </w:rPr>
        <w:lastRenderedPageBreak/>
        <w:t>particular topic. Further, Santharooban (2016) notes that self-regulating and self-directed learning are at the core of the PBLC process, hence the demand for ILS among students participating in PBLC. The ILS competencies will guide them to search, retrieve, and use information in medical studies.</w:t>
      </w:r>
      <w:bookmarkEnd w:id="132"/>
      <w:r>
        <w:rPr>
          <w:rFonts w:ascii="Times New Roman" w:hAnsi="Times New Roman" w:cs="Times New Roman"/>
          <w:sz w:val="24"/>
          <w:szCs w:val="24"/>
        </w:rPr>
        <w:t xml:space="preserve"> Additionally, Santharooban (2016) asserts that the PBLC process consists of eight steps, and these processes are as follows:</w:t>
      </w:r>
    </w:p>
    <w:p w14:paraId="74E44507" w14:textId="77777777" w:rsidR="00B01D46" w:rsidRDefault="0067013E">
      <w:pPr>
        <w:pStyle w:val="ListParagraph"/>
        <w:numPr>
          <w:ilvl w:val="0"/>
          <w:numId w:val="2"/>
        </w:numPr>
        <w:autoSpaceDE w:val="0"/>
        <w:autoSpaceDN w:val="0"/>
        <w:adjustRightInd w:val="0"/>
        <w:spacing w:after="0" w:line="480" w:lineRule="auto"/>
        <w:ind w:left="284" w:right="65" w:hanging="284"/>
        <w:contextualSpacing w:val="0"/>
        <w:rPr>
          <w:szCs w:val="24"/>
        </w:rPr>
      </w:pPr>
      <w:r>
        <w:rPr>
          <w:szCs w:val="24"/>
        </w:rPr>
        <w:t>Introduction of a trigger question</w:t>
      </w:r>
    </w:p>
    <w:p w14:paraId="7439150D" w14:textId="77777777" w:rsidR="00B01D46" w:rsidRDefault="0067013E">
      <w:pPr>
        <w:pStyle w:val="ListParagraph"/>
        <w:numPr>
          <w:ilvl w:val="0"/>
          <w:numId w:val="2"/>
        </w:numPr>
        <w:autoSpaceDE w:val="0"/>
        <w:autoSpaceDN w:val="0"/>
        <w:adjustRightInd w:val="0"/>
        <w:spacing w:after="0" w:line="480" w:lineRule="auto"/>
        <w:ind w:left="284" w:right="65" w:hanging="284"/>
        <w:contextualSpacing w:val="0"/>
        <w:rPr>
          <w:szCs w:val="24"/>
        </w:rPr>
      </w:pPr>
      <w:r>
        <w:rPr>
          <w:szCs w:val="24"/>
        </w:rPr>
        <w:t xml:space="preserve">Keyword research, </w:t>
      </w:r>
    </w:p>
    <w:p w14:paraId="4CE98923" w14:textId="77777777" w:rsidR="00B01D46" w:rsidRDefault="0067013E">
      <w:pPr>
        <w:pStyle w:val="ListParagraph"/>
        <w:numPr>
          <w:ilvl w:val="0"/>
          <w:numId w:val="2"/>
        </w:numPr>
        <w:autoSpaceDE w:val="0"/>
        <w:autoSpaceDN w:val="0"/>
        <w:adjustRightInd w:val="0"/>
        <w:spacing w:after="0" w:line="480" w:lineRule="auto"/>
        <w:ind w:left="284" w:right="65" w:hanging="284"/>
        <w:contextualSpacing w:val="0"/>
        <w:rPr>
          <w:szCs w:val="24"/>
        </w:rPr>
      </w:pPr>
      <w:r>
        <w:rPr>
          <w:szCs w:val="24"/>
        </w:rPr>
        <w:t xml:space="preserve">brainstorming, </w:t>
      </w:r>
    </w:p>
    <w:p w14:paraId="363ECF78" w14:textId="77777777" w:rsidR="00B01D46" w:rsidRDefault="0067013E">
      <w:pPr>
        <w:pStyle w:val="ListParagraph"/>
        <w:numPr>
          <w:ilvl w:val="0"/>
          <w:numId w:val="2"/>
        </w:numPr>
        <w:autoSpaceDE w:val="0"/>
        <w:autoSpaceDN w:val="0"/>
        <w:adjustRightInd w:val="0"/>
        <w:spacing w:after="0" w:line="480" w:lineRule="auto"/>
        <w:ind w:left="284" w:right="65" w:hanging="284"/>
        <w:contextualSpacing w:val="0"/>
        <w:rPr>
          <w:szCs w:val="24"/>
        </w:rPr>
      </w:pPr>
      <w:r>
        <w:rPr>
          <w:szCs w:val="24"/>
        </w:rPr>
        <w:t xml:space="preserve">learning requirements analysis, </w:t>
      </w:r>
    </w:p>
    <w:p w14:paraId="22A9FA93" w14:textId="77777777" w:rsidR="00B01D46" w:rsidRDefault="0067013E">
      <w:pPr>
        <w:pStyle w:val="ListParagraph"/>
        <w:numPr>
          <w:ilvl w:val="0"/>
          <w:numId w:val="2"/>
        </w:numPr>
        <w:autoSpaceDE w:val="0"/>
        <w:autoSpaceDN w:val="0"/>
        <w:adjustRightInd w:val="0"/>
        <w:spacing w:after="0" w:line="480" w:lineRule="auto"/>
        <w:ind w:left="284" w:right="65" w:hanging="284"/>
        <w:contextualSpacing w:val="0"/>
        <w:rPr>
          <w:szCs w:val="24"/>
        </w:rPr>
      </w:pPr>
      <w:r>
        <w:rPr>
          <w:szCs w:val="24"/>
        </w:rPr>
        <w:t xml:space="preserve">debate, </w:t>
      </w:r>
    </w:p>
    <w:p w14:paraId="6DFE93EB" w14:textId="77777777" w:rsidR="00B01D46" w:rsidRDefault="0067013E">
      <w:pPr>
        <w:pStyle w:val="ListParagraph"/>
        <w:numPr>
          <w:ilvl w:val="0"/>
          <w:numId w:val="2"/>
        </w:numPr>
        <w:autoSpaceDE w:val="0"/>
        <w:autoSpaceDN w:val="0"/>
        <w:adjustRightInd w:val="0"/>
        <w:spacing w:after="0" w:line="480" w:lineRule="auto"/>
        <w:ind w:left="284" w:right="65" w:hanging="284"/>
        <w:contextualSpacing w:val="0"/>
        <w:rPr>
          <w:szCs w:val="24"/>
        </w:rPr>
      </w:pPr>
      <w:r>
        <w:rPr>
          <w:szCs w:val="24"/>
        </w:rPr>
        <w:t xml:space="preserve">self-directed learning, </w:t>
      </w:r>
    </w:p>
    <w:p w14:paraId="5A7D9941" w14:textId="77777777" w:rsidR="00B01D46" w:rsidRDefault="0067013E">
      <w:pPr>
        <w:pStyle w:val="ListParagraph"/>
        <w:numPr>
          <w:ilvl w:val="0"/>
          <w:numId w:val="2"/>
        </w:numPr>
        <w:autoSpaceDE w:val="0"/>
        <w:autoSpaceDN w:val="0"/>
        <w:adjustRightInd w:val="0"/>
        <w:spacing w:after="0" w:line="480" w:lineRule="auto"/>
        <w:ind w:left="284" w:right="65" w:hanging="284"/>
        <w:contextualSpacing w:val="0"/>
        <w:rPr>
          <w:szCs w:val="24"/>
        </w:rPr>
      </w:pPr>
      <w:r>
        <w:rPr>
          <w:szCs w:val="24"/>
        </w:rPr>
        <w:t xml:space="preserve">presentation, </w:t>
      </w:r>
    </w:p>
    <w:p w14:paraId="1F6D2842" w14:textId="77777777" w:rsidR="00B01D46" w:rsidRDefault="0067013E">
      <w:pPr>
        <w:pStyle w:val="ListParagraph"/>
        <w:numPr>
          <w:ilvl w:val="0"/>
          <w:numId w:val="2"/>
        </w:numPr>
        <w:autoSpaceDE w:val="0"/>
        <w:autoSpaceDN w:val="0"/>
        <w:adjustRightInd w:val="0"/>
        <w:spacing w:after="0" w:line="480" w:lineRule="auto"/>
        <w:ind w:left="284" w:right="65" w:hanging="284"/>
        <w:contextualSpacing w:val="0"/>
        <w:rPr>
          <w:szCs w:val="24"/>
        </w:rPr>
      </w:pPr>
      <w:r>
        <w:rPr>
          <w:szCs w:val="24"/>
        </w:rPr>
        <w:t>and review are all cyclical processes that are repeated.</w:t>
      </w:r>
    </w:p>
    <w:p w14:paraId="39AE370E"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Additionally, Santharooban and Premadasa (2015) aver that every phase requires a diversity of information literacy skills, including analytical, locating, comprehension, generating, presenting, and assessing skills. The student cannot perform effectively in PBLC if they have no training in ILS. Additionally, ILS is regarded as an essential component for successful independent learning in PBLC, according to Oker-Blom (1998). </w:t>
      </w:r>
    </w:p>
    <w:p w14:paraId="6B82EE13"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Similarly, Furuya et al (2017), assert that medical students' ILS on PBLC enhance their discerning abilities, which is a crucial ingredient of the successful application of evidence-based medicine. Medical practice greatly benefits from the capacity to competently find, evaluate, and integrate vast amounts of relevant medical literature, </w:t>
      </w:r>
      <w:r>
        <w:rPr>
          <w:rFonts w:ascii="Times New Roman" w:hAnsi="Times New Roman" w:cs="Times New Roman"/>
          <w:sz w:val="24"/>
          <w:szCs w:val="24"/>
        </w:rPr>
        <w:lastRenderedPageBreak/>
        <w:t>along with analyzing, integrating, and translating that information for application in clinical settings. Fossen (2018) concurs that ILS solidifies the correlation between a physician's clinical competence and the independent clinical evidence from the literature for decision-making that could mean a distinction between life and mortality for patients in potentially time-dependent circumstances. Additionally, Fossen (2018) contends that ILS understates the significance of developing research skills and their effect on the teaching and practice of evidence-based medicine.</w:t>
      </w:r>
    </w:p>
    <w:p w14:paraId="18F42E83"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This discussion indicates that students who have developed ILS can discover and critically evaluate several medical information materials—both printed and digital—to interpret the information contained and apply it in clinical settings and medical practice.</w:t>
      </w:r>
    </w:p>
    <w:p w14:paraId="6AA928BC" w14:textId="77777777" w:rsidR="00B01D46" w:rsidRDefault="00B01D46">
      <w:pPr>
        <w:autoSpaceDE w:val="0"/>
        <w:autoSpaceDN w:val="0"/>
        <w:adjustRightInd w:val="0"/>
        <w:spacing w:after="0" w:line="240" w:lineRule="auto"/>
        <w:ind w:right="65"/>
        <w:jc w:val="both"/>
        <w:rPr>
          <w:rFonts w:ascii="Times New Roman" w:hAnsi="Times New Roman" w:cs="Times New Roman"/>
          <w:sz w:val="24"/>
          <w:szCs w:val="24"/>
        </w:rPr>
      </w:pPr>
    </w:p>
    <w:p w14:paraId="768CA9A2" w14:textId="77777777" w:rsidR="00B01D46" w:rsidRDefault="0067013E">
      <w:pPr>
        <w:pStyle w:val="Heading3"/>
        <w:ind w:right="65"/>
      </w:pPr>
      <w:bookmarkStart w:id="133" w:name="_Toc165973002"/>
      <w:bookmarkStart w:id="134" w:name="_Toc165975723"/>
      <w:bookmarkStart w:id="135" w:name="_Toc165369118"/>
      <w:bookmarkStart w:id="136" w:name="_Toc165897958"/>
      <w:bookmarkStart w:id="137" w:name="_Toc164663960"/>
      <w:bookmarkStart w:id="138" w:name="_Toc165368302"/>
      <w:bookmarkStart w:id="139" w:name="_Toc184272834"/>
      <w:bookmarkStart w:id="140" w:name="_Toc165367576"/>
      <w:bookmarkStart w:id="141" w:name="_Toc165365105"/>
      <w:bookmarkStart w:id="142" w:name="_Toc165364838"/>
      <w:r>
        <w:t>1.1.3 Global Perspective of ILS in Medical Education</w:t>
      </w:r>
      <w:bookmarkEnd w:id="133"/>
      <w:bookmarkEnd w:id="134"/>
      <w:bookmarkEnd w:id="135"/>
      <w:bookmarkEnd w:id="136"/>
      <w:bookmarkEnd w:id="137"/>
      <w:bookmarkEnd w:id="138"/>
      <w:bookmarkEnd w:id="139"/>
      <w:bookmarkEnd w:id="140"/>
      <w:bookmarkEnd w:id="141"/>
      <w:bookmarkEnd w:id="142"/>
    </w:p>
    <w:p w14:paraId="0D5496ED" w14:textId="7777777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Since the founding of the Library Instruction Round Table by ACRL in 1977, ILS has been recognized as a learning objective in US higher education institutions (Goff, 2007). As a consequence, state university systems have been instrumental in helping to incorporate ILS into US educational courses.</w:t>
      </w:r>
    </w:p>
    <w:p w14:paraId="012ECB4F"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According to Markham, Larmer, and Ravitz, (2003), ILS is crucial for the implementation of a PBLC training program that is used in US medical schools. Additionally, Markham, Larmer, and Ravitz (2003) note that PBLC has been embraced by many medical schools as an active-learning strategy that fosters students' logical reasoning and skills for solving problems, these are key tenets of ILS. Moreover, in the US, the Association of College and Research Libraries (ACRL) under the guidance of ALA in the year 2000 developed information literacy competency standards for higher education (ACRL, 2000). The upshot is that the </w:t>
      </w:r>
      <w:r>
        <w:rPr>
          <w:rFonts w:ascii="Times New Roman" w:hAnsi="Times New Roman" w:cs="Times New Roman"/>
          <w:sz w:val="24"/>
          <w:szCs w:val="24"/>
        </w:rPr>
        <w:lastRenderedPageBreak/>
        <w:t>medical curriculum in the US now follows the ILS framework of the Association of College and Research Libraries (ACRL), which emphasizes meta-literacy and the capacity of students to become not only information consumers but also creators and active participants (ACRL, 2016; Wenger, 2014).</w:t>
      </w:r>
    </w:p>
    <w:p w14:paraId="7B3A3491"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Relatively, higher education institutions in Canada have elected to follow the ACRL, 2016nn guidelines for their ILS instruction and implementation in their education institutions, because of the absence of in-house ILS innovation (Goff, 2007). Medical schools in Canadian universities have made ILS training in line with ACRL's fundamental tenets in the teaching of medical students. According to Pines, Julien, and Boon (2015), individual skills gain is the most direct and commonly acknowledged advantage of a high degree of ILS among students in Canada because they can search for information in various databases of scholarly work, and write correct citations of sources. Correia, (2012) asserts that medical students are better equipped to handle the evolving information requirements occurring within the medical discipline of study thanks to lifelong ILS learned.</w:t>
      </w:r>
    </w:p>
    <w:p w14:paraId="02FF9897"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In the United Kingdom, according to the ACRL, (1977), ILS has been practiced as user education at universities. Additionally, according to Johnson and Webber (2003), ILS has been included in information technology skills throughout the history of university education. Furthermore, the Seven Pillars of Information Skills for Higher Education framework that was advanced by Standing Conference of National and University Libraries (SCONUL) in 2011 has been adopted as guidelines for ILS training by medical schools in universities in Britain and Ireland. (SCONUL, 2011),</w:t>
      </w:r>
    </w:p>
    <w:p w14:paraId="228D85E4"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bCs/>
          <w:sz w:val="24"/>
          <w:szCs w:val="24"/>
        </w:rPr>
        <w:t xml:space="preserve">In Australia, </w:t>
      </w:r>
      <w:r>
        <w:rPr>
          <w:rFonts w:ascii="Times New Roman" w:hAnsi="Times New Roman" w:cs="Times New Roman"/>
          <w:sz w:val="24"/>
          <w:szCs w:val="24"/>
        </w:rPr>
        <w:t xml:space="preserve">the information literacy skills are widely recognized, comprehended, and used in universities. The successful adoption of ILS in medical schools has been </w:t>
      </w:r>
      <w:r>
        <w:rPr>
          <w:rFonts w:ascii="Times New Roman" w:hAnsi="Times New Roman" w:cs="Times New Roman"/>
          <w:sz w:val="24"/>
          <w:szCs w:val="24"/>
        </w:rPr>
        <w:lastRenderedPageBreak/>
        <w:t xml:space="preserve">attributed to several strategies, according to Cock (2012). These include coordinated partnerships at the policy and planning levels, as well as the application, testing, and estimation of strategies that support ILS and its integration into medical program curricula at universities. Moreover, Information experts in Australia have linked the idea of lifelong learning in ILS training with medical curricula, this has, in effect, nurtured the partnership between librarians and medical schools by enhancing ILS adequacy (Rader, 2002). </w:t>
      </w:r>
    </w:p>
    <w:p w14:paraId="2A5635AD"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In China, Zeng et al. (2008) state that ILS in medical training institutions has been advocated by librarians. In addition, ILS seminars, ILS credit-bearing units, and ILS webinars have been introduced to facilitate ILS adequacy among students in Chinese universities (Zeng et al., 2008). Additionally, national ILS events and symposia have been used to raise awareness of the importance of ILS among medical professionals across China (Rader, 2002).</w:t>
      </w:r>
    </w:p>
    <w:p w14:paraId="48560105"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In Africa, educational institutions in many nations have launched ILS programs designed to give students adequate ILS competencies to effectively utilize information (Kanguha, 2016). Nevertheless, according to Lwehabura and Stilwell, (2008)</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ILS initiatives are yet to be taken seriously or put into practice in many African nations. Among all African nations, South Africa is ranked number one for ILS training in medical schools in higher education institutions. After the establishment of the Unity Government in South Africa in 1994, improving the literacy levels of citizens was seen as a priority. As a consequence, information literacy skills were recognized as a key to low literacy levels among South Africans (Nassimbeni &amp; De Jager, 2002). To raise the level of literacy among the populace, several initiatives aimed at developing ILS levels were launched. Consequently, the higher-education institution's ILS policy framework was adopted. The strategy was </w:t>
      </w:r>
      <w:r>
        <w:rPr>
          <w:rFonts w:ascii="Times New Roman" w:hAnsi="Times New Roman" w:cs="Times New Roman"/>
          <w:sz w:val="24"/>
          <w:szCs w:val="24"/>
        </w:rPr>
        <w:lastRenderedPageBreak/>
        <w:t xml:space="preserve">founded on three policy areas that have been authorized and synchronized in higher education institutions to train ILS personnel which are policies for education, ICT, and libraries and information services. </w:t>
      </w:r>
    </w:p>
    <w:p w14:paraId="2671E81F"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For example, at the Durban University of Technology and Cape Town University, health science faculties teach ILS as chapter topics in various modules. The integrated ILS topics are computer skills, information ethics, information retrieval, and information repackaging. According to </w:t>
      </w:r>
      <w:r>
        <w:rPr>
          <w:rFonts w:ascii="Times New Roman" w:hAnsi="Times New Roman" w:cs="Times New Roman"/>
          <w:color w:val="222222"/>
          <w:sz w:val="24"/>
          <w:szCs w:val="24"/>
          <w:shd w:val="clear" w:color="auto" w:fill="FFFFFF"/>
        </w:rPr>
        <w:t>Petrova et al</w:t>
      </w:r>
      <w:r>
        <w:rPr>
          <w:rFonts w:ascii="Times New Roman" w:hAnsi="Times New Roman" w:cs="Times New Roman"/>
          <w:sz w:val="24"/>
          <w:szCs w:val="24"/>
        </w:rPr>
        <w:t xml:space="preserve"> (2007), these ILS instructional programs provided by libraries don't, however, result in any kind of official certification/qualification. For instance, the faculties of health sciences at the Universities of Cape Town (UCT) and Pretoria (UP) have chosen to provide ILS using the train-the-trainer method. Whereby, UCT trains students in medicine who are required to share their newly gained knowledge and abilities with the society in which they will practice after completing their medical studies. On the other hand, UP identifies and trains a small number of students enrolled in medicine who will provide ILS programs to other students enrolled in the medical programs. </w:t>
      </w:r>
    </w:p>
    <w:p w14:paraId="7AE2B5CA"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In Niger, according to Baro, Endouware, and Ubogu (2011), there is a lack of any formal ILS training initiatives, which is why students at Niger Delta University's College of Health Sciences lacked the ILS necessary to effectively use information resources, hence, need for the creation and implementation of ILS training programs to provide medical students with the ILS they need to effectively utilize information, especially in the digital age.</w:t>
      </w:r>
    </w:p>
    <w:p w14:paraId="6664FFFD" w14:textId="77777777" w:rsidR="00B01D46" w:rsidRDefault="0067013E">
      <w:pPr>
        <w:spacing w:before="120" w:after="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Ghana, several initiatives to train ILS in medical schools in the form of computer skills, library user education, communication skills, and media skills have been enacted according to </w:t>
      </w:r>
      <w:r>
        <w:rPr>
          <w:rFonts w:ascii="Times New Roman" w:hAnsi="Times New Roman" w:cs="Times New Roman"/>
          <w:sz w:val="24"/>
          <w:szCs w:val="24"/>
        </w:rPr>
        <w:t>Dadzie, (2009)</w:t>
      </w:r>
      <w:r>
        <w:rPr>
          <w:rFonts w:ascii="Times New Roman" w:eastAsia="Times New Roman" w:hAnsi="Times New Roman" w:cs="Times New Roman"/>
          <w:sz w:val="24"/>
          <w:szCs w:val="24"/>
        </w:rPr>
        <w:t xml:space="preserve">. However, </w:t>
      </w:r>
      <w:r>
        <w:rPr>
          <w:rFonts w:ascii="Times New Roman" w:hAnsi="Times New Roman" w:cs="Times New Roman"/>
          <w:sz w:val="24"/>
          <w:szCs w:val="24"/>
        </w:rPr>
        <w:t>Dadzie</w:t>
      </w:r>
      <w:r>
        <w:rPr>
          <w:rFonts w:ascii="Times New Roman" w:eastAsia="Times New Roman" w:hAnsi="Times New Roman" w:cs="Times New Roman"/>
          <w:sz w:val="24"/>
          <w:szCs w:val="24"/>
        </w:rPr>
        <w:t xml:space="preserve">, (2009); Dennis, (2003) state </w:t>
      </w:r>
      <w:r>
        <w:rPr>
          <w:rFonts w:ascii="Times New Roman" w:eastAsia="Times New Roman" w:hAnsi="Times New Roman" w:cs="Times New Roman"/>
          <w:sz w:val="24"/>
          <w:szCs w:val="24"/>
        </w:rPr>
        <w:lastRenderedPageBreak/>
        <w:t xml:space="preserve">that inadequate qualified staff to train ILS, absence of collaboration, inadequate ILS curriculum and policy guidelines, insufficient technological support/infrastructure, and inadequate time allocated to the ILS training, continue to impede the full realization of ILS potentialities in Ghana’s medical schools. </w:t>
      </w:r>
    </w:p>
    <w:p w14:paraId="4BBD859F"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In Kenya, there is no existence of a national policy on ILS, hence activities linked to information literacy skills are handled by individual institutions. Both private and public institutions of higher learning provide ILS to fresh students through the Communication Skills unit (Kavulya, 2003; Amunga, 2010; Mugambi, 2013). The communication skills unit is designed and taught by instructors from the departments of Languages, or any other department that the university administration believes is best suited to develop and handle it. Additionally, the Kenya Medical Practitioners and Dentist Board (KMPDB) ensures that ILS is integrated into the medical training curriculum. KMPDB is a statutory body formed by Kenyan statute Cap 253 of the laws of Kenyan to oversight medical education training. KMPDB is tasked by the Act with ensuring that medical students complete their training with the requisite knowledge and skills. ILS has been named by the Act as a key ingredient in educating qualified medical professionals in Kenya (KMPDB, 2019).</w:t>
      </w:r>
    </w:p>
    <w:p w14:paraId="40BBF024" w14:textId="77777777" w:rsidR="00B01D46" w:rsidRDefault="00B01D46">
      <w:pPr>
        <w:spacing w:after="0" w:line="240" w:lineRule="auto"/>
        <w:ind w:right="65"/>
        <w:jc w:val="both"/>
        <w:rPr>
          <w:rFonts w:ascii="Times New Roman" w:hAnsi="Times New Roman" w:cs="Times New Roman"/>
          <w:sz w:val="24"/>
          <w:szCs w:val="24"/>
        </w:rPr>
      </w:pPr>
    </w:p>
    <w:p w14:paraId="04F86495" w14:textId="77777777" w:rsidR="00B01D46" w:rsidRDefault="0067013E">
      <w:pPr>
        <w:pStyle w:val="Heading2"/>
        <w:ind w:right="65"/>
      </w:pPr>
      <w:bookmarkStart w:id="143" w:name="_Toc165973003"/>
      <w:bookmarkStart w:id="144" w:name="_Toc165365106"/>
      <w:bookmarkStart w:id="145" w:name="_Toc165975724"/>
      <w:bookmarkStart w:id="146" w:name="_Toc164663961"/>
      <w:bookmarkStart w:id="147" w:name="_Toc165368303"/>
      <w:bookmarkStart w:id="148" w:name="_Toc165369119"/>
      <w:bookmarkStart w:id="149" w:name="_Toc165367577"/>
      <w:bookmarkStart w:id="150" w:name="_Toc165897959"/>
      <w:bookmarkStart w:id="151" w:name="_Toc165364839"/>
      <w:bookmarkStart w:id="152" w:name="_Toc184272835"/>
      <w:r>
        <w:t>1.2 Background to the Study</w:t>
      </w:r>
      <w:bookmarkEnd w:id="143"/>
      <w:bookmarkEnd w:id="144"/>
      <w:bookmarkEnd w:id="145"/>
      <w:bookmarkEnd w:id="146"/>
      <w:bookmarkEnd w:id="147"/>
      <w:bookmarkEnd w:id="148"/>
      <w:bookmarkEnd w:id="149"/>
      <w:bookmarkEnd w:id="150"/>
      <w:bookmarkEnd w:id="151"/>
      <w:bookmarkEnd w:id="152"/>
    </w:p>
    <w:p w14:paraId="483750E4" w14:textId="77777777" w:rsidR="00B01D46" w:rsidRDefault="0067013E">
      <w:pPr>
        <w:pStyle w:val="Default"/>
        <w:spacing w:line="480" w:lineRule="auto"/>
        <w:ind w:right="65"/>
        <w:jc w:val="both"/>
      </w:pPr>
      <w:r>
        <w:rPr>
          <w:color w:val="222222"/>
          <w:shd w:val="clear" w:color="auto" w:fill="FFFFFF"/>
        </w:rPr>
        <w:t xml:space="preserve">Khalid </w:t>
      </w:r>
      <w:r>
        <w:t xml:space="preserve">(2023) argue that for healthcare providers to exercise expert judgment when administering medications to patients, they need trustworthy, evidence-based information sources for their work in patient care, instruction, and research. It is critical to support medical staff and students in meeting their professional and occupational obligations by providing accurate medical information. The complex and dynamic medical environment that practitioners work in has led to an increase in </w:t>
      </w:r>
      <w:r>
        <w:lastRenderedPageBreak/>
        <w:t>the breadth and complexity of the information demands of health workers. Booth and Meijman (2011) observed that healthcare providers require quick access to information that can assist in immediately resolving their clinical concerns.</w:t>
      </w:r>
    </w:p>
    <w:p w14:paraId="0D270D7A" w14:textId="77777777" w:rsidR="00B01D46" w:rsidRDefault="0067013E">
      <w:pPr>
        <w:pStyle w:val="Default"/>
        <w:spacing w:before="120" w:line="480" w:lineRule="auto"/>
        <w:ind w:right="65"/>
        <w:jc w:val="both"/>
      </w:pPr>
      <w:r>
        <w:t>In Kenya, the primary goal of Kenya's tertiary health institutions is to deliver the highest quality health-care healthcare possible (Nyawira, 2021). The delivery of healthcare is anticipated to be in line with existing expertise, specialized knowledge, cutting-edge technology, and teaching hospitals are intended to act as manpower development and training hubs, as well as referral hospitals (Kenya Health Sector Survey, 2018).</w:t>
      </w:r>
    </w:p>
    <w:p w14:paraId="2E3CC236"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In addition, medical training in Kenya is intertwined with that of medical education in East Africa through the Makerere Medical College, Uganda. The subsequent evolution of the Makerere Medical College saw the founding of the University of East Africa in June 1963 with its constituent university colleges in Tanzania, Kenya, and Uganda (Makerere University, 2017). Later, the University of Nairobi was established by the University College of Nairobi. and established the faculty of medicine as part of the University College of Nairobi on the 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of March 1967 and the Kenyatta National Hospital (KNH) was the teaching hospital for the medical school, a situation that exists to this day (</w:t>
      </w:r>
      <w:r>
        <w:rPr>
          <w:rFonts w:ascii="Times New Roman" w:hAnsi="Times New Roman" w:cs="Times New Roman"/>
          <w:color w:val="333333"/>
          <w:sz w:val="24"/>
          <w:szCs w:val="24"/>
          <w:shd w:val="clear" w:color="auto" w:fill="FFFFFF"/>
        </w:rPr>
        <w:t>Chege et al, 2017)</w:t>
      </w:r>
      <w:r>
        <w:rPr>
          <w:rFonts w:ascii="Times New Roman" w:hAnsi="Times New Roman" w:cs="Times New Roman"/>
          <w:sz w:val="24"/>
          <w:szCs w:val="24"/>
        </w:rPr>
        <w:t>. The following academic programs are offered by the College of Health Sciences: clinical research, HIV prevention &amp; research center, nursing sciences, medicine, pharmacy, dentistry sciences, nephropathy, and public health (</w:t>
      </w:r>
      <w:r>
        <w:rPr>
          <w:rFonts w:ascii="Times New Roman" w:hAnsi="Times New Roman" w:cs="Times New Roman"/>
          <w:color w:val="333333"/>
          <w:sz w:val="24"/>
          <w:szCs w:val="24"/>
          <w:shd w:val="clear" w:color="auto" w:fill="FFFFFF"/>
        </w:rPr>
        <w:t>Chege et al, 2017)</w:t>
      </w:r>
      <w:r>
        <w:rPr>
          <w:rFonts w:ascii="Times New Roman" w:hAnsi="Times New Roman" w:cs="Times New Roman"/>
          <w:sz w:val="24"/>
          <w:szCs w:val="24"/>
        </w:rPr>
        <w:t xml:space="preserve">. The second university to offer medical training in Kenya is Moi University. At Moi University all medical courses are managed under the College of Health Sciences (CHS). The College was formed in 2011 and has four schools; medicine, nursing, public health and dentistry, </w:t>
      </w:r>
      <w:r>
        <w:rPr>
          <w:rFonts w:ascii="Times New Roman" w:hAnsi="Times New Roman" w:cs="Times New Roman"/>
          <w:color w:val="000000"/>
          <w:sz w:val="24"/>
          <w:szCs w:val="24"/>
          <w:shd w:val="clear" w:color="auto" w:fill="FFFFFF"/>
        </w:rPr>
        <w:lastRenderedPageBreak/>
        <w:t xml:space="preserve">and the recently established Institute of Biomedical Informatics (IBMI) in line with the University's strategic plan of 2005-2015 </w:t>
      </w:r>
      <w:r>
        <w:rPr>
          <w:rFonts w:ascii="Times New Roman" w:hAnsi="Times New Roman" w:cs="Times New Roman"/>
          <w:sz w:val="24"/>
          <w:szCs w:val="24"/>
        </w:rPr>
        <w:t>(</w:t>
      </w:r>
      <w:r>
        <w:rPr>
          <w:rFonts w:ascii="Times New Roman" w:hAnsi="Times New Roman" w:cs="Times New Roman"/>
          <w:color w:val="333333"/>
          <w:sz w:val="24"/>
          <w:szCs w:val="24"/>
          <w:shd w:val="clear" w:color="auto" w:fill="FFFFFF"/>
        </w:rPr>
        <w:t>Chege et al, 2017)</w:t>
      </w:r>
      <w:r>
        <w:rPr>
          <w:rFonts w:ascii="Times New Roman" w:hAnsi="Times New Roman" w:cs="Times New Roman"/>
          <w:sz w:val="24"/>
          <w:szCs w:val="24"/>
        </w:rPr>
        <w:t>.</w:t>
      </w:r>
    </w:p>
    <w:p w14:paraId="6BF350A1"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Progressively over the years, eleven universities have been registered by the regulator KMPDB, to offer medical training and related courses. All these universities have their medical training schools affiliated with different referral hospitals where teaching and research take place (</w:t>
      </w:r>
      <w:r>
        <w:rPr>
          <w:rFonts w:ascii="Times New Roman" w:hAnsi="Times New Roman" w:cs="Times New Roman"/>
          <w:color w:val="222222"/>
          <w:sz w:val="24"/>
          <w:szCs w:val="24"/>
          <w:shd w:val="clear" w:color="auto" w:fill="FFFFFF"/>
        </w:rPr>
        <w:t>Qureshi, &amp; Oluoch-Olunya, 2010)</w:t>
      </w:r>
      <w:r>
        <w:rPr>
          <w:rFonts w:ascii="Times New Roman" w:hAnsi="Times New Roman" w:cs="Times New Roman"/>
          <w:sz w:val="24"/>
          <w:szCs w:val="24"/>
        </w:rPr>
        <w:t>).</w:t>
      </w:r>
    </w:p>
    <w:p w14:paraId="70692779" w14:textId="77777777" w:rsidR="00B01D46" w:rsidRDefault="0067013E">
      <w:pPr>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In the meantime, Kenyan universities offering medical training have adopted two curricula modes mentioned earlier namely PBLC and CC.  The two selected universities namely University of Nairobi and Moi University adopted for this study have espoused curricula based on Conventional Curriculum (CC) and Problem-Based Learning Curriculum (PBLC) hence best placed to give information on how to effectively enhance and deliver ILS to medical undergraduate students. Additionally, the University of Nairobi and Moi University were chosen for this study because they are the first universities to offer medical training in Kenya and hence, overtime they have learnt the best practices in medical training. </w:t>
      </w:r>
      <w:r>
        <w:rPr>
          <w:rFonts w:ascii="Times New Roman" w:eastAsia="Times New Roman" w:hAnsi="Times New Roman" w:cs="Times New Roman"/>
          <w:sz w:val="24"/>
          <w:szCs w:val="24"/>
        </w:rPr>
        <w:t>In addition, they serve as benchmark for the institutions of higher learning that have stated or want to start training medical doctors in Kenya.</w:t>
      </w:r>
    </w:p>
    <w:p w14:paraId="0D1C37E2" w14:textId="77777777" w:rsidR="00B01D46" w:rsidRDefault="0067013E">
      <w:pPr>
        <w:pStyle w:val="Heading3"/>
        <w:ind w:right="65"/>
      </w:pPr>
      <w:bookmarkStart w:id="153" w:name="_Toc165973004"/>
      <w:bookmarkStart w:id="154" w:name="_Toc165975725"/>
      <w:bookmarkStart w:id="155" w:name="_Toc165364840"/>
      <w:bookmarkStart w:id="156" w:name="_Toc165367578"/>
      <w:bookmarkStart w:id="157" w:name="_Toc165369120"/>
      <w:bookmarkStart w:id="158" w:name="_Toc165368304"/>
      <w:bookmarkStart w:id="159" w:name="_Toc165365107"/>
      <w:bookmarkStart w:id="160" w:name="_Toc165897960"/>
      <w:bookmarkStart w:id="161" w:name="_Toc184272836"/>
      <w:bookmarkStart w:id="162" w:name="_Toc164663962"/>
      <w:r>
        <w:t>1.2.1 University of Nairobi College of Health Sciences (CHS)</w:t>
      </w:r>
      <w:bookmarkEnd w:id="153"/>
      <w:bookmarkEnd w:id="154"/>
      <w:bookmarkEnd w:id="155"/>
      <w:bookmarkEnd w:id="156"/>
      <w:bookmarkEnd w:id="157"/>
      <w:bookmarkEnd w:id="158"/>
      <w:bookmarkEnd w:id="159"/>
      <w:bookmarkEnd w:id="160"/>
      <w:bookmarkEnd w:id="161"/>
      <w:bookmarkEnd w:id="162"/>
    </w:p>
    <w:p w14:paraId="0E989460" w14:textId="77777777" w:rsidR="00B01D46" w:rsidRDefault="0067013E">
      <w:pPr>
        <w:spacing w:after="0" w:line="480" w:lineRule="auto"/>
        <w:ind w:right="65"/>
        <w:jc w:val="both"/>
        <w:rPr>
          <w:rFonts w:ascii="Times New Roman" w:hAnsi="Times New Roman" w:cs="Times New Roman"/>
          <w:bCs/>
          <w:sz w:val="24"/>
          <w:szCs w:val="24"/>
        </w:rPr>
      </w:pPr>
      <w:r>
        <w:rPr>
          <w:rFonts w:ascii="Times New Roman" w:hAnsi="Times New Roman" w:cs="Times New Roman"/>
          <w:bCs/>
          <w:sz w:val="24"/>
          <w:szCs w:val="24"/>
        </w:rPr>
        <w:t>The mission of the University of Nairobi’s CHS is to provide high-quality medical education and instruction by fostering the development, safeguarding, integration, transfer, and use of health knowledge with the vision of becoming a globally renowned center committed to the highest standards of academic and professional healthcare (</w:t>
      </w:r>
      <w:r>
        <w:rPr>
          <w:rFonts w:ascii="Times New Roman" w:hAnsi="Times New Roman" w:cs="Times New Roman"/>
          <w:color w:val="222222"/>
          <w:sz w:val="24"/>
          <w:szCs w:val="24"/>
          <w:shd w:val="clear" w:color="auto" w:fill="FFFFFF"/>
        </w:rPr>
        <w:t>Ojuka, 2021</w:t>
      </w:r>
      <w:r>
        <w:rPr>
          <w:rFonts w:ascii="Times New Roman" w:hAnsi="Times New Roman" w:cs="Times New Roman"/>
          <w:bCs/>
          <w:sz w:val="24"/>
          <w:szCs w:val="24"/>
        </w:rPr>
        <w:t xml:space="preserve">). The college strives to foster principles that are essential to fulfilling its mission to accomplish the stated vision and goal </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Ojuka, 2021</w:t>
      </w:r>
      <w:r>
        <w:rPr>
          <w:rFonts w:ascii="Times New Roman" w:hAnsi="Times New Roman" w:cs="Times New Roman"/>
          <w:sz w:val="24"/>
          <w:szCs w:val="24"/>
        </w:rPr>
        <w:t>).</w:t>
      </w:r>
    </w:p>
    <w:p w14:paraId="0E80CDFE"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University of Nairobi College of Health Sciences uses a blended curriculum that is </w:t>
      </w:r>
      <w:r>
        <w:rPr>
          <w:rFonts w:ascii="Times New Roman" w:hAnsi="Times New Roman" w:cs="Times New Roman"/>
          <w:iCs/>
          <w:color w:val="000000"/>
          <w:sz w:val="24"/>
          <w:szCs w:val="24"/>
        </w:rPr>
        <w:t xml:space="preserve">early patient contact </w:t>
      </w:r>
      <w:r>
        <w:rPr>
          <w:rFonts w:ascii="Times New Roman" w:hAnsi="Times New Roman" w:cs="Times New Roman"/>
          <w:color w:val="000000"/>
          <w:sz w:val="24"/>
          <w:szCs w:val="24"/>
        </w:rPr>
        <w:t xml:space="preserve">and </w:t>
      </w:r>
      <w:r>
        <w:rPr>
          <w:rFonts w:ascii="Times New Roman" w:hAnsi="Times New Roman" w:cs="Times New Roman"/>
          <w:iCs/>
          <w:color w:val="000000"/>
          <w:sz w:val="24"/>
          <w:szCs w:val="24"/>
        </w:rPr>
        <w:t xml:space="preserve">early community exposure </w:t>
      </w:r>
      <w:r>
        <w:rPr>
          <w:rFonts w:ascii="Times New Roman" w:hAnsi="Times New Roman" w:cs="Times New Roman"/>
          <w:color w:val="000000"/>
          <w:sz w:val="24"/>
          <w:szCs w:val="24"/>
        </w:rPr>
        <w:t xml:space="preserve">(Gatero, 2011). Program objectives include exposing students to the work of practitioners and patient care during the initial stages of their education, teaching them interpersonal skills, inspiring them to pursue fundamental scientific courses, and integrating theory and practice (Gatero, 2011). </w:t>
      </w:r>
      <w:r>
        <w:rPr>
          <w:rFonts w:ascii="Times New Roman" w:hAnsi="Times New Roman" w:cs="Times New Roman"/>
          <w:sz w:val="24"/>
          <w:szCs w:val="24"/>
        </w:rPr>
        <w:t xml:space="preserve">Given the huge amount of information available in the field of medical sciences (Bazrafkan and </w:t>
      </w:r>
      <w:r>
        <w:rPr>
          <w:rFonts w:ascii="Times New Roman" w:hAnsi="Times New Roman" w:cs="Times New Roman"/>
          <w:color w:val="222222"/>
          <w:sz w:val="24"/>
          <w:szCs w:val="24"/>
          <w:shd w:val="clear" w:color="auto" w:fill="FFFFFF"/>
        </w:rPr>
        <w:t>Pakravan,</w:t>
      </w:r>
      <w:r>
        <w:rPr>
          <w:rFonts w:ascii="Times New Roman" w:hAnsi="Times New Roman" w:cs="Times New Roman"/>
          <w:sz w:val="24"/>
          <w:szCs w:val="24"/>
        </w:rPr>
        <w:t xml:space="preserve"> 2017), ILS is essential among undergraduate medical students to enable them to retrieve essential information from the mass of available material. Hence, it is critical for medical training institutions that have embraced the blended curriculum to incorporate ILS into their training for students to recognize, analyze, and apply relevant information correctly.</w:t>
      </w:r>
    </w:p>
    <w:p w14:paraId="7E6B35B4" w14:textId="77777777" w:rsidR="00B01D46" w:rsidRDefault="00B01D46">
      <w:pPr>
        <w:spacing w:after="0" w:line="240" w:lineRule="auto"/>
        <w:ind w:right="65"/>
        <w:jc w:val="both"/>
        <w:rPr>
          <w:rFonts w:ascii="Times New Roman" w:hAnsi="Times New Roman" w:cs="Times New Roman"/>
          <w:sz w:val="24"/>
          <w:szCs w:val="24"/>
        </w:rPr>
      </w:pPr>
    </w:p>
    <w:p w14:paraId="71F82F93" w14:textId="77777777" w:rsidR="00B01D46" w:rsidRDefault="0067013E">
      <w:pPr>
        <w:pStyle w:val="Heading3"/>
        <w:ind w:right="65"/>
      </w:pPr>
      <w:bookmarkStart w:id="163" w:name="_Toc165973005"/>
      <w:bookmarkStart w:id="164" w:name="_Toc165368305"/>
      <w:bookmarkStart w:id="165" w:name="_Toc165975726"/>
      <w:bookmarkStart w:id="166" w:name="_Toc165897961"/>
      <w:bookmarkStart w:id="167" w:name="_Toc165364841"/>
      <w:bookmarkStart w:id="168" w:name="_Toc165367579"/>
      <w:bookmarkStart w:id="169" w:name="_Toc165365108"/>
      <w:bookmarkStart w:id="170" w:name="_Toc164663963"/>
      <w:bookmarkStart w:id="171" w:name="_Toc165369121"/>
      <w:bookmarkStart w:id="172" w:name="_Toc184272837"/>
      <w:r>
        <w:t>1.2.2 Moi University College of Health Sciences</w:t>
      </w:r>
      <w:bookmarkEnd w:id="163"/>
      <w:bookmarkEnd w:id="164"/>
      <w:bookmarkEnd w:id="165"/>
      <w:bookmarkEnd w:id="166"/>
      <w:bookmarkEnd w:id="167"/>
      <w:bookmarkEnd w:id="168"/>
      <w:bookmarkEnd w:id="169"/>
      <w:bookmarkEnd w:id="170"/>
      <w:bookmarkEnd w:id="171"/>
      <w:bookmarkEnd w:id="172"/>
    </w:p>
    <w:p w14:paraId="59461DE6" w14:textId="7777777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Moi University’s CHS adopted the Problem-Based Learning Curriculum (PBLC) since its inception. The PBLC ensures that students learn basic sciences by solving problems through analyzing typical cases. Also, students' curiosity and initiative are core to learning, with the lecturer acting as a resource, facilitator, and guide (</w:t>
      </w:r>
      <w:r>
        <w:rPr>
          <w:rFonts w:ascii="Times New Roman" w:hAnsi="Times New Roman" w:cs="Times New Roman"/>
          <w:color w:val="333333"/>
          <w:sz w:val="24"/>
          <w:szCs w:val="24"/>
          <w:shd w:val="clear" w:color="auto" w:fill="FFFFFF"/>
        </w:rPr>
        <w:t>Amalba, et al, 2016</w:t>
      </w:r>
      <w:r>
        <w:rPr>
          <w:rFonts w:ascii="Times New Roman" w:hAnsi="Times New Roman" w:cs="Times New Roman"/>
          <w:sz w:val="24"/>
          <w:szCs w:val="24"/>
        </w:rPr>
        <w:t xml:space="preserve">). </w:t>
      </w:r>
    </w:p>
    <w:p w14:paraId="71F5F85D" w14:textId="77777777" w:rsidR="00B01D46" w:rsidRDefault="0067013E">
      <w:pPr>
        <w:pStyle w:val="NormalWeb"/>
        <w:spacing w:before="120" w:beforeAutospacing="0" w:after="0" w:afterAutospacing="0" w:line="480" w:lineRule="auto"/>
        <w:ind w:right="65"/>
        <w:jc w:val="both"/>
        <w:rPr>
          <w:rFonts w:eastAsiaTheme="minorHAnsi"/>
          <w:color w:val="000000"/>
        </w:rPr>
      </w:pPr>
      <w:r>
        <w:rPr>
          <w:rFonts w:eastAsiaTheme="minorHAnsi"/>
          <w:color w:val="000000"/>
        </w:rPr>
        <w:t>The adoption of a learning initiative known as COBES (Community-Based Education and Service) has served as the cornerstone of this PBLC program's success. The COBES program exposes students to the public and primary healthcare requirements of rural areas by using the community as a learning environment (</w:t>
      </w:r>
      <w:r>
        <w:rPr>
          <w:color w:val="333333"/>
          <w:shd w:val="clear" w:color="auto" w:fill="FFFFFF"/>
        </w:rPr>
        <w:t>Amalba, et al, 2016</w:t>
      </w:r>
      <w:r>
        <w:rPr>
          <w:rFonts w:eastAsiaTheme="minorHAnsi"/>
          <w:color w:val="000000"/>
        </w:rPr>
        <w:t xml:space="preserve">). In the delivery of healthcare, COBES supports the roles played by physicians, healthcare providers, government, and civil society. Learners are assigned to a community for four (4) weeks during the COBES program, with </w:t>
      </w:r>
      <w:r>
        <w:rPr>
          <w:rFonts w:eastAsiaTheme="minorHAnsi"/>
          <w:color w:val="000000"/>
        </w:rPr>
        <w:lastRenderedPageBreak/>
        <w:t xml:space="preserve">predetermined goals that are by the objectives of Moi University's school of Health Science.  </w:t>
      </w:r>
    </w:p>
    <w:p w14:paraId="0445F2A3" w14:textId="77777777" w:rsidR="00B01D46" w:rsidRDefault="0067013E">
      <w:pPr>
        <w:pStyle w:val="NormalWeb"/>
        <w:spacing w:before="120" w:beforeAutospacing="0" w:after="0" w:afterAutospacing="0" w:line="480" w:lineRule="auto"/>
        <w:ind w:right="65"/>
        <w:jc w:val="both"/>
      </w:pPr>
      <w:r>
        <w:t xml:space="preserve">The experience element and the service component are the two main components of COBES. Students must reside in the designated communities for the hands-on component, research sociocultural, socioeconomic, and health issues, and offer workable, affordable solutions and interventions that advance community development and health. Students must do tangible, short- to medium-term services that enhance gender, health, socioeconomic, and sociocultural inequities, environmental sanitation, and behavior changes towards health and education </w:t>
      </w:r>
      <w:r>
        <w:rPr>
          <w:rFonts w:eastAsiaTheme="minorHAnsi"/>
          <w:color w:val="000000"/>
        </w:rPr>
        <w:t>(</w:t>
      </w:r>
      <w:r>
        <w:rPr>
          <w:color w:val="333333"/>
          <w:shd w:val="clear" w:color="auto" w:fill="FFFFFF"/>
        </w:rPr>
        <w:t>Amalba, et al, 2016</w:t>
      </w:r>
      <w:r>
        <w:rPr>
          <w:rFonts w:eastAsiaTheme="minorHAnsi"/>
          <w:color w:val="000000"/>
        </w:rPr>
        <w:t>).</w:t>
      </w:r>
      <w:r>
        <w:t xml:space="preserve"> As a result, the students identify problems that the community is experiencing, create a study plan, collaborate with district health management teams, and carry out activities. They carry out monitoring, keep track of diseases, and are expected to act swiftly in the event of an epidemic.</w:t>
      </w:r>
    </w:p>
    <w:p w14:paraId="0A7A0B98"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 discussion on COBES has demonstrated that its primary goal is to help medical students become lifelong learners by teaching them how to be independent learners and assist them engage in self-directed learning. Medical students must develop a set of competencies to quickly and effectively extract pertinent information, from varieties of information sources, and critically assess the accuracy, validity, and authenticity of information if they are to complete independent learning in an environment of abundant information. These key skills are anchored by proficiency in ILS because ILS are the foundational components of independent self-directed learning and life-long learning.</w:t>
      </w:r>
    </w:p>
    <w:p w14:paraId="071B786D" w14:textId="77777777" w:rsidR="00B01D46" w:rsidRDefault="00B01D46">
      <w:pPr>
        <w:autoSpaceDE w:val="0"/>
        <w:autoSpaceDN w:val="0"/>
        <w:adjustRightInd w:val="0"/>
        <w:spacing w:after="0" w:line="240" w:lineRule="auto"/>
        <w:ind w:right="65"/>
        <w:jc w:val="both"/>
        <w:rPr>
          <w:rFonts w:ascii="Times New Roman" w:hAnsi="Times New Roman" w:cs="Times New Roman"/>
          <w:sz w:val="24"/>
          <w:szCs w:val="24"/>
        </w:rPr>
      </w:pPr>
    </w:p>
    <w:p w14:paraId="43E79589" w14:textId="77777777" w:rsidR="00B01D46" w:rsidRDefault="0067013E">
      <w:pPr>
        <w:pStyle w:val="Heading2"/>
        <w:ind w:right="65"/>
      </w:pPr>
      <w:bookmarkStart w:id="173" w:name="_Toc165975727"/>
      <w:bookmarkStart w:id="174" w:name="_Toc164663964"/>
      <w:bookmarkStart w:id="175" w:name="_Toc165365109"/>
      <w:bookmarkStart w:id="176" w:name="_Toc184272838"/>
      <w:bookmarkStart w:id="177" w:name="_Toc165367580"/>
      <w:bookmarkStart w:id="178" w:name="_Toc165368306"/>
      <w:bookmarkStart w:id="179" w:name="_Toc165973006"/>
      <w:bookmarkStart w:id="180" w:name="_Toc165897962"/>
      <w:bookmarkStart w:id="181" w:name="_Toc165369122"/>
      <w:bookmarkStart w:id="182" w:name="_Toc165364842"/>
      <w:r>
        <w:lastRenderedPageBreak/>
        <w:t>1.3 Statement of the Problem</w:t>
      </w:r>
      <w:bookmarkEnd w:id="173"/>
      <w:bookmarkEnd w:id="174"/>
      <w:bookmarkEnd w:id="175"/>
      <w:bookmarkEnd w:id="176"/>
      <w:bookmarkEnd w:id="177"/>
      <w:bookmarkEnd w:id="178"/>
      <w:bookmarkEnd w:id="179"/>
      <w:bookmarkEnd w:id="180"/>
      <w:bookmarkEnd w:id="181"/>
      <w:bookmarkEnd w:id="182"/>
    </w:p>
    <w:p w14:paraId="7AE330B0" w14:textId="0B424122" w:rsidR="00C54735" w:rsidRDefault="0067013E">
      <w:pPr>
        <w:pStyle w:val="NormalWeb"/>
        <w:spacing w:before="0" w:beforeAutospacing="0" w:after="0" w:afterAutospacing="0" w:line="480" w:lineRule="auto"/>
        <w:ind w:right="65"/>
        <w:jc w:val="both"/>
      </w:pPr>
      <w:r>
        <w:rPr>
          <w:color w:val="000000"/>
        </w:rPr>
        <w:t xml:space="preserve">ILS are crucial for facilitating lifelong learning, and personal and economic growth (Tewell, 2015). Similarly, ILS are essential in higher education institutions because they help students learn more efficiently, foster creative thinking, and produce excellent academic materials for their courses of study (Salleh et al, 2011). ILS is utilized by all academic fields, including the humanities, social sciences, engineering, technology, among others. A successful ILS initiative enables a learner to elucidate the problem, formulate a plan for gathering information, locate and make use of resources, apply and combine information, and carry out specific information assessment tasks for lifelong learning </w:t>
      </w:r>
      <w:r>
        <w:t xml:space="preserve">(Ojedokun, 2014; Gatero, 2011 &amp; Mugambi, 2017). A successful ILS initiative among students is dependent upon the enactment and implementation of an ILS policy and curriculum (Kamau &amp; Kanyengo, 2020). </w:t>
      </w:r>
    </w:p>
    <w:p w14:paraId="574888A2" w14:textId="77777777" w:rsidR="00C54735" w:rsidRDefault="00C54735">
      <w:pPr>
        <w:pStyle w:val="NormalWeb"/>
        <w:spacing w:before="0" w:beforeAutospacing="0" w:after="0" w:afterAutospacing="0" w:line="480" w:lineRule="auto"/>
        <w:ind w:right="65"/>
        <w:jc w:val="both"/>
      </w:pPr>
    </w:p>
    <w:p w14:paraId="26607B7E" w14:textId="78CFCF16" w:rsidR="00B01D46" w:rsidRDefault="0067013E">
      <w:pPr>
        <w:pStyle w:val="NormalWeb"/>
        <w:spacing w:before="0" w:beforeAutospacing="0" w:after="0" w:afterAutospacing="0" w:line="480" w:lineRule="auto"/>
        <w:ind w:right="65"/>
        <w:jc w:val="both"/>
      </w:pPr>
      <w:r>
        <w:t>The Commission for University Education (CUE) in 2014 developed standards and guidelines for academic libraries, which indicated that ILS should be integrated into the curriculum and should be instructed by a librarian (CUE, 2014). However, a study conducted by Kamau and Kanyengo (2020) on ILS policies and practices in health sciences and medical libraries in Kenya found that medical training institutions like Moi University’s College of Health Sciences and the University of Nairobi's College of Health Sciences, among others, have not fully integrated ILS into their curricula, and they are yet to develop a comprehensive ILS policy to guide the development of an ILS curriculum and structure for its implementation. Save for the Communication Skills Unit taught to first-year students. </w:t>
      </w:r>
    </w:p>
    <w:p w14:paraId="5E6E58A1" w14:textId="77777777" w:rsidR="00B01D46" w:rsidRDefault="0067013E">
      <w:pPr>
        <w:pStyle w:val="NormalWeb"/>
        <w:spacing w:line="480" w:lineRule="auto"/>
        <w:ind w:right="65"/>
        <w:jc w:val="both"/>
      </w:pPr>
      <w:bookmarkStart w:id="183" w:name="_Hlk147908624"/>
      <w:r>
        <w:t xml:space="preserve">Furthermore, successful delivery and enhancement of ILS among medical undergraduate students is dependent on the collaborative partnerships between </w:t>
      </w:r>
      <w:r>
        <w:lastRenderedPageBreak/>
        <w:t>librarians and faculty, librarians’ advocacy initiatives, and students’ eagerness to learn and understand ILS (Gatero, 2011). Moreover, Ondari-Okemwa's (2016) study on developing digital information literacy at institutions of higher learning in Sub-Saharan Africa revealed that many learners in the medical field fail to gain sufficient ILS because of a negative attitude towards ILS instruction and learning. Similarly, many students at the University of Nairobi have been found to lack the sophisticated skills that are needed to exploit the university libraries information resources, both print and online, because of a negative attitude towards ILS and the misguided assumption that since they can Google, they will have sufficient ILS (Kanyengo &amp; Kamau, 2020; Gatero, 2011; Kavulya, 2003). In addition, literature indicate that attitude and understanding is one of the most important characteristics that has not been well addressed in many related ILS research, particularly in the African environment and Kenya in particular (</w:t>
      </w:r>
      <w:r>
        <w:rPr>
          <w:color w:val="222222"/>
          <w:shd w:val="clear" w:color="auto" w:fill="FFFFFF"/>
        </w:rPr>
        <w:t>Adigun &amp; Tella, 2021).</w:t>
      </w:r>
    </w:p>
    <w:p w14:paraId="4A4AF9BF" w14:textId="77777777" w:rsidR="00B01D46" w:rsidRDefault="0067013E">
      <w:pPr>
        <w:pStyle w:val="Default"/>
        <w:spacing w:before="120" w:line="480" w:lineRule="auto"/>
        <w:ind w:right="65"/>
        <w:jc w:val="both"/>
      </w:pPr>
      <w:r>
        <w:t xml:space="preserve">Moreover, medical training and practice require students to update their information continuously for evidence-based medicine (Gatero, 2011). </w:t>
      </w:r>
      <w:bookmarkStart w:id="184" w:name="_Hlk132694002"/>
      <w:r>
        <w:t xml:space="preserve">However, the growing size and complexity of library collections coupled with the information </w:t>
      </w:r>
      <w:r>
        <w:rPr>
          <w:color w:val="auto"/>
        </w:rPr>
        <w:t xml:space="preserve">explosion and </w:t>
      </w:r>
      <w:r>
        <w:t>with the rapid pace of developments in ICT</w:t>
      </w:r>
      <w:r>
        <w:rPr>
          <w:color w:val="auto"/>
        </w:rPr>
        <w:t xml:space="preserve"> </w:t>
      </w:r>
      <w:bookmarkEnd w:id="184"/>
      <w:r>
        <w:rPr>
          <w:color w:val="auto"/>
        </w:rPr>
        <w:t>pose a challenge to medical trainees in University of Nairobi and Moi University. Additionally</w:t>
      </w:r>
      <w:r>
        <w:t xml:space="preserve">, despite the critical role that ILS plays in student learning, Momanyi, Toroitich and Onderi (2018) study on the utilization of ILS among undergraduate, points out that among the barriers to the efficient utilization of information especially in developing countries is the relatively low level of information literacy skills. Without the ability to manipulate and use information effectively, investments in both print and electronic-based resources may be a waste.  Similarly, Kavulya, 2003; Mutula, 2006; Amunga, 2011; Lwehabura, 2018; Gatero, 2011; Mugambi, 2017; Horo (2016) corroborate this claim by stating </w:t>
      </w:r>
      <w:r>
        <w:lastRenderedPageBreak/>
        <w:t xml:space="preserve">that even though lots of information resources and services are available in Kenya, they are not fully utilized due to absence of information literacy skills. </w:t>
      </w:r>
    </w:p>
    <w:bookmarkEnd w:id="183"/>
    <w:p w14:paraId="395BE563"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Interestingly, Mugambi (2013) in his study on the assessment of information literacy competencies of practicing nurses at Kenyatta National Hospital, Kenya, revealed that practicing nurses at Kenyatta National Hospital had four professional information needs namely; patient care, in-house presentation, presentation at a professional meeting/seminar and scholarship application/career development, in this regard the nurses preferred using human sources instead of online databases or print sources that were readily available. This can arguably be attributed to inadequate information literacy skills which comprise searching, retrieving, evaluating, and utilization of both print and online medical databases. </w:t>
      </w:r>
      <w:r>
        <w:rPr>
          <w:rFonts w:ascii="Times New Roman" w:hAnsi="Times New Roman" w:cs="Times New Roman"/>
          <w:color w:val="222222"/>
          <w:sz w:val="24"/>
          <w:szCs w:val="24"/>
          <w:shd w:val="clear" w:color="auto" w:fill="FFFFFF"/>
        </w:rPr>
        <w:t>Sutton (2011)</w:t>
      </w:r>
      <w:r>
        <w:rPr>
          <w:rFonts w:ascii="Times New Roman" w:hAnsi="Times New Roman" w:cs="Times New Roman"/>
          <w:sz w:val="24"/>
          <w:szCs w:val="24"/>
        </w:rPr>
        <w:t xml:space="preserve"> echo these sentiments by asserting that most medical students are unable to refine search strategies, criteria for selecting search terms, and appropriate information used to avoid plagiarizing published scientific works. They cannot also apply their acquired information literacy skills to assess the reliability of online information sources.</w:t>
      </w:r>
    </w:p>
    <w:p w14:paraId="157BC801" w14:textId="189B83DD" w:rsidR="00B01D46" w:rsidRDefault="0067013E">
      <w:pPr>
        <w:tabs>
          <w:tab w:val="left" w:pos="3060"/>
        </w:tabs>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Additionally, the ILS of undergraduate students pursuing medical-related courses is dependent on their capability to think critically and their analytical problem-solving competencies. Kanguha (2016) asserts that students studying medicine require critical discerning skills because medicine is an inquiry-based discipline. Critical thinking and problem-solving are key tenets of ILS. Additionally, a critical scrutiny of the available literature Kanguha (2016) divulges that while there is an increasing push for ILS in Kenya's universities, there are only meager attempts to understand how undergraduate medical students in their final year of study are utilizing learned ILS to complete their coursework independently and develop into lifelong learners (Momanyi, Toroitich, &amp; Onderi, 2018). This study, therefore, assessed the ILS </w:t>
      </w:r>
      <w:r>
        <w:rPr>
          <w:rFonts w:ascii="Times New Roman" w:hAnsi="Times New Roman" w:cs="Times New Roman"/>
          <w:sz w:val="24"/>
          <w:szCs w:val="24"/>
        </w:rPr>
        <w:lastRenderedPageBreak/>
        <w:t>among the medical undergraduate students at the University of Nairobi and Moi University. It envisages to come up with a framework to enhance the adequacy of ILS among undergraduate medical students.</w:t>
      </w:r>
    </w:p>
    <w:p w14:paraId="48B49B50" w14:textId="77777777" w:rsidR="00B01D46" w:rsidRDefault="00B01D46">
      <w:pPr>
        <w:tabs>
          <w:tab w:val="left" w:pos="3060"/>
        </w:tabs>
        <w:autoSpaceDE w:val="0"/>
        <w:autoSpaceDN w:val="0"/>
        <w:adjustRightInd w:val="0"/>
        <w:spacing w:after="0" w:line="240" w:lineRule="auto"/>
        <w:ind w:right="-289"/>
        <w:jc w:val="both"/>
        <w:rPr>
          <w:rFonts w:ascii="Times New Roman" w:hAnsi="Times New Roman" w:cs="Times New Roman"/>
          <w:sz w:val="24"/>
          <w:szCs w:val="24"/>
        </w:rPr>
      </w:pPr>
    </w:p>
    <w:p w14:paraId="53B73ACE" w14:textId="77777777" w:rsidR="00B01D46" w:rsidRDefault="0067013E">
      <w:pPr>
        <w:pStyle w:val="Heading2"/>
      </w:pPr>
      <w:bookmarkStart w:id="185" w:name="_Toc165897963"/>
      <w:bookmarkStart w:id="186" w:name="_Toc165364843"/>
      <w:bookmarkStart w:id="187" w:name="_Toc165975728"/>
      <w:bookmarkStart w:id="188" w:name="_Toc165369123"/>
      <w:bookmarkStart w:id="189" w:name="_Toc165367581"/>
      <w:bookmarkStart w:id="190" w:name="_Toc184272839"/>
      <w:bookmarkStart w:id="191" w:name="_Toc164663965"/>
      <w:bookmarkStart w:id="192" w:name="_Toc165365110"/>
      <w:bookmarkStart w:id="193" w:name="_Toc165973007"/>
      <w:bookmarkStart w:id="194" w:name="_Toc165368307"/>
      <w:r>
        <w:t>1.4 Aim of the Study</w:t>
      </w:r>
      <w:bookmarkEnd w:id="185"/>
      <w:bookmarkEnd w:id="186"/>
      <w:bookmarkEnd w:id="187"/>
      <w:bookmarkEnd w:id="188"/>
      <w:bookmarkEnd w:id="189"/>
      <w:bookmarkEnd w:id="190"/>
      <w:bookmarkEnd w:id="191"/>
      <w:bookmarkEnd w:id="192"/>
      <w:bookmarkEnd w:id="193"/>
      <w:bookmarkEnd w:id="194"/>
    </w:p>
    <w:p w14:paraId="3757DC82" w14:textId="77777777" w:rsidR="00B01D46" w:rsidRDefault="0067013E">
      <w:pPr>
        <w:spacing w:after="0" w:line="480" w:lineRule="auto"/>
        <w:ind w:right="-288"/>
        <w:jc w:val="both"/>
        <w:rPr>
          <w:rFonts w:ascii="Times New Roman" w:hAnsi="Times New Roman" w:cs="Times New Roman"/>
          <w:bCs/>
          <w:sz w:val="24"/>
          <w:szCs w:val="24"/>
        </w:rPr>
      </w:pPr>
      <w:r>
        <w:rPr>
          <w:rFonts w:ascii="Times New Roman" w:hAnsi="Times New Roman" w:cs="Times New Roman"/>
          <w:sz w:val="24"/>
          <w:szCs w:val="24"/>
        </w:rPr>
        <w:t>This study aimed to assess the information literacy skills of medical undergraduate students in selected public universities in Kenya and to propose an ILS framework to enhance the adequacy of ILS among undergraduate medical students.</w:t>
      </w:r>
      <w:r>
        <w:rPr>
          <w:rFonts w:ascii="Times New Roman" w:hAnsi="Times New Roman" w:cs="Times New Roman"/>
          <w:bCs/>
          <w:sz w:val="24"/>
          <w:szCs w:val="24"/>
        </w:rPr>
        <w:t xml:space="preserve"> </w:t>
      </w:r>
    </w:p>
    <w:p w14:paraId="40B341BD" w14:textId="77777777" w:rsidR="00B01D46" w:rsidRDefault="0067013E">
      <w:pPr>
        <w:pStyle w:val="Heading2"/>
      </w:pPr>
      <w:bookmarkStart w:id="195" w:name="_Toc165364844"/>
      <w:bookmarkStart w:id="196" w:name="_Toc165368308"/>
      <w:bookmarkStart w:id="197" w:name="_Toc165367582"/>
      <w:bookmarkStart w:id="198" w:name="_Toc165975729"/>
      <w:bookmarkStart w:id="199" w:name="_Toc165365111"/>
      <w:bookmarkStart w:id="200" w:name="_Toc165369124"/>
      <w:bookmarkStart w:id="201" w:name="_Toc164663966"/>
      <w:bookmarkStart w:id="202" w:name="_Toc165973008"/>
      <w:bookmarkStart w:id="203" w:name="_Toc184272840"/>
      <w:bookmarkStart w:id="204" w:name="_Toc165897964"/>
      <w:r>
        <w:t xml:space="preserve">1.5 </w:t>
      </w:r>
      <w:bookmarkStart w:id="205" w:name="_Hlk147908649"/>
      <w:r>
        <w:t>Objectives of the Study</w:t>
      </w:r>
      <w:bookmarkEnd w:id="195"/>
      <w:bookmarkEnd w:id="196"/>
      <w:bookmarkEnd w:id="197"/>
      <w:bookmarkEnd w:id="198"/>
      <w:bookmarkEnd w:id="199"/>
      <w:bookmarkEnd w:id="200"/>
      <w:bookmarkEnd w:id="201"/>
      <w:bookmarkEnd w:id="202"/>
      <w:bookmarkEnd w:id="203"/>
      <w:bookmarkEnd w:id="204"/>
    </w:p>
    <w:p w14:paraId="37EDD9AF" w14:textId="77777777" w:rsidR="00B01D46" w:rsidRDefault="0067013E">
      <w:pPr>
        <w:pStyle w:val="NormalWeb"/>
        <w:shd w:val="clear" w:color="auto" w:fill="FFFFFF"/>
        <w:tabs>
          <w:tab w:val="left" w:pos="360"/>
        </w:tabs>
        <w:spacing w:before="0" w:beforeAutospacing="0" w:after="0" w:afterAutospacing="0" w:line="480" w:lineRule="auto"/>
        <w:ind w:right="-288"/>
        <w:jc w:val="both"/>
        <w:rPr>
          <w:bCs/>
        </w:rPr>
      </w:pPr>
      <w:r>
        <w:rPr>
          <w:bCs/>
        </w:rPr>
        <w:t xml:space="preserve">The study was guided by the following objectives: </w:t>
      </w:r>
    </w:p>
    <w:p w14:paraId="3AC4E93D" w14:textId="77777777" w:rsidR="00B01D46" w:rsidRDefault="0067013E">
      <w:pPr>
        <w:pStyle w:val="ListParagraph"/>
        <w:numPr>
          <w:ilvl w:val="0"/>
          <w:numId w:val="3"/>
        </w:numPr>
        <w:spacing w:after="0" w:line="480" w:lineRule="auto"/>
        <w:ind w:left="284" w:right="-288" w:hanging="284"/>
        <w:contextualSpacing w:val="0"/>
        <w:rPr>
          <w:szCs w:val="24"/>
        </w:rPr>
      </w:pPr>
      <w:r>
        <w:rPr>
          <w:szCs w:val="24"/>
        </w:rPr>
        <w:t>To assess the status of information literacy skills of medical undergraduate students at Moi University and the University of Nairobi.</w:t>
      </w:r>
    </w:p>
    <w:bookmarkEnd w:id="205"/>
    <w:p w14:paraId="2F349AC2" w14:textId="77777777" w:rsidR="00B01D46" w:rsidRDefault="0067013E">
      <w:pPr>
        <w:pStyle w:val="ListParagraph"/>
        <w:numPr>
          <w:ilvl w:val="0"/>
          <w:numId w:val="3"/>
        </w:numPr>
        <w:spacing w:after="0" w:line="480" w:lineRule="auto"/>
        <w:ind w:left="284" w:right="-288" w:hanging="284"/>
        <w:contextualSpacing w:val="0"/>
        <w:rPr>
          <w:szCs w:val="24"/>
        </w:rPr>
      </w:pPr>
      <w:r>
        <w:rPr>
          <w:szCs w:val="24"/>
        </w:rPr>
        <w:t>To examine the information literacy skills policies and curricula supporting the adequacy of   ILS among medical undergraduate students at the two universities</w:t>
      </w:r>
    </w:p>
    <w:p w14:paraId="1021D6E7" w14:textId="77777777" w:rsidR="00B01D46" w:rsidRDefault="0067013E">
      <w:pPr>
        <w:pStyle w:val="ListParagraph"/>
        <w:numPr>
          <w:ilvl w:val="0"/>
          <w:numId w:val="3"/>
        </w:numPr>
        <w:spacing w:after="0" w:line="480" w:lineRule="auto"/>
        <w:ind w:left="284" w:right="-288" w:hanging="284"/>
        <w:contextualSpacing w:val="0"/>
        <w:rPr>
          <w:szCs w:val="24"/>
        </w:rPr>
      </w:pPr>
      <w:r>
        <w:rPr>
          <w:szCs w:val="24"/>
        </w:rPr>
        <w:t>To explore the ILS understanding among medical undergraduate students</w:t>
      </w:r>
    </w:p>
    <w:p w14:paraId="7D3E07E6" w14:textId="77777777" w:rsidR="00B01D46" w:rsidRDefault="0067013E">
      <w:pPr>
        <w:pStyle w:val="ListParagraph"/>
        <w:numPr>
          <w:ilvl w:val="0"/>
          <w:numId w:val="3"/>
        </w:numPr>
        <w:spacing w:after="0" w:line="480" w:lineRule="auto"/>
        <w:ind w:left="284" w:right="-288" w:hanging="284"/>
        <w:contextualSpacing w:val="0"/>
        <w:rPr>
          <w:szCs w:val="24"/>
        </w:rPr>
      </w:pPr>
      <w:r>
        <w:rPr>
          <w:szCs w:val="24"/>
        </w:rPr>
        <w:t xml:space="preserve">To analyze the knowledge and skills possessed by staff engaged in facilitating ILS among medical undergraduate students </w:t>
      </w:r>
    </w:p>
    <w:p w14:paraId="4FC1F44C" w14:textId="77777777" w:rsidR="00B01D46" w:rsidRDefault="0067013E">
      <w:pPr>
        <w:pStyle w:val="ListParagraph"/>
        <w:numPr>
          <w:ilvl w:val="0"/>
          <w:numId w:val="3"/>
        </w:numPr>
        <w:spacing w:after="0" w:line="480" w:lineRule="auto"/>
        <w:ind w:left="284" w:right="-288" w:hanging="284"/>
        <w:contextualSpacing w:val="0"/>
        <w:rPr>
          <w:szCs w:val="24"/>
        </w:rPr>
      </w:pPr>
      <w:r>
        <w:rPr>
          <w:szCs w:val="24"/>
        </w:rPr>
        <w:t>To examine the role of ICT in facilitating and promoting information literacy skills among medical undergraduate students at the two universities</w:t>
      </w:r>
    </w:p>
    <w:p w14:paraId="5EC5D742" w14:textId="77777777" w:rsidR="00B01D46" w:rsidRDefault="0067013E">
      <w:pPr>
        <w:pStyle w:val="ListParagraph"/>
        <w:numPr>
          <w:ilvl w:val="0"/>
          <w:numId w:val="3"/>
        </w:numPr>
        <w:spacing w:before="120" w:after="0" w:line="480" w:lineRule="auto"/>
        <w:ind w:left="284" w:right="-288" w:hanging="284"/>
        <w:contextualSpacing w:val="0"/>
        <w:rPr>
          <w:szCs w:val="24"/>
        </w:rPr>
      </w:pPr>
      <w:r>
        <w:rPr>
          <w:szCs w:val="24"/>
        </w:rPr>
        <w:t>To propose a framework to enhance ILS among medical undergraduate students in the selected universities in Kenya</w:t>
      </w:r>
    </w:p>
    <w:p w14:paraId="66DFDC09" w14:textId="77777777" w:rsidR="00B01D46" w:rsidRDefault="00B01D46">
      <w:pPr>
        <w:spacing w:after="0" w:line="240" w:lineRule="auto"/>
        <w:rPr>
          <w:rFonts w:ascii="Times New Roman" w:hAnsi="Times New Roman" w:cs="Times New Roman"/>
          <w:sz w:val="24"/>
          <w:szCs w:val="24"/>
        </w:rPr>
      </w:pPr>
      <w:bookmarkStart w:id="206" w:name="_Toc164663967"/>
    </w:p>
    <w:p w14:paraId="3509360A" w14:textId="77777777" w:rsidR="00B01D46" w:rsidRDefault="0067013E">
      <w:pPr>
        <w:pStyle w:val="Heading2"/>
      </w:pPr>
      <w:bookmarkStart w:id="207" w:name="_Toc165369125"/>
      <w:bookmarkStart w:id="208" w:name="_Toc165367583"/>
      <w:bookmarkStart w:id="209" w:name="_Toc165973009"/>
      <w:bookmarkStart w:id="210" w:name="_Toc165368309"/>
      <w:bookmarkStart w:id="211" w:name="_Toc165975730"/>
      <w:bookmarkStart w:id="212" w:name="_Toc184272841"/>
      <w:bookmarkStart w:id="213" w:name="_Toc165365112"/>
      <w:bookmarkStart w:id="214" w:name="_Toc165364845"/>
      <w:bookmarkStart w:id="215" w:name="_Toc165897965"/>
      <w:r>
        <w:t>1.6 Research Questions</w:t>
      </w:r>
      <w:bookmarkEnd w:id="206"/>
      <w:bookmarkEnd w:id="207"/>
      <w:bookmarkEnd w:id="208"/>
      <w:bookmarkEnd w:id="209"/>
      <w:bookmarkEnd w:id="210"/>
      <w:bookmarkEnd w:id="211"/>
      <w:bookmarkEnd w:id="212"/>
      <w:bookmarkEnd w:id="213"/>
      <w:bookmarkEnd w:id="214"/>
      <w:bookmarkEnd w:id="215"/>
      <w:r>
        <w:t xml:space="preserve"> </w:t>
      </w:r>
    </w:p>
    <w:p w14:paraId="3D6ADF45" w14:textId="77777777" w:rsidR="00B01D46" w:rsidRDefault="0067013E">
      <w:pPr>
        <w:pStyle w:val="NormalWeb"/>
        <w:shd w:val="clear" w:color="auto" w:fill="FFFFFF"/>
        <w:tabs>
          <w:tab w:val="left" w:pos="360"/>
        </w:tabs>
        <w:spacing w:before="0" w:beforeAutospacing="0" w:after="0" w:afterAutospacing="0" w:line="480" w:lineRule="auto"/>
        <w:ind w:right="-288"/>
        <w:jc w:val="both"/>
        <w:rPr>
          <w:rFonts w:eastAsia="Calibri"/>
        </w:rPr>
      </w:pPr>
      <w:r>
        <w:rPr>
          <w:bCs/>
        </w:rPr>
        <w:t>The research questions for the study were:</w:t>
      </w:r>
    </w:p>
    <w:p w14:paraId="48043867" w14:textId="77777777" w:rsidR="00B01D46" w:rsidRDefault="0067013E">
      <w:pPr>
        <w:pStyle w:val="NormalWeb"/>
        <w:numPr>
          <w:ilvl w:val="0"/>
          <w:numId w:val="4"/>
        </w:numPr>
        <w:shd w:val="clear" w:color="auto" w:fill="FFFFFF"/>
        <w:tabs>
          <w:tab w:val="left" w:pos="360"/>
        </w:tabs>
        <w:autoSpaceDE w:val="0"/>
        <w:autoSpaceDN w:val="0"/>
        <w:adjustRightInd w:val="0"/>
        <w:spacing w:before="0" w:beforeAutospacing="0" w:after="0" w:afterAutospacing="0" w:line="480" w:lineRule="auto"/>
        <w:ind w:left="284" w:right="-288" w:hanging="284"/>
        <w:jc w:val="both"/>
      </w:pPr>
      <w:bookmarkStart w:id="216" w:name="_Hlk182085073"/>
      <w:r>
        <w:rPr>
          <w:rFonts w:eastAsia="Calibri"/>
        </w:rPr>
        <w:t xml:space="preserve">What is the status of ILS </w:t>
      </w:r>
      <w:r>
        <w:t>among medical undergraduate students at the University of Nairobi and Moi University?</w:t>
      </w:r>
    </w:p>
    <w:p w14:paraId="64F49531" w14:textId="77777777" w:rsidR="00B01D46" w:rsidRDefault="0067013E">
      <w:pPr>
        <w:pStyle w:val="Default"/>
        <w:numPr>
          <w:ilvl w:val="0"/>
          <w:numId w:val="4"/>
        </w:numPr>
        <w:spacing w:line="480" w:lineRule="auto"/>
        <w:ind w:left="284" w:right="-288" w:hanging="284"/>
        <w:jc w:val="both"/>
      </w:pPr>
      <w:r>
        <w:lastRenderedPageBreak/>
        <w:t xml:space="preserve">How does information literacy skills policy and curriculum guide in imparting ILS to medical, undergraduate students? </w:t>
      </w:r>
    </w:p>
    <w:p w14:paraId="160C6779" w14:textId="77777777" w:rsidR="00B01D46" w:rsidRDefault="0067013E">
      <w:pPr>
        <w:pStyle w:val="ListParagraph"/>
        <w:numPr>
          <w:ilvl w:val="0"/>
          <w:numId w:val="4"/>
        </w:numPr>
        <w:shd w:val="clear" w:color="auto" w:fill="FFFFFF"/>
        <w:tabs>
          <w:tab w:val="left" w:pos="360"/>
        </w:tabs>
        <w:autoSpaceDE w:val="0"/>
        <w:autoSpaceDN w:val="0"/>
        <w:adjustRightInd w:val="0"/>
        <w:spacing w:after="0" w:line="480" w:lineRule="auto"/>
        <w:ind w:left="284" w:right="-288" w:hanging="284"/>
        <w:contextualSpacing w:val="0"/>
        <w:rPr>
          <w:szCs w:val="24"/>
        </w:rPr>
      </w:pPr>
      <w:r>
        <w:rPr>
          <w:rFonts w:eastAsia="Calibri"/>
          <w:color w:val="auto"/>
          <w:szCs w:val="24"/>
        </w:rPr>
        <w:t>How is the understanding of ILS among medical undergraduate students?</w:t>
      </w:r>
    </w:p>
    <w:p w14:paraId="74EA4B4B" w14:textId="77777777" w:rsidR="00B01D46" w:rsidRDefault="0067013E">
      <w:pPr>
        <w:pStyle w:val="ListParagraph"/>
        <w:numPr>
          <w:ilvl w:val="0"/>
          <w:numId w:val="4"/>
        </w:numPr>
        <w:shd w:val="clear" w:color="auto" w:fill="FFFFFF"/>
        <w:tabs>
          <w:tab w:val="left" w:pos="360"/>
        </w:tabs>
        <w:autoSpaceDE w:val="0"/>
        <w:autoSpaceDN w:val="0"/>
        <w:adjustRightInd w:val="0"/>
        <w:spacing w:after="0" w:line="480" w:lineRule="auto"/>
        <w:ind w:left="284" w:right="-288" w:hanging="284"/>
        <w:contextualSpacing w:val="0"/>
        <w:rPr>
          <w:szCs w:val="24"/>
        </w:rPr>
      </w:pPr>
      <w:r>
        <w:rPr>
          <w:rFonts w:eastAsia="Calibri"/>
          <w:color w:val="auto"/>
          <w:szCs w:val="24"/>
        </w:rPr>
        <w:t xml:space="preserve">What are the knowledge and skills possessed by staff facilitating ILS among </w:t>
      </w:r>
      <w:r>
        <w:rPr>
          <w:szCs w:val="24"/>
        </w:rPr>
        <w:t>medical undergraduate students</w:t>
      </w:r>
      <w:r>
        <w:rPr>
          <w:rFonts w:eastAsia="Calibri"/>
          <w:color w:val="auto"/>
          <w:szCs w:val="24"/>
        </w:rPr>
        <w:t>?</w:t>
      </w:r>
    </w:p>
    <w:p w14:paraId="5B57813E" w14:textId="77777777" w:rsidR="00B01D46" w:rsidRDefault="0067013E">
      <w:pPr>
        <w:pStyle w:val="ListParagraph"/>
        <w:numPr>
          <w:ilvl w:val="0"/>
          <w:numId w:val="4"/>
        </w:numPr>
        <w:autoSpaceDE w:val="0"/>
        <w:autoSpaceDN w:val="0"/>
        <w:adjustRightInd w:val="0"/>
        <w:spacing w:after="0" w:line="480" w:lineRule="auto"/>
        <w:ind w:left="284" w:right="-288" w:hanging="284"/>
        <w:contextualSpacing w:val="0"/>
        <w:rPr>
          <w:rFonts w:eastAsiaTheme="minorHAnsi"/>
          <w:szCs w:val="24"/>
        </w:rPr>
      </w:pPr>
      <w:r>
        <w:rPr>
          <w:szCs w:val="24"/>
        </w:rPr>
        <w:t>How is ICT facilitating learning of ILS among</w:t>
      </w:r>
      <w:r>
        <w:rPr>
          <w:rFonts w:eastAsia="Calibri"/>
          <w:szCs w:val="24"/>
        </w:rPr>
        <w:t xml:space="preserve"> </w:t>
      </w:r>
      <w:r>
        <w:rPr>
          <w:szCs w:val="24"/>
        </w:rPr>
        <w:t>medical undergraduate students?</w:t>
      </w:r>
    </w:p>
    <w:bookmarkEnd w:id="216"/>
    <w:p w14:paraId="4706113F" w14:textId="77777777" w:rsidR="00B01D46" w:rsidRDefault="0067013E">
      <w:pPr>
        <w:pStyle w:val="ListParagraph"/>
        <w:numPr>
          <w:ilvl w:val="0"/>
          <w:numId w:val="4"/>
        </w:numPr>
        <w:autoSpaceDE w:val="0"/>
        <w:autoSpaceDN w:val="0"/>
        <w:adjustRightInd w:val="0"/>
        <w:spacing w:before="120" w:line="480" w:lineRule="auto"/>
        <w:ind w:left="284" w:right="-288" w:hanging="284"/>
        <w:contextualSpacing w:val="0"/>
        <w:rPr>
          <w:rFonts w:eastAsiaTheme="minorHAnsi"/>
          <w:szCs w:val="24"/>
        </w:rPr>
      </w:pPr>
      <w:r>
        <w:rPr>
          <w:rFonts w:eastAsiaTheme="minorHAnsi"/>
          <w:szCs w:val="24"/>
        </w:rPr>
        <w:t xml:space="preserve">What ILS </w:t>
      </w:r>
      <w:r>
        <w:rPr>
          <w:szCs w:val="24"/>
        </w:rPr>
        <w:t>framework should be implemented to enhance ILS among medical undergraduate students in the selected universities in Kenya?</w:t>
      </w:r>
    </w:p>
    <w:p w14:paraId="4ED0830A" w14:textId="77777777" w:rsidR="00B01D46" w:rsidRDefault="0067013E">
      <w:pPr>
        <w:pStyle w:val="Heading2"/>
      </w:pPr>
      <w:bookmarkStart w:id="217" w:name="_Toc164663968"/>
      <w:bookmarkStart w:id="218" w:name="_Toc165973010"/>
      <w:bookmarkStart w:id="219" w:name="_Toc165367584"/>
      <w:bookmarkStart w:id="220" w:name="_Toc165368310"/>
      <w:bookmarkStart w:id="221" w:name="_Toc165369126"/>
      <w:bookmarkStart w:id="222" w:name="_Toc165364846"/>
      <w:bookmarkStart w:id="223" w:name="_Toc165975731"/>
      <w:bookmarkStart w:id="224" w:name="_Toc165365113"/>
      <w:bookmarkStart w:id="225" w:name="_Toc184272842"/>
      <w:bookmarkStart w:id="226" w:name="_Toc165897966"/>
      <w:r>
        <w:t>1.7 Assumptions of the Study</w:t>
      </w:r>
      <w:bookmarkEnd w:id="217"/>
      <w:bookmarkEnd w:id="218"/>
      <w:bookmarkEnd w:id="219"/>
      <w:bookmarkEnd w:id="220"/>
      <w:bookmarkEnd w:id="221"/>
      <w:bookmarkEnd w:id="222"/>
      <w:bookmarkEnd w:id="223"/>
      <w:bookmarkEnd w:id="224"/>
      <w:bookmarkEnd w:id="225"/>
      <w:bookmarkEnd w:id="226"/>
      <w:r>
        <w:t xml:space="preserve"> </w:t>
      </w:r>
    </w:p>
    <w:p w14:paraId="303FF8B7" w14:textId="77777777" w:rsidR="00B01D46" w:rsidRDefault="0067013E">
      <w:pPr>
        <w:pStyle w:val="ListParagraph"/>
        <w:numPr>
          <w:ilvl w:val="0"/>
          <w:numId w:val="5"/>
        </w:numPr>
        <w:autoSpaceDE w:val="0"/>
        <w:autoSpaceDN w:val="0"/>
        <w:adjustRightInd w:val="0"/>
        <w:spacing w:line="480" w:lineRule="auto"/>
        <w:ind w:left="284" w:right="-288" w:hanging="284"/>
        <w:contextualSpacing w:val="0"/>
        <w:rPr>
          <w:szCs w:val="24"/>
        </w:rPr>
      </w:pPr>
      <w:r>
        <w:rPr>
          <w:szCs w:val="24"/>
        </w:rPr>
        <w:t xml:space="preserve">Medical undergraduate students have inadequate ILS hence they are unable to effectively utilize medical information materials legally and lawfully to enhance their learning process and become lifelong learners. </w:t>
      </w:r>
    </w:p>
    <w:p w14:paraId="21355568" w14:textId="77777777" w:rsidR="00B01D46" w:rsidRDefault="0067013E">
      <w:pPr>
        <w:pStyle w:val="ListParagraph"/>
        <w:numPr>
          <w:ilvl w:val="0"/>
          <w:numId w:val="5"/>
        </w:numPr>
        <w:autoSpaceDE w:val="0"/>
        <w:autoSpaceDN w:val="0"/>
        <w:adjustRightInd w:val="0"/>
        <w:spacing w:before="120" w:line="480" w:lineRule="auto"/>
        <w:ind w:left="284" w:right="-288" w:hanging="284"/>
        <w:contextualSpacing w:val="0"/>
        <w:rPr>
          <w:szCs w:val="24"/>
        </w:rPr>
      </w:pPr>
      <w:r>
        <w:rPr>
          <w:szCs w:val="24"/>
        </w:rPr>
        <w:t>ICT is not properly utilized to enhance the delivery and learning of ILS because of the absence of adequate ICT infrastructure in institutions of higher learning.</w:t>
      </w:r>
    </w:p>
    <w:p w14:paraId="161A30DB" w14:textId="77777777" w:rsidR="00B01D46" w:rsidRDefault="0067013E">
      <w:pPr>
        <w:pStyle w:val="ListParagraph"/>
        <w:numPr>
          <w:ilvl w:val="0"/>
          <w:numId w:val="5"/>
        </w:numPr>
        <w:autoSpaceDE w:val="0"/>
        <w:autoSpaceDN w:val="0"/>
        <w:adjustRightInd w:val="0"/>
        <w:spacing w:before="120" w:line="480" w:lineRule="auto"/>
        <w:ind w:left="284" w:right="-288" w:hanging="284"/>
        <w:contextualSpacing w:val="0"/>
        <w:rPr>
          <w:szCs w:val="24"/>
        </w:rPr>
      </w:pPr>
      <w:r>
        <w:rPr>
          <w:szCs w:val="24"/>
        </w:rPr>
        <w:t>The ILS policy and curriculum available are inadequate in facilitating ILS learning and instruction because implementation and updating is not properly carried out.</w:t>
      </w:r>
    </w:p>
    <w:p w14:paraId="05D0EC46" w14:textId="77777777" w:rsidR="00B01D46" w:rsidRDefault="0067013E">
      <w:pPr>
        <w:spacing w:after="0" w:line="240" w:lineRule="auto"/>
        <w:rPr>
          <w:rFonts w:ascii="Times New Roman" w:eastAsiaTheme="majorEastAsia" w:hAnsi="Times New Roman" w:cstheme="majorBidi"/>
          <w:b/>
          <w:sz w:val="24"/>
          <w:szCs w:val="26"/>
        </w:rPr>
      </w:pPr>
      <w:bookmarkStart w:id="227" w:name="_Toc165368311"/>
      <w:bookmarkStart w:id="228" w:name="_Toc164663969"/>
      <w:bookmarkStart w:id="229" w:name="_Toc165365114"/>
      <w:bookmarkStart w:id="230" w:name="_Toc165367585"/>
      <w:bookmarkStart w:id="231" w:name="_Toc165369127"/>
      <w:bookmarkStart w:id="232" w:name="_Toc165897967"/>
      <w:bookmarkStart w:id="233" w:name="_Toc165364847"/>
      <w:bookmarkStart w:id="234" w:name="_Toc165975732"/>
      <w:bookmarkStart w:id="235" w:name="_Toc165973011"/>
      <w:r>
        <w:br w:type="page"/>
      </w:r>
    </w:p>
    <w:p w14:paraId="3B04DB13" w14:textId="77777777" w:rsidR="00B01D46" w:rsidRDefault="0067013E">
      <w:pPr>
        <w:pStyle w:val="Heading2"/>
      </w:pPr>
      <w:bookmarkStart w:id="236" w:name="_Toc184272843"/>
      <w:r>
        <w:lastRenderedPageBreak/>
        <w:t>1.8 Significance of the Study</w:t>
      </w:r>
      <w:bookmarkEnd w:id="227"/>
      <w:bookmarkEnd w:id="228"/>
      <w:bookmarkEnd w:id="229"/>
      <w:bookmarkEnd w:id="230"/>
      <w:bookmarkEnd w:id="231"/>
      <w:bookmarkEnd w:id="232"/>
      <w:bookmarkEnd w:id="233"/>
      <w:bookmarkEnd w:id="234"/>
      <w:bookmarkEnd w:id="235"/>
      <w:bookmarkEnd w:id="236"/>
    </w:p>
    <w:p w14:paraId="445530BC" w14:textId="77777777" w:rsidR="00B01D46" w:rsidRDefault="0067013E">
      <w:pPr>
        <w:pStyle w:val="BodyText"/>
        <w:spacing w:line="480" w:lineRule="auto"/>
        <w:ind w:right="-288"/>
        <w:rPr>
          <w:rFonts w:eastAsiaTheme="minorHAnsi"/>
          <w:b/>
          <w:lang w:val="en-US"/>
        </w:rPr>
      </w:pPr>
      <w:r>
        <w:rPr>
          <w:rFonts w:eastAsiaTheme="minorHAnsi"/>
          <w:b/>
          <w:lang w:val="en-US"/>
        </w:rPr>
        <w:t>Application</w:t>
      </w:r>
    </w:p>
    <w:p w14:paraId="133B650E" w14:textId="77777777" w:rsidR="00B01D46" w:rsidRDefault="0067013E">
      <w:pPr>
        <w:autoSpaceDE w:val="0"/>
        <w:autoSpaceDN w:val="0"/>
        <w:adjustRightInd w:val="0"/>
        <w:spacing w:before="120" w:after="0" w:line="480" w:lineRule="auto"/>
        <w:ind w:right="-288"/>
        <w:jc w:val="both"/>
        <w:rPr>
          <w:rFonts w:ascii="Times New Roman" w:hAnsi="Times New Roman" w:cs="Times New Roman"/>
          <w:sz w:val="24"/>
          <w:szCs w:val="24"/>
        </w:rPr>
      </w:pPr>
      <w:r>
        <w:rPr>
          <w:rFonts w:ascii="Times New Roman" w:hAnsi="Times New Roman" w:cs="Times New Roman"/>
          <w:sz w:val="24"/>
          <w:szCs w:val="24"/>
          <w:lang w:val="zh-CN" w:eastAsia="zh-CN"/>
        </w:rPr>
        <w:t xml:space="preserve">The </w:t>
      </w:r>
      <w:r>
        <w:rPr>
          <w:rFonts w:ascii="Times New Roman" w:hAnsi="Times New Roman" w:cs="Times New Roman"/>
          <w:sz w:val="24"/>
          <w:szCs w:val="24"/>
          <w:lang w:eastAsia="zh-CN"/>
        </w:rPr>
        <w:t xml:space="preserve">findings </w:t>
      </w:r>
      <w:r>
        <w:rPr>
          <w:rFonts w:ascii="Times New Roman" w:hAnsi="Times New Roman" w:cs="Times New Roman"/>
          <w:sz w:val="24"/>
          <w:szCs w:val="24"/>
          <w:lang w:val="zh-CN" w:eastAsia="zh-CN"/>
        </w:rPr>
        <w:t>of this study offer a more practical approach for incorporating and implementing ILS in medical training curricula and help to create efficient pedagogic ways for teaching ILS to undergraduate medical students at Kenyan higher education institutions. Additionally, it is anticipated that the study's recommendations will significantly aid universities in re-engineering ILS training in terms of course design, content development, pedagogical delivery techniques, and assessment procedures</w:t>
      </w:r>
      <w:r>
        <w:rPr>
          <w:rFonts w:ascii="Times New Roman" w:hAnsi="Times New Roman" w:cs="Times New Roman"/>
          <w:sz w:val="24"/>
          <w:szCs w:val="24"/>
          <w:lang w:eastAsia="zh-CN"/>
        </w:rPr>
        <w:t xml:space="preserve"> (</w:t>
      </w:r>
      <w:r>
        <w:rPr>
          <w:rFonts w:ascii="Times New Roman" w:hAnsi="Times New Roman" w:cs="Times New Roman"/>
          <w:sz w:val="24"/>
          <w:szCs w:val="24"/>
        </w:rPr>
        <w:t>Momanyi, Toroitich, &amp; Onderi, 2018</w:t>
      </w:r>
      <w:r>
        <w:rPr>
          <w:rFonts w:ascii="Times New Roman" w:hAnsi="Times New Roman" w:cs="Times New Roman"/>
          <w:sz w:val="24"/>
          <w:szCs w:val="24"/>
          <w:lang w:eastAsia="zh-CN"/>
        </w:rPr>
        <w:t>)</w:t>
      </w:r>
      <w:r>
        <w:rPr>
          <w:rFonts w:ascii="Times New Roman" w:hAnsi="Times New Roman" w:cs="Times New Roman"/>
          <w:sz w:val="24"/>
          <w:szCs w:val="24"/>
          <w:lang w:val="zh-CN" w:eastAsia="zh-CN"/>
        </w:rPr>
        <w:t>.</w:t>
      </w:r>
    </w:p>
    <w:p w14:paraId="68A08BDF" w14:textId="77777777" w:rsidR="00B01D46" w:rsidRDefault="0067013E">
      <w:pPr>
        <w:spacing w:before="120" w:after="0" w:line="480" w:lineRule="auto"/>
        <w:ind w:right="-288"/>
        <w:jc w:val="both"/>
        <w:rPr>
          <w:rFonts w:ascii="Times New Roman" w:hAnsi="Times New Roman" w:cs="Times New Roman"/>
          <w:b/>
          <w:sz w:val="24"/>
          <w:szCs w:val="24"/>
        </w:rPr>
      </w:pPr>
      <w:r>
        <w:rPr>
          <w:rFonts w:ascii="Times New Roman" w:hAnsi="Times New Roman" w:cs="Times New Roman"/>
          <w:b/>
          <w:sz w:val="24"/>
          <w:szCs w:val="24"/>
        </w:rPr>
        <w:t>Implication</w:t>
      </w:r>
    </w:p>
    <w:p w14:paraId="7222D648"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sz w:val="24"/>
          <w:szCs w:val="24"/>
        </w:rPr>
        <w:t>The outcomes of this study provide the basis for guiding university management and government efforts in designing a national information literacy skills policy to aid thrust the country into an information society (Momanyi, Toroitich, &amp; Onderi, 2018).</w:t>
      </w:r>
    </w:p>
    <w:p w14:paraId="3D83740E" w14:textId="77777777" w:rsidR="00B01D46" w:rsidRDefault="0067013E">
      <w:pPr>
        <w:spacing w:before="120" w:after="0" w:line="480" w:lineRule="auto"/>
        <w:ind w:right="-288"/>
        <w:jc w:val="both"/>
        <w:rPr>
          <w:rFonts w:ascii="Times New Roman" w:hAnsi="Times New Roman" w:cs="Times New Roman"/>
          <w:b/>
          <w:sz w:val="24"/>
          <w:szCs w:val="24"/>
        </w:rPr>
      </w:pPr>
      <w:r>
        <w:rPr>
          <w:rFonts w:ascii="Times New Roman" w:hAnsi="Times New Roman" w:cs="Times New Roman"/>
          <w:b/>
          <w:sz w:val="24"/>
          <w:szCs w:val="24"/>
        </w:rPr>
        <w:t>Contribution to knowledge</w:t>
      </w:r>
    </w:p>
    <w:p w14:paraId="77080623" w14:textId="77777777" w:rsidR="00B01D46" w:rsidRDefault="0067013E">
      <w:pPr>
        <w:spacing w:before="120" w:line="480" w:lineRule="auto"/>
        <w:ind w:right="-288"/>
        <w:jc w:val="both"/>
        <w:rPr>
          <w:rFonts w:ascii="Times New Roman" w:hAnsi="Times New Roman" w:cs="Times New Roman"/>
          <w:sz w:val="24"/>
          <w:szCs w:val="24"/>
        </w:rPr>
      </w:pPr>
      <w:r>
        <w:rPr>
          <w:rFonts w:ascii="Times New Roman" w:hAnsi="Times New Roman" w:cs="Times New Roman"/>
          <w:sz w:val="24"/>
          <w:szCs w:val="24"/>
        </w:rPr>
        <w:t>This study has facilitated the understanding of the ILS competencies of undergraduate medical students; the significance of routine reviews and updates of ILS policy and curricula to foster the transfer of contemporary information literacy skills; the necessity of retraining and reskilling of information literacy skills among instructors and information service providers; and the significance of ICT in ILS utilization and instructions. It also brings to the forefront their patterns of information search, utilization, sharing, and use to improve patient confidence in health care delivery services in Kenya (</w:t>
      </w:r>
      <w:r>
        <w:rPr>
          <w:rFonts w:ascii="Times New Roman" w:hAnsi="Times New Roman" w:cs="Times New Roman"/>
          <w:color w:val="222222"/>
          <w:sz w:val="24"/>
          <w:szCs w:val="24"/>
          <w:shd w:val="clear" w:color="auto" w:fill="FFFFFF"/>
        </w:rPr>
        <w:t>Kanyengo &amp; Kamau (2020)</w:t>
      </w:r>
      <w:r>
        <w:rPr>
          <w:rFonts w:ascii="Times New Roman" w:hAnsi="Times New Roman" w:cs="Times New Roman"/>
          <w:sz w:val="24"/>
          <w:szCs w:val="24"/>
        </w:rPr>
        <w:t xml:space="preserve">. </w:t>
      </w:r>
    </w:p>
    <w:p w14:paraId="09E070BE" w14:textId="77777777" w:rsidR="00B01D46" w:rsidRDefault="0067013E">
      <w:pPr>
        <w:spacing w:after="0" w:line="240" w:lineRule="auto"/>
        <w:rPr>
          <w:rFonts w:ascii="Times New Roman" w:eastAsiaTheme="majorEastAsia" w:hAnsi="Times New Roman" w:cstheme="majorBidi"/>
          <w:b/>
          <w:sz w:val="24"/>
          <w:szCs w:val="26"/>
        </w:rPr>
      </w:pPr>
      <w:bookmarkStart w:id="237" w:name="_Toc165365115"/>
      <w:bookmarkStart w:id="238" w:name="_Toc165973012"/>
      <w:bookmarkStart w:id="239" w:name="_Toc165364848"/>
      <w:bookmarkStart w:id="240" w:name="_Toc164663970"/>
      <w:bookmarkStart w:id="241" w:name="_Toc165369128"/>
      <w:bookmarkStart w:id="242" w:name="_Toc165897968"/>
      <w:bookmarkStart w:id="243" w:name="_Toc165367586"/>
      <w:bookmarkStart w:id="244" w:name="_Toc165975733"/>
      <w:bookmarkStart w:id="245" w:name="_Toc165368312"/>
      <w:r>
        <w:br w:type="page"/>
      </w:r>
    </w:p>
    <w:p w14:paraId="0251DE9A" w14:textId="77777777" w:rsidR="00B01D46" w:rsidRDefault="0067013E">
      <w:pPr>
        <w:pStyle w:val="Heading2"/>
      </w:pPr>
      <w:bookmarkStart w:id="246" w:name="_Toc184272844"/>
      <w:r>
        <w:lastRenderedPageBreak/>
        <w:t>1.9 Scope and Limitations of the Study</w:t>
      </w:r>
      <w:bookmarkEnd w:id="237"/>
      <w:bookmarkEnd w:id="238"/>
      <w:bookmarkEnd w:id="239"/>
      <w:bookmarkEnd w:id="240"/>
      <w:bookmarkEnd w:id="241"/>
      <w:bookmarkEnd w:id="242"/>
      <w:bookmarkEnd w:id="243"/>
      <w:bookmarkEnd w:id="244"/>
      <w:bookmarkEnd w:id="245"/>
      <w:bookmarkEnd w:id="246"/>
    </w:p>
    <w:p w14:paraId="19D5688E" w14:textId="77777777" w:rsidR="00B01D46" w:rsidRDefault="0067013E">
      <w:pPr>
        <w:pStyle w:val="Heading3"/>
        <w:rPr>
          <w:szCs w:val="24"/>
        </w:rPr>
      </w:pPr>
      <w:bookmarkStart w:id="247" w:name="_Toc165364849"/>
      <w:bookmarkStart w:id="248" w:name="_Toc165367587"/>
      <w:bookmarkStart w:id="249" w:name="_Toc165369129"/>
      <w:bookmarkStart w:id="250" w:name="_Toc165365116"/>
      <w:bookmarkStart w:id="251" w:name="_Toc165973013"/>
      <w:bookmarkStart w:id="252" w:name="_Toc165368313"/>
      <w:bookmarkStart w:id="253" w:name="_Toc165975734"/>
      <w:bookmarkStart w:id="254" w:name="_Toc165897969"/>
      <w:bookmarkStart w:id="255" w:name="_Toc164663971"/>
      <w:bookmarkStart w:id="256" w:name="_Toc184272845"/>
      <w:r>
        <w:rPr>
          <w:szCs w:val="24"/>
        </w:rPr>
        <w:t>1.9.1 Scope of the study</w:t>
      </w:r>
      <w:bookmarkEnd w:id="247"/>
      <w:bookmarkEnd w:id="248"/>
      <w:bookmarkEnd w:id="249"/>
      <w:bookmarkEnd w:id="250"/>
      <w:bookmarkEnd w:id="251"/>
      <w:bookmarkEnd w:id="252"/>
      <w:bookmarkEnd w:id="253"/>
      <w:bookmarkEnd w:id="254"/>
      <w:bookmarkEnd w:id="255"/>
      <w:bookmarkEnd w:id="256"/>
    </w:p>
    <w:p w14:paraId="2B18C251" w14:textId="77777777" w:rsidR="00B01D46" w:rsidRDefault="0067013E">
      <w:pPr>
        <w:pStyle w:val="NormalWeb"/>
        <w:spacing w:before="0" w:beforeAutospacing="0" w:line="480" w:lineRule="auto"/>
        <w:jc w:val="both"/>
      </w:pPr>
      <w:r>
        <w:t>The scope forms the boundaries that mark the breadth of the research. The emphasis of the study was to assess how medical undergraduate students at the University of Nairobi and Moi University are utilizing information literacy skills in their medical training and practice. Medicine study is an information intensive course which requires students to have top notch information literacy skills so that they can be able to filter relevant information in an information explosion environment and ever- changing information technologies. The study sought to get insights on the type of ILS possessed by these students, the ILS policy and curriculum in place to foster adequacy of ILS among, and the ILS understanding of medical undergraduate students towards ILS acquisition and training. Additionally, the study investigated the gaps that exist in the enhancement of ILS among medical undergraduate students at Nairobi University and Moi University.</w:t>
      </w:r>
    </w:p>
    <w:p w14:paraId="6FE366C7" w14:textId="77777777" w:rsidR="00B01D46" w:rsidRDefault="0067013E">
      <w:pPr>
        <w:pStyle w:val="NormalWeb"/>
        <w:spacing w:line="480" w:lineRule="auto"/>
        <w:jc w:val="both"/>
      </w:pPr>
      <w:r>
        <w:t>The study purposely targeted two public universities, namely the University of Nairobi (College of Health Sciences) and Moi University (College of Health Sciences). The University of Nairobi is located in Nairobi County in the middle of Nairobi central Business district, which is purely an urban centre and Moi University is located in Eldoret town, Uasin Gichu County. The two institutions were selected because they were the first universities to offer medicine and related courses in Kenya (Gatero, 2011); hence, they serve as role models for other universities that have started or are starting to offer medical courses in Kenya. Furthermore, the two universities were selected because they were among the first universities to be chartered in Kenya, and they too have a sizeable student enrollment rate.</w:t>
      </w:r>
    </w:p>
    <w:p w14:paraId="01EAD9D5" w14:textId="77777777" w:rsidR="00B01D46" w:rsidRDefault="0067013E">
      <w:pPr>
        <w:pStyle w:val="NormalWeb"/>
        <w:spacing w:line="480" w:lineRule="auto"/>
        <w:jc w:val="both"/>
        <w:rPr>
          <w:rStyle w:val="ilfuvd"/>
        </w:rPr>
      </w:pPr>
      <w:r>
        <w:lastRenderedPageBreak/>
        <w:t xml:space="preserve">The study population comprised heads of departments of medicine, dentistry, and nursing, university librarians, head medical librarians from the two universities, course unit lecturers teaching in medicine, dentistry, and nursing departments, and final year students from medicine, dentistry, and nursing programs in the said universities. The reason for choosing these cadre of population was that, firstly, head of departments and lecturers teach students on how to search, use, disseminate and apply information learnt. Therefore, they helped the study understand students’ skills, knowledge, attitudes, perception, and experience towards ILS. Secondly, the final year students were at advanced/ final levels in their studies hence understood how ILS affect their studies and can best describe ILS experiences, perception, attitudes and notions. Thirdly </w:t>
      </w:r>
      <w:r>
        <w:rPr>
          <w:bCs/>
        </w:rPr>
        <w:t>University Librarians and head medical librarians</w:t>
      </w:r>
      <w:r>
        <w:t xml:space="preserve"> serve, assist, train students on information issues and they are knowledge ambassadors in a university. Hence very critical in providing information on ILS training, utilization and its effectiveness among the students.</w:t>
      </w:r>
    </w:p>
    <w:p w14:paraId="29B36578" w14:textId="77777777" w:rsidR="00B01D46" w:rsidRDefault="0067013E">
      <w:pPr>
        <w:pStyle w:val="Heading3"/>
      </w:pPr>
      <w:bookmarkStart w:id="257" w:name="_Toc184272846"/>
      <w:bookmarkStart w:id="258" w:name="_Toc165975735"/>
      <w:bookmarkStart w:id="259" w:name="_Toc165897970"/>
      <w:bookmarkStart w:id="260" w:name="_Toc165973014"/>
      <w:bookmarkStart w:id="261" w:name="_Toc164663972"/>
      <w:bookmarkStart w:id="262" w:name="_Toc165367588"/>
      <w:bookmarkStart w:id="263" w:name="_Toc165365117"/>
      <w:bookmarkStart w:id="264" w:name="_Toc165364850"/>
      <w:bookmarkStart w:id="265" w:name="_Toc165368314"/>
      <w:bookmarkStart w:id="266" w:name="_Toc165369130"/>
      <w:r>
        <w:t>1.9.2 Limitations of the Study</w:t>
      </w:r>
      <w:bookmarkEnd w:id="257"/>
      <w:bookmarkEnd w:id="258"/>
      <w:bookmarkEnd w:id="259"/>
      <w:bookmarkEnd w:id="260"/>
      <w:bookmarkEnd w:id="261"/>
      <w:bookmarkEnd w:id="262"/>
      <w:bookmarkEnd w:id="263"/>
      <w:bookmarkEnd w:id="264"/>
      <w:bookmarkEnd w:id="265"/>
      <w:bookmarkEnd w:id="266"/>
    </w:p>
    <w:p w14:paraId="62488310" w14:textId="77777777" w:rsidR="00B01D46" w:rsidRDefault="0067013E">
      <w:pPr>
        <w:pStyle w:val="NormalWeb"/>
        <w:spacing w:before="0" w:beforeAutospacing="0" w:line="480" w:lineRule="auto"/>
        <w:jc w:val="both"/>
      </w:pPr>
      <w:r>
        <w:t>This study relied on the perceptions and self-reported behaviours of undergraduate medical students. While the survey questions themselves were widely tested and used, any self-reported data raises questions of reliability and validity. Either intentionally or unintentionally, the students may not have precisely revealed how they utilise information literacy skills in their answers. In addition, it's possible that they weren't able to recollect their acts precisely or that they chose the "correct" response even though it didn't accurately reflect their actual behavior. For example, because they reason that they shouldn't use tools like Google or Wikipedia, pupils may underreport their use of them. Therefore, the researcher used face and content validities to ascertain the correctness of the data given.</w:t>
      </w:r>
    </w:p>
    <w:p w14:paraId="12D8DED2" w14:textId="77777777" w:rsidR="00B01D46" w:rsidRDefault="0067013E">
      <w:pPr>
        <w:pStyle w:val="NormalWeb"/>
        <w:spacing w:line="480" w:lineRule="auto"/>
        <w:jc w:val="both"/>
      </w:pPr>
      <w:r>
        <w:lastRenderedPageBreak/>
        <w:t>Finally, the scantiness of related literature on ILS among medical schools and students in developing countries impeded the study. Thus, a lot of time and effort was expended looking for information from various sources namely electronic journals, online magazines, conference papers, electronic theses among others. In addition, this limitation was addressed by examining literature in the developed nations and customizing to the African context. Additionally, literature on closely related studies done in Africa like psychology was examined complement that which was available.</w:t>
      </w:r>
    </w:p>
    <w:p w14:paraId="24E8E83F" w14:textId="77777777" w:rsidR="00B01D46" w:rsidRDefault="0067013E">
      <w:pPr>
        <w:spacing w:after="0" w:line="48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While conducting the study, the researcher encountered difficulties in gathering data, particularly from lecturers, many of whom doubled as medical doctors, </w:t>
      </w:r>
      <w:r>
        <w:rPr>
          <w:rFonts w:ascii="Times New Roman" w:hAnsi="Times New Roman" w:cs="Times New Roman"/>
          <w:sz w:val="24"/>
          <w:szCs w:val="24"/>
        </w:rPr>
        <w:t>with tight schedule and a number of patients in their list, this meant that in some cases they had to be traced outside their normal university stations or after normal working hours. However, the researcher utilised research assistants drawn from the individual universities who were well versed with the academic teaching schedule and in some cases were known to the staff members and could therefore follow them up to provide the information required.</w:t>
      </w:r>
    </w:p>
    <w:p w14:paraId="16227715" w14:textId="77777777" w:rsidR="00B01D46" w:rsidRDefault="00B01D46">
      <w:pPr>
        <w:spacing w:after="0" w:line="240" w:lineRule="auto"/>
        <w:jc w:val="both"/>
        <w:rPr>
          <w:rFonts w:ascii="Times New Roman" w:eastAsia="Times New Roman" w:hAnsi="Times New Roman" w:cs="Times New Roman"/>
          <w:sz w:val="24"/>
          <w:szCs w:val="24"/>
        </w:rPr>
      </w:pPr>
    </w:p>
    <w:p w14:paraId="433F0AF7" w14:textId="77777777" w:rsidR="00B01D46" w:rsidRDefault="0067013E">
      <w:pPr>
        <w:pStyle w:val="Heading2"/>
      </w:pPr>
      <w:bookmarkStart w:id="267" w:name="_Toc165367589"/>
      <w:bookmarkStart w:id="268" w:name="_Toc165897971"/>
      <w:bookmarkStart w:id="269" w:name="_Toc165369131"/>
      <w:bookmarkStart w:id="270" w:name="_Toc165975736"/>
      <w:bookmarkStart w:id="271" w:name="_Toc165365118"/>
      <w:bookmarkStart w:id="272" w:name="_Toc165973015"/>
      <w:bookmarkStart w:id="273" w:name="_Toc164663973"/>
      <w:bookmarkStart w:id="274" w:name="_Toc184272847"/>
      <w:bookmarkStart w:id="275" w:name="_Toc165364851"/>
      <w:bookmarkStart w:id="276" w:name="_Toc165368315"/>
      <w:r>
        <w:t>1.10 Operationalization of Terms Used in the Study</w:t>
      </w:r>
      <w:bookmarkEnd w:id="267"/>
      <w:bookmarkEnd w:id="268"/>
      <w:bookmarkEnd w:id="269"/>
      <w:bookmarkEnd w:id="270"/>
      <w:bookmarkEnd w:id="271"/>
      <w:bookmarkEnd w:id="272"/>
      <w:bookmarkEnd w:id="273"/>
      <w:bookmarkEnd w:id="274"/>
      <w:bookmarkEnd w:id="275"/>
      <w:bookmarkEnd w:id="276"/>
    </w:p>
    <w:p w14:paraId="64947142" w14:textId="77777777" w:rsidR="00B01D46" w:rsidRDefault="0067013E">
      <w:pPr>
        <w:spacing w:after="0" w:line="480" w:lineRule="auto"/>
        <w:ind w:right="-288"/>
        <w:jc w:val="both"/>
        <w:rPr>
          <w:rFonts w:ascii="Times New Roman" w:hAnsi="Times New Roman" w:cs="Times New Roman"/>
          <w:b/>
          <w:sz w:val="24"/>
          <w:szCs w:val="24"/>
        </w:rPr>
      </w:pPr>
      <w:r>
        <w:rPr>
          <w:rFonts w:ascii="Times New Roman" w:hAnsi="Times New Roman" w:cs="Times New Roman"/>
          <w:b/>
          <w:sz w:val="24"/>
          <w:szCs w:val="24"/>
        </w:rPr>
        <w:t xml:space="preserve">Communication skills - </w:t>
      </w:r>
      <w:r>
        <w:rPr>
          <w:rFonts w:ascii="Times New Roman" w:hAnsi="Times New Roman" w:cs="Times New Roman"/>
          <w:sz w:val="24"/>
          <w:szCs w:val="24"/>
        </w:rPr>
        <w:t xml:space="preserve">“Communication skills” is a common undergraduate program taught to first years in universities in Kenya. It comprises information skills, reading skills, public/oral presentation skills, library skills, listening skills, speaking skills, critical thinking skills, problem-solving skills, writing skills, examination skills, research skills, and functional writing skills. </w:t>
      </w:r>
    </w:p>
    <w:p w14:paraId="2DC9CE6A"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Curriculum</w:t>
      </w:r>
      <w:r>
        <w:rPr>
          <w:rFonts w:ascii="Times New Roman" w:hAnsi="Times New Roman" w:cs="Times New Roman"/>
          <w:sz w:val="24"/>
          <w:szCs w:val="24"/>
        </w:rPr>
        <w:t>: The intentional engagement of students with educational content, resources, and systems for assessing academic achievement.</w:t>
      </w:r>
    </w:p>
    <w:p w14:paraId="32007F64"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lastRenderedPageBreak/>
        <w:t>Education - T</w:t>
      </w:r>
      <w:r>
        <w:rPr>
          <w:rFonts w:ascii="Times New Roman" w:hAnsi="Times New Roman" w:cs="Times New Roman"/>
          <w:sz w:val="24"/>
          <w:szCs w:val="24"/>
        </w:rPr>
        <w:t>he aggregate of all the processes through which a person develops abilities, attitudes, skills and other forms of positive behavior that are valuable to society.</w:t>
      </w:r>
    </w:p>
    <w:p w14:paraId="5823F2B9"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Electronic Information Resource</w:t>
      </w:r>
      <w:r>
        <w:rPr>
          <w:rFonts w:ascii="Times New Roman" w:hAnsi="Times New Roman" w:cs="Times New Roman"/>
          <w:sz w:val="24"/>
          <w:szCs w:val="24"/>
        </w:rPr>
        <w:t>- Any information source in digital format that the library provides.</w:t>
      </w:r>
    </w:p>
    <w:p w14:paraId="76238369" w14:textId="77777777" w:rsidR="00B01D46" w:rsidRDefault="0067013E">
      <w:pPr>
        <w:spacing w:before="120" w:after="0" w:line="480" w:lineRule="auto"/>
        <w:ind w:right="-288"/>
        <w:jc w:val="both"/>
        <w:rPr>
          <w:rFonts w:ascii="Times New Roman" w:hAnsi="Times New Roman" w:cs="Times New Roman"/>
          <w:bCs/>
          <w:sz w:val="24"/>
          <w:szCs w:val="24"/>
        </w:rPr>
      </w:pPr>
      <w:r>
        <w:rPr>
          <w:rFonts w:ascii="Times New Roman" w:hAnsi="Times New Roman" w:cs="Times New Roman"/>
          <w:b/>
          <w:bCs/>
          <w:sz w:val="24"/>
          <w:szCs w:val="24"/>
        </w:rPr>
        <w:t xml:space="preserve">Information </w:t>
      </w:r>
      <w:r>
        <w:rPr>
          <w:rFonts w:ascii="Times New Roman" w:hAnsi="Times New Roman" w:cs="Times New Roman"/>
          <w:bCs/>
          <w:sz w:val="24"/>
          <w:szCs w:val="24"/>
        </w:rPr>
        <w:t>– Knowledge acquired through study or experience; knowledge of specific events or situations (Florida, 2010).</w:t>
      </w:r>
    </w:p>
    <w:p w14:paraId="4B755C0A"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bCs/>
          <w:sz w:val="24"/>
          <w:szCs w:val="24"/>
        </w:rPr>
        <w:t>Information and Communication Technology-</w:t>
      </w:r>
      <w:r>
        <w:rPr>
          <w:rFonts w:ascii="Times New Roman" w:hAnsi="Times New Roman" w:cs="Times New Roman"/>
          <w:sz w:val="24"/>
          <w:szCs w:val="24"/>
        </w:rPr>
        <w:t xml:space="preserve"> refers to technologies that allow information access via telecommunications. It is related to information technology (IT), but it emphasizes the technologies for communication, that is the Internet, wireless networks, cell phones, and other forms of communication.</w:t>
      </w:r>
    </w:p>
    <w:p w14:paraId="7058C013"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Information literacy-</w:t>
      </w:r>
      <w:r>
        <w:rPr>
          <w:rFonts w:ascii="Times New Roman" w:hAnsi="Times New Roman" w:cs="Times New Roman"/>
          <w:sz w:val="24"/>
          <w:szCs w:val="24"/>
        </w:rPr>
        <w:t xml:space="preserve"> Information Literacy constitutes the ability to recognize when information is needed and to find, assess, effectively use, and communicate information in its various formats</w:t>
      </w:r>
    </w:p>
    <w:p w14:paraId="17CD8DF1"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Information literacy program-</w:t>
      </w:r>
      <w:r>
        <w:rPr>
          <w:rFonts w:ascii="Times New Roman" w:hAnsi="Times New Roman" w:cs="Times New Roman"/>
          <w:sz w:val="24"/>
          <w:szCs w:val="24"/>
        </w:rPr>
        <w:t xml:space="preserve"> The training program undertaken by librarians to their users to enhance them learning ILS for example orientation, information skills, or other library user education activities that enhance users to utilize information resources accordingly.</w:t>
      </w:r>
    </w:p>
    <w:p w14:paraId="43CB25E6"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 xml:space="preserve">Information literacy skills- </w:t>
      </w:r>
      <w:r>
        <w:rPr>
          <w:rFonts w:ascii="Times New Roman" w:hAnsi="Times New Roman" w:cs="Times New Roman"/>
          <w:sz w:val="24"/>
          <w:szCs w:val="24"/>
        </w:rPr>
        <w:t>as having the capability to identify when information is wanted as well as to find, assess, and apply it appropriately. ILS is viewed as a tool for community and individual empowerment in the twenty-first century.</w:t>
      </w:r>
    </w:p>
    <w:p w14:paraId="6379D01B"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Information skills / Library Skills-</w:t>
      </w:r>
      <w:r>
        <w:rPr>
          <w:rFonts w:ascii="Times New Roman" w:hAnsi="Times New Roman" w:cs="Times New Roman"/>
          <w:sz w:val="24"/>
          <w:szCs w:val="24"/>
        </w:rPr>
        <w:t>Information skills or library skills is a component of the communication skills course. Its main objective is to equip learners with the necessary skills necessary for effective identification, location, selection, and application/utilization of information sources. The two terms are used interchangeably.</w:t>
      </w:r>
    </w:p>
    <w:p w14:paraId="533176B2"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lastRenderedPageBreak/>
        <w:t>Information Professional/ Specialists</w:t>
      </w:r>
      <w:r>
        <w:rPr>
          <w:rFonts w:ascii="Times New Roman" w:hAnsi="Times New Roman" w:cs="Times New Roman"/>
          <w:sz w:val="24"/>
          <w:szCs w:val="24"/>
        </w:rPr>
        <w:t xml:space="preserve">- An </w:t>
      </w:r>
      <w:r>
        <w:rPr>
          <w:rFonts w:ascii="Times New Roman" w:hAnsi="Times New Roman" w:cs="Times New Roman"/>
          <w:bCs/>
          <w:sz w:val="24"/>
          <w:szCs w:val="24"/>
        </w:rPr>
        <w:t>information professional</w:t>
      </w:r>
      <w:r>
        <w:rPr>
          <w:rFonts w:ascii="Times New Roman" w:hAnsi="Times New Roman" w:cs="Times New Roman"/>
          <w:sz w:val="24"/>
          <w:szCs w:val="24"/>
        </w:rPr>
        <w:t xml:space="preserve"> or </w:t>
      </w:r>
      <w:r>
        <w:rPr>
          <w:rFonts w:ascii="Times New Roman" w:hAnsi="Times New Roman" w:cs="Times New Roman"/>
          <w:bCs/>
          <w:sz w:val="24"/>
          <w:szCs w:val="24"/>
        </w:rPr>
        <w:t>information specialist</w:t>
      </w:r>
      <w:r>
        <w:rPr>
          <w:rFonts w:ascii="Times New Roman" w:hAnsi="Times New Roman" w:cs="Times New Roman"/>
          <w:sz w:val="24"/>
          <w:szCs w:val="24"/>
        </w:rPr>
        <w:t xml:space="preserve"> is someone who collects, records, organizes, stores, preserves, retrieves and disseminates printed or digital information</w:t>
      </w:r>
    </w:p>
    <w:p w14:paraId="2BA3712B"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Information Sources-</w:t>
      </w:r>
      <w:r>
        <w:rPr>
          <w:rFonts w:ascii="Times New Roman" w:hAnsi="Times New Roman" w:cs="Times New Roman"/>
          <w:sz w:val="24"/>
          <w:szCs w:val="24"/>
        </w:rPr>
        <w:t xml:space="preserve"> An individual, object, or place from whom information emerges, arises, or is received is referred to as an information source. Primary and secondary information sources exist. That source may then inform or share information about something with another individual.</w:t>
      </w:r>
    </w:p>
    <w:p w14:paraId="383944AE" w14:textId="77777777" w:rsidR="00B01D46" w:rsidRDefault="0067013E">
      <w:pPr>
        <w:spacing w:before="120" w:after="0" w:line="480" w:lineRule="auto"/>
        <w:ind w:right="-28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Instruction</w:t>
      </w:r>
      <w:r>
        <w:rPr>
          <w:rFonts w:ascii="Times New Roman" w:eastAsia="Times New Roman" w:hAnsi="Times New Roman" w:cs="Times New Roman"/>
          <w:sz w:val="24"/>
          <w:szCs w:val="24"/>
        </w:rPr>
        <w:t xml:space="preserve">- </w:t>
      </w:r>
      <w:r>
        <w:rPr>
          <w:rFonts w:ascii="Times New Roman" w:hAnsi="Times New Roman" w:cs="Times New Roman"/>
          <w:color w:val="212529"/>
          <w:sz w:val="24"/>
          <w:szCs w:val="24"/>
          <w:shd w:val="clear" w:color="auto" w:fill="FFFFFF"/>
        </w:rPr>
        <w:t>An outline or manual of technical procedure</w:t>
      </w:r>
    </w:p>
    <w:p w14:paraId="080C9AAF" w14:textId="4AB61442"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Literacy-</w:t>
      </w:r>
      <w:r>
        <w:rPr>
          <w:rFonts w:ascii="Times New Roman" w:hAnsi="Times New Roman" w:cs="Times New Roman"/>
          <w:sz w:val="24"/>
          <w:szCs w:val="24"/>
        </w:rPr>
        <w:t xml:space="preserve"> The ability to Read and Write Locate, Access and Utilize Electronic Information Resources</w:t>
      </w:r>
    </w:p>
    <w:p w14:paraId="567566BB" w14:textId="77777777" w:rsidR="00010367" w:rsidRDefault="00010367" w:rsidP="00010367">
      <w:pPr>
        <w:spacing w:before="120" w:after="0" w:line="480" w:lineRule="auto"/>
        <w:ind w:right="-28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Medical Students-</w:t>
      </w:r>
      <w:r>
        <w:rPr>
          <w:rFonts w:ascii="Times New Roman" w:hAnsi="Times New Roman" w:cs="Times New Roman"/>
          <w:color w:val="333333"/>
          <w:sz w:val="24"/>
          <w:szCs w:val="24"/>
          <w:shd w:val="clear" w:color="auto" w:fill="FFFFFF"/>
        </w:rPr>
        <w:t xml:space="preserve"> Means an individual participating in a nationally accredited academic program leading to the medical doctor or doctor of osteopathy degree</w:t>
      </w:r>
    </w:p>
    <w:p w14:paraId="70F3011A" w14:textId="77777777" w:rsidR="00010367" w:rsidRDefault="00010367" w:rsidP="00010367">
      <w:pPr>
        <w:spacing w:before="120" w:after="0" w:line="480" w:lineRule="auto"/>
        <w:ind w:right="-288"/>
        <w:jc w:val="both"/>
        <w:rPr>
          <w:rFonts w:ascii="Times New Roman" w:hAnsi="Times New Roman" w:cs="Times New Roman"/>
          <w:sz w:val="24"/>
          <w:szCs w:val="24"/>
        </w:rPr>
      </w:pPr>
      <w:r>
        <w:rPr>
          <w:rFonts w:ascii="Times New Roman" w:eastAsia="Times New Roman" w:hAnsi="Times New Roman" w:cs="Times New Roman"/>
          <w:b/>
          <w:bCs/>
          <w:sz w:val="24"/>
          <w:szCs w:val="24"/>
        </w:rPr>
        <w:t>Medicine-</w:t>
      </w:r>
      <w:r>
        <w:rPr>
          <w:rFonts w:ascii="Times New Roman" w:hAnsi="Times New Roman" w:cs="Times New Roman"/>
          <w:color w:val="333333"/>
          <w:sz w:val="24"/>
          <w:szCs w:val="24"/>
          <w:shd w:val="clear" w:color="auto" w:fill="FFFFFF"/>
        </w:rPr>
        <w:t xml:space="preserve"> Is a substance or preparation used in treating disease</w:t>
      </w:r>
    </w:p>
    <w:p w14:paraId="6696EC63"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Private Universities</w:t>
      </w:r>
      <w:r>
        <w:rPr>
          <w:rFonts w:ascii="Times New Roman" w:hAnsi="Times New Roman" w:cs="Times New Roman"/>
          <w:sz w:val="24"/>
          <w:szCs w:val="24"/>
        </w:rPr>
        <w:t xml:space="preserve"> – universities that are set up and run by private individual groups or companies and accredited by the Commission for University Education (CUE) in Kenya. </w:t>
      </w:r>
    </w:p>
    <w:p w14:paraId="46F77060" w14:textId="3E09CA90"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Public universities</w:t>
      </w:r>
      <w:r>
        <w:rPr>
          <w:rFonts w:ascii="Times New Roman" w:hAnsi="Times New Roman" w:cs="Times New Roman"/>
          <w:sz w:val="24"/>
          <w:szCs w:val="24"/>
        </w:rPr>
        <w:t xml:space="preserve"> </w:t>
      </w:r>
      <w:r w:rsidRPr="00010367">
        <w:rPr>
          <w:rFonts w:ascii="Times New Roman" w:hAnsi="Times New Roman" w:cs="Times New Roman"/>
          <w:sz w:val="24"/>
          <w:szCs w:val="24"/>
        </w:rPr>
        <w:t xml:space="preserve">– </w:t>
      </w:r>
      <w:r w:rsidR="00010367" w:rsidRPr="00C0543E">
        <w:rPr>
          <w:rFonts w:ascii="Times New Roman" w:hAnsi="Times New Roman" w:cs="Times New Roman"/>
          <w:color w:val="211B00"/>
          <w:sz w:val="24"/>
          <w:szCs w:val="24"/>
          <w:shd w:val="clear" w:color="auto" w:fill="FFFFFF"/>
        </w:rPr>
        <w:t xml:space="preserve">academic institution </w:t>
      </w:r>
      <w:r w:rsidRPr="00010367">
        <w:rPr>
          <w:rFonts w:ascii="Times New Roman" w:hAnsi="Times New Roman" w:cs="Times New Roman"/>
          <w:sz w:val="24"/>
          <w:szCs w:val="24"/>
        </w:rPr>
        <w:t>established</w:t>
      </w:r>
      <w:r>
        <w:rPr>
          <w:rFonts w:ascii="Times New Roman" w:hAnsi="Times New Roman" w:cs="Times New Roman"/>
          <w:sz w:val="24"/>
          <w:szCs w:val="24"/>
        </w:rPr>
        <w:t xml:space="preserve"> through an Act of </w:t>
      </w:r>
      <w:r w:rsidRPr="00010367">
        <w:rPr>
          <w:rFonts w:ascii="Times New Roman" w:hAnsi="Times New Roman" w:cs="Times New Roman"/>
          <w:sz w:val="24"/>
          <w:szCs w:val="24"/>
        </w:rPr>
        <w:t xml:space="preserve">Parliament and </w:t>
      </w:r>
      <w:r w:rsidR="00010367" w:rsidRPr="00C0543E">
        <w:rPr>
          <w:rFonts w:ascii="Times New Roman" w:hAnsi="Times New Roman" w:cs="Times New Roman"/>
          <w:color w:val="211B00"/>
          <w:szCs w:val="24"/>
          <w:shd w:val="clear" w:color="auto" w:fill="FFFFFF"/>
        </w:rPr>
        <w:t>funded by the government</w:t>
      </w:r>
      <w:r w:rsidR="00010367" w:rsidRPr="00010367">
        <w:rPr>
          <w:rFonts w:ascii="Times New Roman" w:hAnsi="Times New Roman" w:cs="Times New Roman"/>
          <w:sz w:val="24"/>
          <w:szCs w:val="24"/>
        </w:rPr>
        <w:t xml:space="preserve"> </w:t>
      </w:r>
      <w:r>
        <w:rPr>
          <w:rFonts w:ascii="Times New Roman" w:hAnsi="Times New Roman" w:cs="Times New Roman"/>
          <w:sz w:val="24"/>
          <w:szCs w:val="24"/>
        </w:rPr>
        <w:t>for their operations.</w:t>
      </w:r>
      <w:r w:rsidR="00010367">
        <w:rPr>
          <w:rFonts w:ascii="Times New Roman" w:hAnsi="Times New Roman" w:cs="Times New Roman"/>
          <w:sz w:val="24"/>
          <w:szCs w:val="24"/>
        </w:rPr>
        <w:t xml:space="preserve"> </w:t>
      </w:r>
    </w:p>
    <w:p w14:paraId="5DD64A69" w14:textId="77777777" w:rsidR="00010367" w:rsidRDefault="00010367">
      <w:pPr>
        <w:spacing w:before="120" w:after="0" w:line="480" w:lineRule="auto"/>
        <w:ind w:right="-288"/>
        <w:jc w:val="both"/>
        <w:rPr>
          <w:rFonts w:ascii="Times New Roman" w:hAnsi="Times New Roman" w:cs="Times New Roman"/>
          <w:sz w:val="24"/>
          <w:szCs w:val="24"/>
        </w:rPr>
      </w:pPr>
    </w:p>
    <w:p w14:paraId="1D9EE79F"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 xml:space="preserve">Student </w:t>
      </w:r>
      <w:r>
        <w:rPr>
          <w:rFonts w:ascii="Times New Roman" w:hAnsi="Times New Roman" w:cs="Times New Roman"/>
          <w:sz w:val="24"/>
          <w:szCs w:val="24"/>
        </w:rPr>
        <w:t>– Both regular and full-time students who are government-sponsored and part-time students who are self-sponsored. In some cases, the two categories are integrated into the same classroom.</w:t>
      </w:r>
    </w:p>
    <w:p w14:paraId="742882F2"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lastRenderedPageBreak/>
        <w:t xml:space="preserve">Teaching staff </w:t>
      </w:r>
      <w:r>
        <w:rPr>
          <w:rFonts w:ascii="Times New Roman" w:hAnsi="Times New Roman" w:cs="Times New Roman"/>
          <w:sz w:val="24"/>
          <w:szCs w:val="24"/>
        </w:rPr>
        <w:t xml:space="preserve">– lecturers and librarians involved in teaching communication skills courses and other Information Literacy related courses. </w:t>
      </w:r>
    </w:p>
    <w:p w14:paraId="0DD222AE" w14:textId="77777777" w:rsidR="00B01D46" w:rsidRDefault="0067013E">
      <w:pPr>
        <w:pStyle w:val="Heading2"/>
      </w:pPr>
      <w:bookmarkStart w:id="277" w:name="_Toc165975737"/>
      <w:bookmarkStart w:id="278" w:name="_Toc164663974"/>
      <w:bookmarkStart w:id="279" w:name="_Toc165365119"/>
      <w:bookmarkStart w:id="280" w:name="_Toc184272848"/>
      <w:bookmarkStart w:id="281" w:name="_Toc165364852"/>
      <w:bookmarkStart w:id="282" w:name="_Toc165897972"/>
      <w:bookmarkStart w:id="283" w:name="_Toc165973016"/>
      <w:bookmarkStart w:id="284" w:name="_Toc165368316"/>
      <w:bookmarkStart w:id="285" w:name="_Toc165369132"/>
      <w:bookmarkStart w:id="286" w:name="_Toc165367590"/>
      <w:r>
        <w:t>1.11 Structure of the Thesis</w:t>
      </w:r>
      <w:bookmarkEnd w:id="277"/>
      <w:bookmarkEnd w:id="278"/>
      <w:bookmarkEnd w:id="279"/>
      <w:bookmarkEnd w:id="280"/>
      <w:bookmarkEnd w:id="281"/>
      <w:bookmarkEnd w:id="282"/>
      <w:bookmarkEnd w:id="283"/>
      <w:bookmarkEnd w:id="284"/>
      <w:bookmarkEnd w:id="285"/>
      <w:bookmarkEnd w:id="286"/>
      <w:r>
        <w:t xml:space="preserve">  </w:t>
      </w:r>
    </w:p>
    <w:p w14:paraId="51891BD1" w14:textId="77777777" w:rsidR="00B01D46" w:rsidRDefault="0067013E">
      <w:pPr>
        <w:pStyle w:val="NormalWeb"/>
        <w:shd w:val="clear" w:color="auto" w:fill="FFFFFF"/>
        <w:spacing w:before="120" w:beforeAutospacing="0" w:after="0" w:afterAutospacing="0" w:line="480" w:lineRule="auto"/>
        <w:ind w:right="-288"/>
        <w:jc w:val="both"/>
        <w:rPr>
          <w:bCs/>
        </w:rPr>
      </w:pPr>
      <w:r>
        <w:rPr>
          <w:bCs/>
        </w:rPr>
        <w:t xml:space="preserve">This thesis is organized into seven chapters as follows: </w:t>
      </w:r>
    </w:p>
    <w:p w14:paraId="13FCFA05" w14:textId="77777777" w:rsidR="00B01D46" w:rsidRDefault="0067013E">
      <w:pPr>
        <w:pStyle w:val="NormalWeb"/>
        <w:shd w:val="clear" w:color="auto" w:fill="FFFFFF"/>
        <w:spacing w:before="120" w:beforeAutospacing="0" w:after="0" w:afterAutospacing="0" w:line="480" w:lineRule="auto"/>
        <w:ind w:right="-288"/>
        <w:jc w:val="both"/>
        <w:rPr>
          <w:b/>
          <w:bCs/>
        </w:rPr>
      </w:pPr>
      <w:r>
        <w:rPr>
          <w:b/>
          <w:bCs/>
        </w:rPr>
        <w:t>Chapter One: Introduction and Background to the study</w:t>
      </w:r>
    </w:p>
    <w:p w14:paraId="6B10442A" w14:textId="77777777" w:rsidR="00B01D46" w:rsidRDefault="0067013E">
      <w:pPr>
        <w:pStyle w:val="NormalWeb"/>
        <w:shd w:val="clear" w:color="auto" w:fill="FFFFFF"/>
        <w:spacing w:before="120" w:beforeAutospacing="0" w:after="0" w:afterAutospacing="0" w:line="480" w:lineRule="auto"/>
        <w:ind w:right="-288"/>
        <w:jc w:val="both"/>
        <w:rPr>
          <w:bCs/>
        </w:rPr>
      </w:pPr>
      <w:r>
        <w:rPr>
          <w:bCs/>
        </w:rPr>
        <w:t xml:space="preserve">This chapter covers the background of the study, statement of the problem, aim of the study, research objectives, research questions, assumptions of the study, significance of the study, study scope, and limitations. </w:t>
      </w:r>
    </w:p>
    <w:p w14:paraId="6A1401DB" w14:textId="77777777" w:rsidR="00B01D46" w:rsidRDefault="0067013E">
      <w:pPr>
        <w:pStyle w:val="NormalWeb"/>
        <w:shd w:val="clear" w:color="auto" w:fill="FFFFFF"/>
        <w:spacing w:before="120" w:beforeAutospacing="0" w:after="0" w:afterAutospacing="0" w:line="480" w:lineRule="auto"/>
        <w:ind w:right="-288"/>
        <w:jc w:val="both"/>
        <w:rPr>
          <w:b/>
          <w:bCs/>
        </w:rPr>
      </w:pPr>
      <w:r>
        <w:rPr>
          <w:b/>
          <w:bCs/>
        </w:rPr>
        <w:t>Chapter Two: Theoretical Framework</w:t>
      </w:r>
    </w:p>
    <w:p w14:paraId="1C981F7A" w14:textId="77777777" w:rsidR="00B01D46" w:rsidRDefault="0067013E">
      <w:pPr>
        <w:pStyle w:val="NormalWeb"/>
        <w:shd w:val="clear" w:color="auto" w:fill="FFFFFF"/>
        <w:spacing w:before="120" w:beforeAutospacing="0" w:after="0" w:afterAutospacing="0" w:line="480" w:lineRule="auto"/>
        <w:ind w:right="-288"/>
        <w:jc w:val="both"/>
        <w:rPr>
          <w:bCs/>
        </w:rPr>
      </w:pPr>
      <w:r>
        <w:rPr>
          <w:bCs/>
        </w:rPr>
        <w:t>This chapter presents the theories that guided the study.</w:t>
      </w:r>
    </w:p>
    <w:p w14:paraId="12FC5AE6" w14:textId="77777777" w:rsidR="00B01D46" w:rsidRDefault="0067013E">
      <w:pPr>
        <w:pStyle w:val="NormalWeb"/>
        <w:shd w:val="clear" w:color="auto" w:fill="FFFFFF"/>
        <w:spacing w:before="120" w:beforeAutospacing="0" w:after="0" w:afterAutospacing="0" w:line="480" w:lineRule="auto"/>
        <w:ind w:right="-288"/>
        <w:jc w:val="both"/>
        <w:rPr>
          <w:b/>
          <w:bCs/>
        </w:rPr>
      </w:pPr>
      <w:r>
        <w:rPr>
          <w:b/>
          <w:bCs/>
        </w:rPr>
        <w:t>Chapter Three: Literature Review</w:t>
      </w:r>
    </w:p>
    <w:p w14:paraId="7637D948" w14:textId="77777777" w:rsidR="00B01D46" w:rsidRDefault="0067013E">
      <w:pPr>
        <w:pStyle w:val="NormalWeb"/>
        <w:shd w:val="clear" w:color="auto" w:fill="FFFFFF"/>
        <w:spacing w:before="120" w:beforeAutospacing="0" w:after="0" w:afterAutospacing="0" w:line="480" w:lineRule="auto"/>
        <w:ind w:right="-288"/>
        <w:jc w:val="both"/>
        <w:rPr>
          <w:bCs/>
        </w:rPr>
      </w:pPr>
      <w:r>
        <w:t>The chapter provides a detailed review of both theoretical and empirical literature in textbooks, e-journal articles, online databases, and other sources. The literature identified the gaps and the contribution of this study in addressing them adduced.</w:t>
      </w:r>
    </w:p>
    <w:p w14:paraId="5797940B" w14:textId="77777777" w:rsidR="00B01D46" w:rsidRDefault="0067013E">
      <w:pPr>
        <w:pStyle w:val="NormalWeb"/>
        <w:shd w:val="clear" w:color="auto" w:fill="FFFFFF"/>
        <w:spacing w:before="120" w:beforeAutospacing="0" w:after="0" w:afterAutospacing="0" w:line="480" w:lineRule="auto"/>
        <w:ind w:right="-288"/>
        <w:jc w:val="both"/>
        <w:rPr>
          <w:b/>
          <w:bCs/>
        </w:rPr>
      </w:pPr>
      <w:r>
        <w:rPr>
          <w:b/>
          <w:bCs/>
        </w:rPr>
        <w:t>Chapter Four: Research Methodology</w:t>
      </w:r>
    </w:p>
    <w:p w14:paraId="6D17519F" w14:textId="77777777" w:rsidR="00B01D46" w:rsidRDefault="0067013E">
      <w:pPr>
        <w:pStyle w:val="NormalWeb"/>
        <w:shd w:val="clear" w:color="auto" w:fill="FFFFFF"/>
        <w:spacing w:before="120" w:beforeAutospacing="0" w:after="0" w:afterAutospacing="0" w:line="480" w:lineRule="auto"/>
        <w:ind w:right="-288"/>
        <w:jc w:val="both"/>
      </w:pPr>
      <w:r>
        <w:t>This chapter presents the research paradigm, research approach, research design, study population, sampling technique, sample size, data collection methods, validity and reliability, ethical issues, and data analysis.</w:t>
      </w:r>
    </w:p>
    <w:p w14:paraId="32A3229F" w14:textId="77777777" w:rsidR="00B01D46" w:rsidRDefault="0067013E">
      <w:pPr>
        <w:pStyle w:val="NormalWeb"/>
        <w:shd w:val="clear" w:color="auto" w:fill="FFFFFF"/>
        <w:spacing w:before="120" w:beforeAutospacing="0" w:after="0" w:afterAutospacing="0" w:line="480" w:lineRule="auto"/>
        <w:ind w:right="-288"/>
        <w:jc w:val="both"/>
        <w:rPr>
          <w:b/>
          <w:bCs/>
        </w:rPr>
      </w:pPr>
      <w:r>
        <w:rPr>
          <w:b/>
          <w:bCs/>
        </w:rPr>
        <w:t>Chapter Five: Data Analysis and presentation of the study</w:t>
      </w:r>
    </w:p>
    <w:p w14:paraId="3773E9EE" w14:textId="77777777" w:rsidR="00B01D46" w:rsidRDefault="0067013E">
      <w:pPr>
        <w:pStyle w:val="NormalWeb"/>
        <w:shd w:val="clear" w:color="auto" w:fill="FFFFFF"/>
        <w:spacing w:before="120" w:beforeAutospacing="0" w:after="0" w:afterAutospacing="0" w:line="480" w:lineRule="auto"/>
        <w:ind w:right="-288"/>
        <w:jc w:val="both"/>
        <w:rPr>
          <w:bCs/>
        </w:rPr>
      </w:pPr>
      <w:r>
        <w:rPr>
          <w:bCs/>
        </w:rPr>
        <w:t xml:space="preserve">Analyzes and presents data collected from the sample following the sequence set out by the study’s objectives. </w:t>
      </w:r>
    </w:p>
    <w:p w14:paraId="74E223D4" w14:textId="77777777" w:rsidR="00B01D46" w:rsidRDefault="0067013E">
      <w:pPr>
        <w:pStyle w:val="NormalWeb"/>
        <w:shd w:val="clear" w:color="auto" w:fill="FFFFFF"/>
        <w:spacing w:before="120" w:beforeAutospacing="0" w:after="0" w:afterAutospacing="0" w:line="480" w:lineRule="auto"/>
        <w:ind w:right="-288"/>
        <w:jc w:val="both"/>
        <w:rPr>
          <w:b/>
          <w:bCs/>
        </w:rPr>
      </w:pPr>
      <w:r>
        <w:rPr>
          <w:b/>
          <w:bCs/>
        </w:rPr>
        <w:t>Chapter Six: Discussion of the findings</w:t>
      </w:r>
    </w:p>
    <w:p w14:paraId="22856A16" w14:textId="77777777" w:rsidR="00B01D46" w:rsidRDefault="0067013E">
      <w:pPr>
        <w:pStyle w:val="NormalWeb"/>
        <w:shd w:val="clear" w:color="auto" w:fill="FFFFFF"/>
        <w:spacing w:before="120" w:beforeAutospacing="0" w:after="0" w:afterAutospacing="0" w:line="480" w:lineRule="auto"/>
        <w:ind w:right="-288"/>
        <w:jc w:val="both"/>
        <w:rPr>
          <w:bCs/>
        </w:rPr>
      </w:pPr>
      <w:r>
        <w:rPr>
          <w:bCs/>
        </w:rPr>
        <w:lastRenderedPageBreak/>
        <w:t xml:space="preserve">Discusses the study’s findings following the order of the study objectives. </w:t>
      </w:r>
    </w:p>
    <w:p w14:paraId="7343A162" w14:textId="77777777" w:rsidR="00B01D46" w:rsidRDefault="0067013E">
      <w:pPr>
        <w:pStyle w:val="NormalWeb"/>
        <w:shd w:val="clear" w:color="auto" w:fill="FFFFFF"/>
        <w:spacing w:before="120" w:beforeAutospacing="0" w:after="0" w:afterAutospacing="0" w:line="480" w:lineRule="auto"/>
        <w:ind w:right="-288"/>
        <w:jc w:val="both"/>
        <w:rPr>
          <w:b/>
          <w:bCs/>
        </w:rPr>
      </w:pPr>
      <w:r>
        <w:rPr>
          <w:b/>
          <w:bCs/>
        </w:rPr>
        <w:t>Chapter Seven: Summary of the findings, conclusion, and recommendations</w:t>
      </w:r>
    </w:p>
    <w:p w14:paraId="0493332D" w14:textId="77777777" w:rsidR="00B01D46" w:rsidRDefault="0067013E">
      <w:pPr>
        <w:pStyle w:val="NormalWeb"/>
        <w:shd w:val="clear" w:color="auto" w:fill="FFFFFF"/>
        <w:spacing w:before="120" w:beforeAutospacing="0" w:after="0" w:afterAutospacing="0" w:line="480" w:lineRule="auto"/>
        <w:ind w:right="-288"/>
        <w:jc w:val="both"/>
        <w:rPr>
          <w:bCs/>
        </w:rPr>
      </w:pPr>
      <w:r>
        <w:rPr>
          <w:bCs/>
        </w:rPr>
        <w:t xml:space="preserve">Provides a summary findings and conclusions. The recommendations provided target various players including the government, medical schools, lecturers, librarians and universities’ management boards. In addition, the researcher proposed an 8-step framework to enhance ILS delivery to medical undergraduate students.   </w:t>
      </w:r>
    </w:p>
    <w:p w14:paraId="1E1F0184" w14:textId="77777777" w:rsidR="00B01D46" w:rsidRDefault="00B01D46">
      <w:pPr>
        <w:pStyle w:val="NormalWeb"/>
        <w:shd w:val="clear" w:color="auto" w:fill="FFFFFF"/>
        <w:spacing w:before="0" w:beforeAutospacing="0" w:after="0" w:afterAutospacing="0"/>
        <w:ind w:right="-289"/>
        <w:jc w:val="both"/>
        <w:rPr>
          <w:bCs/>
        </w:rPr>
      </w:pPr>
    </w:p>
    <w:p w14:paraId="2689F953" w14:textId="77777777" w:rsidR="00B01D46" w:rsidRDefault="0067013E">
      <w:pPr>
        <w:pStyle w:val="Heading2"/>
      </w:pPr>
      <w:bookmarkStart w:id="287" w:name="_Toc165975738"/>
      <w:bookmarkStart w:id="288" w:name="_Toc165368317"/>
      <w:bookmarkStart w:id="289" w:name="_Toc184272849"/>
      <w:bookmarkStart w:id="290" w:name="_Toc165897973"/>
      <w:bookmarkStart w:id="291" w:name="_Toc165364853"/>
      <w:bookmarkStart w:id="292" w:name="_Toc165367591"/>
      <w:bookmarkStart w:id="293" w:name="_Toc165365120"/>
      <w:bookmarkStart w:id="294" w:name="_Toc164663975"/>
      <w:bookmarkStart w:id="295" w:name="_Toc165369133"/>
      <w:bookmarkStart w:id="296" w:name="_Toc165973017"/>
      <w:r>
        <w:t>1.12 Chapter Summary</w:t>
      </w:r>
      <w:bookmarkEnd w:id="287"/>
      <w:bookmarkEnd w:id="288"/>
      <w:bookmarkEnd w:id="289"/>
      <w:bookmarkEnd w:id="290"/>
      <w:bookmarkEnd w:id="291"/>
      <w:bookmarkEnd w:id="292"/>
      <w:bookmarkEnd w:id="293"/>
      <w:bookmarkEnd w:id="294"/>
      <w:bookmarkEnd w:id="295"/>
      <w:bookmarkEnd w:id="296"/>
      <w:r>
        <w:t xml:space="preserve"> </w:t>
      </w:r>
    </w:p>
    <w:p w14:paraId="162EACDD" w14:textId="3FD8E530" w:rsidR="00B01D46" w:rsidRDefault="0067013E">
      <w:pPr>
        <w:pStyle w:val="NormalWeb"/>
        <w:shd w:val="clear" w:color="auto" w:fill="FFFFFF"/>
        <w:spacing w:before="0" w:beforeAutospacing="0" w:after="0" w:afterAutospacing="0" w:line="480" w:lineRule="auto"/>
        <w:ind w:right="-288"/>
        <w:jc w:val="both"/>
        <w:rPr>
          <w:bCs/>
        </w:rPr>
      </w:pPr>
      <w:r>
        <w:rPr>
          <w:bCs/>
        </w:rPr>
        <w:t>In this chapter, the researcher covered several areas that formed the introduction to the study. The first part dealt with the background of the study consisting of the four areas. The statement of the problem was an explanation of the problem or challenge that prompted the researcher to investigate the study area, while both the aim of the study and the specific objectives and research questions were used to give further clarification, direction, and focus to the research.  Other facets that are encompassed in this chapter are the assumptions of the study, the significance of the study, and the study’s scope and limitations.</w:t>
      </w:r>
    </w:p>
    <w:p w14:paraId="7EDD3767" w14:textId="07A369E0" w:rsidR="00C0543E" w:rsidRDefault="00C0543E">
      <w:pPr>
        <w:pStyle w:val="NormalWeb"/>
        <w:shd w:val="clear" w:color="auto" w:fill="FFFFFF"/>
        <w:spacing w:before="0" w:beforeAutospacing="0" w:after="0" w:afterAutospacing="0" w:line="480" w:lineRule="auto"/>
        <w:ind w:right="-288"/>
        <w:jc w:val="both"/>
        <w:rPr>
          <w:bCs/>
        </w:rPr>
      </w:pPr>
    </w:p>
    <w:p w14:paraId="232168CE" w14:textId="69083A04" w:rsidR="00C0543E" w:rsidRDefault="00C0543E">
      <w:pPr>
        <w:pStyle w:val="NormalWeb"/>
        <w:shd w:val="clear" w:color="auto" w:fill="FFFFFF"/>
        <w:spacing w:before="0" w:beforeAutospacing="0" w:after="0" w:afterAutospacing="0" w:line="480" w:lineRule="auto"/>
        <w:ind w:right="-288"/>
        <w:jc w:val="both"/>
        <w:rPr>
          <w:bCs/>
        </w:rPr>
      </w:pPr>
    </w:p>
    <w:p w14:paraId="7BA6A881" w14:textId="477CAD5D" w:rsidR="00C0543E" w:rsidRDefault="00C0543E">
      <w:pPr>
        <w:pStyle w:val="NormalWeb"/>
        <w:shd w:val="clear" w:color="auto" w:fill="FFFFFF"/>
        <w:spacing w:before="0" w:beforeAutospacing="0" w:after="0" w:afterAutospacing="0" w:line="480" w:lineRule="auto"/>
        <w:ind w:right="-288"/>
        <w:jc w:val="both"/>
        <w:rPr>
          <w:bCs/>
        </w:rPr>
      </w:pPr>
    </w:p>
    <w:p w14:paraId="1513B55C" w14:textId="5902BB6A" w:rsidR="00C0543E" w:rsidRDefault="00C0543E">
      <w:pPr>
        <w:pStyle w:val="NormalWeb"/>
        <w:shd w:val="clear" w:color="auto" w:fill="FFFFFF"/>
        <w:spacing w:before="0" w:beforeAutospacing="0" w:after="0" w:afterAutospacing="0" w:line="480" w:lineRule="auto"/>
        <w:ind w:right="-288"/>
        <w:jc w:val="both"/>
        <w:rPr>
          <w:bCs/>
        </w:rPr>
      </w:pPr>
    </w:p>
    <w:p w14:paraId="58DCC592" w14:textId="610AC34E" w:rsidR="00C0543E" w:rsidRDefault="00C0543E">
      <w:pPr>
        <w:pStyle w:val="NormalWeb"/>
        <w:shd w:val="clear" w:color="auto" w:fill="FFFFFF"/>
        <w:spacing w:before="0" w:beforeAutospacing="0" w:after="0" w:afterAutospacing="0" w:line="480" w:lineRule="auto"/>
        <w:ind w:right="-288"/>
        <w:jc w:val="both"/>
        <w:rPr>
          <w:bCs/>
        </w:rPr>
      </w:pPr>
    </w:p>
    <w:p w14:paraId="74F37481" w14:textId="77777777" w:rsidR="00C0543E" w:rsidRDefault="00C0543E">
      <w:pPr>
        <w:pStyle w:val="NormalWeb"/>
        <w:shd w:val="clear" w:color="auto" w:fill="FFFFFF"/>
        <w:spacing w:before="0" w:beforeAutospacing="0" w:after="0" w:afterAutospacing="0" w:line="480" w:lineRule="auto"/>
        <w:ind w:right="-288"/>
        <w:jc w:val="both"/>
        <w:rPr>
          <w:bCs/>
        </w:rPr>
      </w:pPr>
    </w:p>
    <w:p w14:paraId="611E060B" w14:textId="77777777" w:rsidR="00B01D46" w:rsidRDefault="0067013E">
      <w:pPr>
        <w:pStyle w:val="Heading1"/>
      </w:pPr>
      <w:bookmarkStart w:id="297" w:name="_Toc165368318"/>
      <w:bookmarkStart w:id="298" w:name="_Toc165973018"/>
      <w:bookmarkStart w:id="299" w:name="_Toc165897974"/>
      <w:bookmarkStart w:id="300" w:name="_Toc165367592"/>
      <w:bookmarkStart w:id="301" w:name="_Toc164663976"/>
      <w:bookmarkStart w:id="302" w:name="_Toc184272850"/>
      <w:bookmarkStart w:id="303" w:name="_Toc165365121"/>
      <w:bookmarkStart w:id="304" w:name="_Toc165975739"/>
      <w:bookmarkStart w:id="305" w:name="_Toc165369134"/>
      <w:bookmarkStart w:id="306" w:name="_Toc165364854"/>
      <w:bookmarkStart w:id="307" w:name="_Hlk153953166"/>
      <w:r>
        <w:lastRenderedPageBreak/>
        <w:t>CHAPTER TWO</w:t>
      </w:r>
      <w:bookmarkEnd w:id="297"/>
      <w:bookmarkEnd w:id="298"/>
      <w:bookmarkEnd w:id="299"/>
      <w:bookmarkEnd w:id="300"/>
      <w:bookmarkEnd w:id="301"/>
      <w:bookmarkEnd w:id="302"/>
      <w:bookmarkEnd w:id="303"/>
      <w:bookmarkEnd w:id="304"/>
      <w:bookmarkEnd w:id="305"/>
      <w:bookmarkEnd w:id="306"/>
    </w:p>
    <w:p w14:paraId="57DAC669" w14:textId="77777777" w:rsidR="00B01D46" w:rsidRDefault="0067013E">
      <w:pPr>
        <w:pStyle w:val="Heading1"/>
      </w:pPr>
      <w:bookmarkStart w:id="308" w:name="_Toc165369135"/>
      <w:bookmarkStart w:id="309" w:name="_Toc165897975"/>
      <w:bookmarkStart w:id="310" w:name="_Toc165368319"/>
      <w:bookmarkStart w:id="311" w:name="_Toc165975740"/>
      <w:bookmarkStart w:id="312" w:name="_Toc165365122"/>
      <w:bookmarkStart w:id="313" w:name="_Toc165364855"/>
      <w:bookmarkStart w:id="314" w:name="_Toc165367593"/>
      <w:bookmarkStart w:id="315" w:name="_Toc164663977"/>
      <w:bookmarkStart w:id="316" w:name="_Toc165973019"/>
      <w:bookmarkStart w:id="317" w:name="_Toc184272851"/>
      <w:r>
        <w:t>THEORETICAL FRAMEWORK</w:t>
      </w:r>
      <w:bookmarkEnd w:id="308"/>
      <w:bookmarkEnd w:id="309"/>
      <w:bookmarkEnd w:id="310"/>
      <w:bookmarkEnd w:id="311"/>
      <w:bookmarkEnd w:id="312"/>
      <w:bookmarkEnd w:id="313"/>
      <w:bookmarkEnd w:id="314"/>
      <w:bookmarkEnd w:id="315"/>
      <w:bookmarkEnd w:id="316"/>
      <w:bookmarkEnd w:id="317"/>
    </w:p>
    <w:p w14:paraId="7EFA91FE" w14:textId="77777777" w:rsidR="00B01D46" w:rsidRDefault="0067013E">
      <w:pPr>
        <w:pStyle w:val="Heading2"/>
      </w:pPr>
      <w:bookmarkStart w:id="318" w:name="_Toc165365123"/>
      <w:bookmarkStart w:id="319" w:name="_Toc165364856"/>
      <w:bookmarkStart w:id="320" w:name="_Toc165368320"/>
      <w:bookmarkStart w:id="321" w:name="_Toc165369136"/>
      <w:bookmarkStart w:id="322" w:name="_Toc164663978"/>
      <w:bookmarkStart w:id="323" w:name="_Toc165973020"/>
      <w:bookmarkStart w:id="324" w:name="_Toc165975741"/>
      <w:bookmarkStart w:id="325" w:name="_Toc184272852"/>
      <w:bookmarkStart w:id="326" w:name="_Toc165897976"/>
      <w:bookmarkStart w:id="327" w:name="_Toc165367594"/>
      <w:r>
        <w:t>2.1 Introduction</w:t>
      </w:r>
      <w:bookmarkEnd w:id="318"/>
      <w:bookmarkEnd w:id="319"/>
      <w:bookmarkEnd w:id="320"/>
      <w:bookmarkEnd w:id="321"/>
      <w:bookmarkEnd w:id="322"/>
      <w:bookmarkEnd w:id="323"/>
      <w:bookmarkEnd w:id="324"/>
      <w:bookmarkEnd w:id="325"/>
      <w:bookmarkEnd w:id="326"/>
      <w:bookmarkEnd w:id="327"/>
    </w:p>
    <w:p w14:paraId="6DBFB408" w14:textId="77777777" w:rsidR="00B01D46" w:rsidRDefault="0067013E">
      <w:pPr>
        <w:pStyle w:val="NormalWeb"/>
        <w:shd w:val="clear" w:color="auto" w:fill="FFFFFF"/>
        <w:spacing w:before="0" w:beforeAutospacing="0" w:after="0" w:afterAutospacing="0" w:line="480" w:lineRule="auto"/>
        <w:ind w:right="-288"/>
        <w:jc w:val="both"/>
      </w:pPr>
      <w:r>
        <w:t xml:space="preserve">A theoretical framework in a research study is the organization that embraces and supports the theory of a research work (Biesta </w:t>
      </w:r>
      <w:r>
        <w:rPr>
          <w:iCs/>
        </w:rPr>
        <w:t>et al</w:t>
      </w:r>
      <w:r>
        <w:t xml:space="preserve">, 2019). Further, Biesta </w:t>
      </w:r>
      <w:r>
        <w:rPr>
          <w:iCs/>
        </w:rPr>
        <w:t>et al</w:t>
      </w:r>
      <w:r>
        <w:rPr>
          <w:i/>
        </w:rPr>
        <w:t xml:space="preserve"> </w:t>
      </w:r>
      <w:r>
        <w:t xml:space="preserve">(2019) argue that any type of research must have a theory or theories which provide a framework for the interpretation of the study findings since interpretation is an essential component of the research study. Biesta </w:t>
      </w:r>
      <w:r>
        <w:rPr>
          <w:iCs/>
        </w:rPr>
        <w:t>et al</w:t>
      </w:r>
      <w:r>
        <w:rPr>
          <w:i/>
        </w:rPr>
        <w:t xml:space="preserve"> </w:t>
      </w:r>
      <w:r>
        <w:t>(2019) further state that making things visible and understandable that might not be observed is a crucial and enduring property of a theory. In an empirical setting, theory is crucial to help deduce causality and causal mechanisms, to come up with explanations, and to give those explanations credence. As a result, theory combines all the disparate empirical evidence into a unified conceptual framework with broader relevance.</w:t>
      </w:r>
    </w:p>
    <w:p w14:paraId="6E6A935C" w14:textId="24DEF184" w:rsidR="00B01D46" w:rsidRDefault="0067013E">
      <w:pPr>
        <w:spacing w:before="120" w:after="0" w:line="480" w:lineRule="auto"/>
        <w:ind w:right="-28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Cohen </w:t>
      </w:r>
      <w:r w:rsidR="00C576F1">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Manion (2018) identify the following qualities of an ideal theory: a theoretical system must facilitate empirically testable inferences; theory ought to be consistent with both observation and previously verified theories; and theories must be described using straightforward words. </w:t>
      </w:r>
    </w:p>
    <w:p w14:paraId="09A42563"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sz w:val="24"/>
          <w:szCs w:val="24"/>
        </w:rPr>
        <w:t>The discussion above makes it clear that theory is itself a potential source of new knowledge and discoveries, a stream of new hypotheses and unanswered questions; it identifies crucial areas for additional research, reveals knowledge gaps, and enables researchers to postulate the existence of previously overlooked or ignored phenomena.</w:t>
      </w:r>
    </w:p>
    <w:p w14:paraId="793B0F44" w14:textId="77777777" w:rsidR="00B01D46" w:rsidRDefault="00B01D46">
      <w:pPr>
        <w:spacing w:after="0" w:line="240" w:lineRule="auto"/>
        <w:ind w:right="-289"/>
        <w:jc w:val="both"/>
        <w:rPr>
          <w:rFonts w:ascii="Times New Roman" w:hAnsi="Times New Roman" w:cs="Times New Roman"/>
          <w:sz w:val="24"/>
          <w:szCs w:val="24"/>
        </w:rPr>
      </w:pPr>
    </w:p>
    <w:p w14:paraId="69C5AEC5" w14:textId="77777777" w:rsidR="00B01D46" w:rsidRDefault="0067013E">
      <w:pPr>
        <w:pStyle w:val="Heading2"/>
      </w:pPr>
      <w:bookmarkStart w:id="328" w:name="_Toc165367595"/>
      <w:bookmarkStart w:id="329" w:name="_Toc184272853"/>
      <w:bookmarkStart w:id="330" w:name="_Toc165365124"/>
      <w:bookmarkStart w:id="331" w:name="_Toc165369137"/>
      <w:bookmarkStart w:id="332" w:name="_Toc165975742"/>
      <w:bookmarkStart w:id="333" w:name="_Toc165973021"/>
      <w:bookmarkStart w:id="334" w:name="_Toc165897977"/>
      <w:bookmarkStart w:id="335" w:name="_Toc165364857"/>
      <w:bookmarkStart w:id="336" w:name="_Toc164663979"/>
      <w:bookmarkStart w:id="337" w:name="_Toc165368321"/>
      <w:r>
        <w:t>2.2 Theories Underpinning the Study</w:t>
      </w:r>
      <w:bookmarkEnd w:id="328"/>
      <w:bookmarkEnd w:id="329"/>
      <w:bookmarkEnd w:id="330"/>
      <w:bookmarkEnd w:id="331"/>
      <w:bookmarkEnd w:id="332"/>
      <w:bookmarkEnd w:id="333"/>
      <w:bookmarkEnd w:id="334"/>
      <w:bookmarkEnd w:id="335"/>
      <w:bookmarkEnd w:id="336"/>
      <w:bookmarkEnd w:id="337"/>
    </w:p>
    <w:p w14:paraId="5FCE9A33" w14:textId="77777777" w:rsidR="00B01D46" w:rsidRDefault="0067013E">
      <w:pPr>
        <w:spacing w:after="0" w:line="480" w:lineRule="auto"/>
        <w:ind w:right="-288"/>
        <w:jc w:val="both"/>
        <w:rPr>
          <w:rFonts w:ascii="Times New Roman" w:hAnsi="Times New Roman" w:cs="Times New Roman"/>
          <w:bCs/>
          <w:sz w:val="24"/>
          <w:szCs w:val="24"/>
        </w:rPr>
      </w:pPr>
      <w:r>
        <w:rPr>
          <w:rFonts w:ascii="Times New Roman" w:hAnsi="Times New Roman" w:cs="Times New Roman"/>
          <w:bCs/>
          <w:sz w:val="24"/>
          <w:szCs w:val="24"/>
        </w:rPr>
        <w:t xml:space="preserve">This study sought to assess the </w:t>
      </w:r>
      <w:r>
        <w:rPr>
          <w:rFonts w:ascii="Times New Roman" w:hAnsi="Times New Roman" w:cs="Times New Roman"/>
          <w:sz w:val="24"/>
          <w:szCs w:val="24"/>
        </w:rPr>
        <w:t>information literacy skills of medical undergraduate students at Moi University and the University of Nairobi and proposed</w:t>
      </w:r>
      <w:r>
        <w:rPr>
          <w:rFonts w:ascii="Times New Roman" w:hAnsi="Times New Roman" w:cs="Times New Roman"/>
          <w:bCs/>
          <w:sz w:val="24"/>
          <w:szCs w:val="24"/>
        </w:rPr>
        <w:t xml:space="preserve"> a framework to </w:t>
      </w:r>
      <w:r>
        <w:rPr>
          <w:rFonts w:ascii="Times New Roman" w:hAnsi="Times New Roman" w:cs="Times New Roman"/>
          <w:bCs/>
          <w:sz w:val="24"/>
          <w:szCs w:val="24"/>
        </w:rPr>
        <w:lastRenderedPageBreak/>
        <w:t xml:space="preserve">enhance the ILS adequacy of higher learning. The theoretical framework of the study was anchored on the following objectives: </w:t>
      </w:r>
    </w:p>
    <w:p w14:paraId="13FE802E" w14:textId="77777777" w:rsidR="00B01D46" w:rsidRDefault="0067013E">
      <w:pPr>
        <w:pStyle w:val="ListParagraph"/>
        <w:numPr>
          <w:ilvl w:val="0"/>
          <w:numId w:val="6"/>
        </w:numPr>
        <w:spacing w:after="0" w:line="480" w:lineRule="auto"/>
        <w:ind w:left="284" w:right="-288" w:hanging="284"/>
        <w:contextualSpacing w:val="0"/>
        <w:rPr>
          <w:szCs w:val="24"/>
        </w:rPr>
      </w:pPr>
      <w:r>
        <w:rPr>
          <w:szCs w:val="24"/>
        </w:rPr>
        <w:t>To assess the status of ILS of medical undergraduate students at Moi University and the University of Nairobi.</w:t>
      </w:r>
    </w:p>
    <w:p w14:paraId="25881C89" w14:textId="77777777" w:rsidR="00B01D46" w:rsidRDefault="0067013E">
      <w:pPr>
        <w:pStyle w:val="ListParagraph"/>
        <w:numPr>
          <w:ilvl w:val="0"/>
          <w:numId w:val="6"/>
        </w:numPr>
        <w:spacing w:after="0" w:line="480" w:lineRule="auto"/>
        <w:ind w:left="284" w:right="-288" w:hanging="284"/>
        <w:contextualSpacing w:val="0"/>
        <w:rPr>
          <w:szCs w:val="24"/>
        </w:rPr>
      </w:pPr>
      <w:r>
        <w:rPr>
          <w:szCs w:val="24"/>
        </w:rPr>
        <w:t>To examine the ILS policies and curricula enhancing ILS adequacy among medical undergraduate students at the two universities</w:t>
      </w:r>
    </w:p>
    <w:p w14:paraId="71BB739B" w14:textId="77777777" w:rsidR="00B01D46" w:rsidRDefault="0067013E">
      <w:pPr>
        <w:pStyle w:val="ListParagraph"/>
        <w:numPr>
          <w:ilvl w:val="0"/>
          <w:numId w:val="6"/>
        </w:numPr>
        <w:spacing w:after="0" w:line="480" w:lineRule="auto"/>
        <w:ind w:left="284" w:right="-288" w:hanging="284"/>
        <w:contextualSpacing w:val="0"/>
        <w:rPr>
          <w:szCs w:val="24"/>
        </w:rPr>
      </w:pPr>
      <w:r>
        <w:rPr>
          <w:szCs w:val="24"/>
        </w:rPr>
        <w:t xml:space="preserve">To explore the ILS understanding among medical undergraduate students </w:t>
      </w:r>
    </w:p>
    <w:p w14:paraId="3F4EF838" w14:textId="77777777" w:rsidR="00B01D46" w:rsidRDefault="0067013E">
      <w:pPr>
        <w:pStyle w:val="ListParagraph"/>
        <w:numPr>
          <w:ilvl w:val="0"/>
          <w:numId w:val="6"/>
        </w:numPr>
        <w:spacing w:after="0" w:line="480" w:lineRule="auto"/>
        <w:ind w:left="284" w:right="-288" w:hanging="284"/>
        <w:contextualSpacing w:val="0"/>
        <w:rPr>
          <w:szCs w:val="24"/>
        </w:rPr>
      </w:pPr>
      <w:r>
        <w:rPr>
          <w:szCs w:val="24"/>
        </w:rPr>
        <w:t xml:space="preserve">To analyze the knowledge and skills possessed by staff engaged in facilitating ILS among medical undergraduate students </w:t>
      </w:r>
    </w:p>
    <w:p w14:paraId="5395605F" w14:textId="77777777" w:rsidR="00B01D46" w:rsidRDefault="0067013E">
      <w:pPr>
        <w:pStyle w:val="ListParagraph"/>
        <w:numPr>
          <w:ilvl w:val="0"/>
          <w:numId w:val="6"/>
        </w:numPr>
        <w:spacing w:after="0" w:line="480" w:lineRule="auto"/>
        <w:ind w:left="284" w:right="-288" w:hanging="284"/>
        <w:contextualSpacing w:val="0"/>
        <w:rPr>
          <w:szCs w:val="24"/>
        </w:rPr>
      </w:pPr>
      <w:r>
        <w:rPr>
          <w:szCs w:val="24"/>
        </w:rPr>
        <w:t>To examine the role of ICT in facilitating and promoting information literacy skills among medical undergraduate students at the two universities</w:t>
      </w:r>
    </w:p>
    <w:p w14:paraId="249F0929" w14:textId="77777777" w:rsidR="00B01D46" w:rsidRDefault="0067013E">
      <w:pPr>
        <w:pStyle w:val="ListParagraph"/>
        <w:numPr>
          <w:ilvl w:val="0"/>
          <w:numId w:val="6"/>
        </w:numPr>
        <w:spacing w:before="120" w:after="0" w:line="480" w:lineRule="auto"/>
        <w:ind w:left="284" w:right="-288" w:hanging="284"/>
        <w:contextualSpacing w:val="0"/>
        <w:rPr>
          <w:szCs w:val="24"/>
        </w:rPr>
      </w:pPr>
      <w:r>
        <w:rPr>
          <w:szCs w:val="24"/>
        </w:rPr>
        <w:t>To propose a framework to enhance ILS among medical undergraduate students in the selected universities in Kenya</w:t>
      </w:r>
    </w:p>
    <w:p w14:paraId="042F2BE9" w14:textId="77777777" w:rsidR="00B01D46" w:rsidRDefault="00B01D46">
      <w:pPr>
        <w:pStyle w:val="Default"/>
        <w:ind w:right="-289"/>
        <w:jc w:val="both"/>
      </w:pPr>
    </w:p>
    <w:p w14:paraId="3DBEFE41" w14:textId="17E40FD9" w:rsidR="00B01D46" w:rsidRPr="00BC19F6" w:rsidRDefault="0067013E" w:rsidP="00BC19F6">
      <w:pPr>
        <w:autoSpaceDE w:val="0"/>
        <w:autoSpaceDN w:val="0"/>
        <w:adjustRightInd w:val="0"/>
        <w:spacing w:before="120" w:after="0" w:line="480" w:lineRule="auto"/>
        <w:ind w:right="-288"/>
        <w:jc w:val="both"/>
        <w:rPr>
          <w:rFonts w:ascii="Times New Roman" w:hAnsi="Times New Roman" w:cs="Times New Roman"/>
          <w:sz w:val="24"/>
          <w:szCs w:val="24"/>
        </w:rPr>
      </w:pPr>
      <w:bookmarkStart w:id="338" w:name="_Hlk115695201"/>
      <w:r>
        <w:rPr>
          <w:rFonts w:ascii="Times New Roman" w:hAnsi="Times New Roman" w:cs="Times New Roman"/>
          <w:sz w:val="24"/>
          <w:szCs w:val="24"/>
        </w:rPr>
        <w:t xml:space="preserve">Several theories, for example, the Information Literacy Standards Model, the Bloom Taxonomy, the Sauce Model, the Five-Part Model of Instruction, Six Frames Information Education Theory, Kuhlthan's Theory of Information Search Process, and Eisenberg and Berkowitz's (1988) Big6 Skills Model for Information Problem-Solving, are pertinent to the study of information literacy skills. This study adopted </w:t>
      </w:r>
      <w:bookmarkEnd w:id="338"/>
      <w:r>
        <w:rPr>
          <w:rFonts w:ascii="Times New Roman" w:hAnsi="Times New Roman" w:cs="Times New Roman"/>
          <w:sz w:val="24"/>
          <w:szCs w:val="24"/>
        </w:rPr>
        <w:t>The Six Frames of Information Literacy Education Model (Bruce, Edwards</w:t>
      </w:r>
      <w:r w:rsidR="00C576F1">
        <w:rPr>
          <w:rFonts w:ascii="Times New Roman" w:hAnsi="Times New Roman" w:cs="Times New Roman"/>
          <w:sz w:val="24"/>
          <w:szCs w:val="24"/>
        </w:rPr>
        <w:t xml:space="preserve"> &amp;</w:t>
      </w:r>
      <w:r>
        <w:rPr>
          <w:rFonts w:ascii="Times New Roman" w:hAnsi="Times New Roman" w:cs="Times New Roman"/>
          <w:sz w:val="24"/>
          <w:szCs w:val="24"/>
        </w:rPr>
        <w:t xml:space="preserve"> Lupton, 2015) and the Sauce Model (Bond, 2011) as the </w:t>
      </w:r>
      <w:r w:rsidRPr="00BC19F6">
        <w:rPr>
          <w:rFonts w:ascii="Times New Roman" w:hAnsi="Times New Roman" w:cs="Times New Roman"/>
          <w:sz w:val="24"/>
          <w:szCs w:val="24"/>
        </w:rPr>
        <w:t>main foundation for this study. The motivation for using the two theories was that the Sauce Model guided research questions one (1), two (2)</w:t>
      </w:r>
      <w:r w:rsidR="00BC19F6" w:rsidRPr="00BC19F6">
        <w:rPr>
          <w:rFonts w:ascii="Times New Roman" w:hAnsi="Times New Roman" w:cs="Times New Roman"/>
          <w:sz w:val="24"/>
          <w:szCs w:val="24"/>
        </w:rPr>
        <w:t>,</w:t>
      </w:r>
      <w:r w:rsidRPr="00BC19F6">
        <w:rPr>
          <w:rFonts w:ascii="Times New Roman" w:hAnsi="Times New Roman" w:cs="Times New Roman"/>
          <w:sz w:val="24"/>
          <w:szCs w:val="24"/>
        </w:rPr>
        <w:t xml:space="preserve"> four (4) and five (5),</w:t>
      </w:r>
      <w:r w:rsidR="00BC19F6" w:rsidRPr="00BC19F6">
        <w:rPr>
          <w:rFonts w:ascii="Times New Roman" w:hAnsi="Times New Roman" w:cs="Times New Roman"/>
          <w:sz w:val="24"/>
          <w:szCs w:val="24"/>
        </w:rPr>
        <w:t xml:space="preserve"> </w:t>
      </w:r>
      <w:r w:rsidRPr="00BC19F6">
        <w:rPr>
          <w:rFonts w:ascii="Times New Roman" w:eastAsia="Calibri" w:hAnsi="Times New Roman" w:cs="Times New Roman"/>
          <w:sz w:val="24"/>
          <w:szCs w:val="24"/>
        </w:rPr>
        <w:t xml:space="preserve">that </w:t>
      </w:r>
      <w:r w:rsidR="00BC19F6" w:rsidRPr="00BC19F6">
        <w:rPr>
          <w:rFonts w:ascii="Times New Roman" w:eastAsia="Calibri" w:hAnsi="Times New Roman" w:cs="Times New Roman"/>
          <w:sz w:val="24"/>
          <w:szCs w:val="24"/>
        </w:rPr>
        <w:t>is: -</w:t>
      </w:r>
      <w:r w:rsidRPr="00BC19F6">
        <w:rPr>
          <w:rFonts w:ascii="Times New Roman" w:eastAsia="Calibri" w:hAnsi="Times New Roman" w:cs="Times New Roman"/>
          <w:sz w:val="24"/>
          <w:szCs w:val="24"/>
        </w:rPr>
        <w:t xml:space="preserve"> What is the status of ILS </w:t>
      </w:r>
      <w:r w:rsidRPr="00BC19F6">
        <w:rPr>
          <w:rFonts w:ascii="Times New Roman" w:hAnsi="Times New Roman" w:cs="Times New Roman"/>
          <w:sz w:val="24"/>
          <w:szCs w:val="24"/>
        </w:rPr>
        <w:t xml:space="preserve">among medical undergraduate students at the University of Nairobi and Moi University? How does information literacy skills policy and curriculum guide in imparting ILS to medical, undergraduate students? </w:t>
      </w:r>
      <w:r w:rsidRPr="00BC19F6">
        <w:rPr>
          <w:rFonts w:ascii="Times New Roman" w:eastAsia="Calibri" w:hAnsi="Times New Roman" w:cs="Times New Roman"/>
          <w:sz w:val="24"/>
          <w:szCs w:val="24"/>
        </w:rPr>
        <w:t xml:space="preserve">What </w:t>
      </w:r>
      <w:r w:rsidRPr="00BC19F6">
        <w:rPr>
          <w:rFonts w:ascii="Times New Roman" w:eastAsia="Calibri" w:hAnsi="Times New Roman" w:cs="Times New Roman"/>
          <w:sz w:val="24"/>
          <w:szCs w:val="24"/>
        </w:rPr>
        <w:lastRenderedPageBreak/>
        <w:t xml:space="preserve">are the knowledge and skills possessed by staff facilitating ILS among </w:t>
      </w:r>
      <w:r w:rsidRPr="00BC19F6">
        <w:rPr>
          <w:rFonts w:ascii="Times New Roman" w:hAnsi="Times New Roman" w:cs="Times New Roman"/>
          <w:sz w:val="24"/>
          <w:szCs w:val="24"/>
        </w:rPr>
        <w:t>medical undergraduate students</w:t>
      </w:r>
      <w:r w:rsidRPr="00BC19F6">
        <w:rPr>
          <w:rFonts w:ascii="Times New Roman" w:eastAsia="Calibri" w:hAnsi="Times New Roman" w:cs="Times New Roman"/>
          <w:sz w:val="24"/>
          <w:szCs w:val="24"/>
        </w:rPr>
        <w:t xml:space="preserve">? and </w:t>
      </w:r>
      <w:r w:rsidRPr="00BC19F6">
        <w:rPr>
          <w:rFonts w:ascii="Times New Roman" w:hAnsi="Times New Roman" w:cs="Times New Roman"/>
          <w:sz w:val="24"/>
          <w:szCs w:val="24"/>
        </w:rPr>
        <w:t>How is ICT facilitating learning of ILS among</w:t>
      </w:r>
      <w:r w:rsidRPr="00BC19F6">
        <w:rPr>
          <w:rFonts w:ascii="Times New Roman" w:eastAsia="Calibri" w:hAnsi="Times New Roman" w:cs="Times New Roman"/>
          <w:sz w:val="24"/>
          <w:szCs w:val="24"/>
        </w:rPr>
        <w:t xml:space="preserve"> </w:t>
      </w:r>
      <w:r w:rsidRPr="00BC19F6">
        <w:rPr>
          <w:rFonts w:ascii="Times New Roman" w:hAnsi="Times New Roman" w:cs="Times New Roman"/>
          <w:sz w:val="24"/>
          <w:szCs w:val="24"/>
        </w:rPr>
        <w:t>medical undergraduate students? While the Six Frames of Information Literacy Education Model guided research questions 2, and 3 that is: - How does information literacy skills policy and curriculum guide in imparting ILS to medical, undergraduate students? and How</w:t>
      </w:r>
      <w:r w:rsidRPr="00BC19F6">
        <w:rPr>
          <w:rFonts w:ascii="Times New Roman" w:eastAsia="Calibri" w:hAnsi="Times New Roman" w:cs="Times New Roman"/>
          <w:sz w:val="24"/>
          <w:szCs w:val="24"/>
        </w:rPr>
        <w:t xml:space="preserve"> is the understanding of ILS among medical undergraduate students? </w:t>
      </w:r>
      <w:r w:rsidRPr="00BC19F6">
        <w:rPr>
          <w:rFonts w:ascii="Times New Roman" w:hAnsi="Times New Roman" w:cs="Times New Roman"/>
          <w:sz w:val="24"/>
          <w:szCs w:val="24"/>
        </w:rPr>
        <w:t>in a complementary manner.</w:t>
      </w:r>
    </w:p>
    <w:p w14:paraId="632CCDCA" w14:textId="77777777" w:rsidR="00B01D46" w:rsidRDefault="0067013E">
      <w:pPr>
        <w:pStyle w:val="Heading3"/>
      </w:pPr>
      <w:bookmarkStart w:id="339" w:name="_Toc164663980"/>
      <w:bookmarkStart w:id="340" w:name="_Toc165368322"/>
      <w:bookmarkStart w:id="341" w:name="_Toc184272854"/>
      <w:bookmarkStart w:id="342" w:name="_Toc165367596"/>
      <w:bookmarkStart w:id="343" w:name="_Toc165369138"/>
      <w:bookmarkStart w:id="344" w:name="_Toc165975743"/>
      <w:bookmarkStart w:id="345" w:name="_Toc165365125"/>
      <w:bookmarkStart w:id="346" w:name="_Toc165897978"/>
      <w:bookmarkStart w:id="347" w:name="_Toc165364858"/>
      <w:bookmarkStart w:id="348" w:name="_Toc165973022"/>
      <w:r>
        <w:t>2.2.1 Sauce Model</w:t>
      </w:r>
      <w:bookmarkEnd w:id="339"/>
      <w:bookmarkEnd w:id="340"/>
      <w:bookmarkEnd w:id="341"/>
      <w:bookmarkEnd w:id="342"/>
      <w:bookmarkEnd w:id="343"/>
      <w:bookmarkEnd w:id="344"/>
      <w:bookmarkEnd w:id="345"/>
      <w:bookmarkEnd w:id="346"/>
      <w:bookmarkEnd w:id="347"/>
      <w:bookmarkEnd w:id="348"/>
    </w:p>
    <w:p w14:paraId="48DFB7D7" w14:textId="77777777" w:rsidR="00B01D46" w:rsidRDefault="0067013E">
      <w:pPr>
        <w:autoSpaceDE w:val="0"/>
        <w:autoSpaceDN w:val="0"/>
        <w:adjustRightInd w:val="0"/>
        <w:spacing w:after="0" w:line="480" w:lineRule="auto"/>
        <w:ind w:right="-288"/>
        <w:jc w:val="both"/>
        <w:rPr>
          <w:rFonts w:ascii="Times New Roman" w:hAnsi="Times New Roman" w:cs="Times New Roman"/>
          <w:sz w:val="24"/>
          <w:szCs w:val="24"/>
        </w:rPr>
      </w:pPr>
      <w:r>
        <w:rPr>
          <w:rFonts w:ascii="Times New Roman" w:hAnsi="Times New Roman" w:cs="Times New Roman"/>
          <w:sz w:val="24"/>
          <w:szCs w:val="24"/>
        </w:rPr>
        <w:t xml:space="preserve">Bond introduced the sauce model in 2001, and it was later updated in 2011 (Bond, 2011). It is a procedure for conducting inquiries and seeking solutions to problems that aims at equipping students with ILS to help them succeed in their academic endeavors (Bond, 2011). The Sauce model has six basic facets/variables: literacy abilities, collaborative and individual learning, required talents, higher thinking abilities, problem-solving abilities, and ICT integration. Furthermore, Bond (2011) states that the six elements of the Sauce Model may be exercised in a five-step process that includes task setup, information acquisition, information usage, information communication, and information assessment. The Sauce model addressed research questions, one (1), two (2) four (4) and five (5), that is ; </w:t>
      </w:r>
      <w:r>
        <w:rPr>
          <w:rFonts w:ascii="Times New Roman" w:eastAsia="Calibri" w:hAnsi="Times New Roman" w:cs="Times New Roman"/>
          <w:sz w:val="24"/>
          <w:szCs w:val="24"/>
        </w:rPr>
        <w:t xml:space="preserve">What is the status of ILS </w:t>
      </w:r>
      <w:r>
        <w:rPr>
          <w:rFonts w:ascii="Times New Roman" w:hAnsi="Times New Roman" w:cs="Times New Roman"/>
          <w:sz w:val="24"/>
          <w:szCs w:val="24"/>
        </w:rPr>
        <w:t xml:space="preserve">among medical undergraduate students at the University of Nairobi and Moi University? How does information literacy skills policy and curriculum guide in imparting ILS to medical, undergraduate students? </w:t>
      </w:r>
      <w:r>
        <w:rPr>
          <w:rFonts w:ascii="Times New Roman" w:eastAsia="Calibri" w:hAnsi="Times New Roman" w:cs="Times New Roman"/>
          <w:sz w:val="24"/>
          <w:szCs w:val="24"/>
        </w:rPr>
        <w:t xml:space="preserve">What are the knowledge and skills possessed by staff facilitating ILS among </w:t>
      </w:r>
      <w:r>
        <w:rPr>
          <w:rFonts w:ascii="Times New Roman" w:hAnsi="Times New Roman" w:cs="Times New Roman"/>
          <w:sz w:val="24"/>
          <w:szCs w:val="24"/>
        </w:rPr>
        <w:t>medical undergraduate students</w:t>
      </w:r>
      <w:r>
        <w:rPr>
          <w:rFonts w:ascii="Times New Roman" w:eastAsia="Calibri" w:hAnsi="Times New Roman" w:cs="Times New Roman"/>
          <w:sz w:val="24"/>
          <w:szCs w:val="24"/>
        </w:rPr>
        <w:t xml:space="preserve">? and </w:t>
      </w:r>
      <w:r>
        <w:rPr>
          <w:rFonts w:ascii="Times New Roman" w:hAnsi="Times New Roman" w:cs="Times New Roman"/>
          <w:sz w:val="24"/>
          <w:szCs w:val="24"/>
        </w:rPr>
        <w:t>How is ICT facilitating learning of ILS among</w:t>
      </w:r>
      <w:r>
        <w:rPr>
          <w:rFonts w:ascii="Times New Roman" w:eastAsia="Calibri" w:hAnsi="Times New Roman" w:cs="Times New Roman"/>
          <w:sz w:val="24"/>
          <w:szCs w:val="24"/>
        </w:rPr>
        <w:t xml:space="preserve"> </w:t>
      </w:r>
      <w:r>
        <w:rPr>
          <w:rFonts w:ascii="Times New Roman" w:hAnsi="Times New Roman" w:cs="Times New Roman"/>
          <w:sz w:val="24"/>
          <w:szCs w:val="24"/>
        </w:rPr>
        <w:t>medical undergraduate students?</w:t>
      </w:r>
    </w:p>
    <w:p w14:paraId="499C9DCE" w14:textId="77777777" w:rsidR="00B01D46" w:rsidRDefault="00B01D46">
      <w:pPr>
        <w:autoSpaceDE w:val="0"/>
        <w:autoSpaceDN w:val="0"/>
        <w:adjustRightInd w:val="0"/>
        <w:spacing w:before="120" w:after="0" w:line="480" w:lineRule="auto"/>
        <w:ind w:right="-288"/>
        <w:jc w:val="both"/>
        <w:rPr>
          <w:rFonts w:ascii="Times New Roman" w:hAnsi="Times New Roman" w:cs="Times New Roman"/>
          <w:sz w:val="24"/>
          <w:szCs w:val="24"/>
        </w:rPr>
      </w:pPr>
    </w:p>
    <w:p w14:paraId="185EB47E" w14:textId="77777777" w:rsidR="00B01D46" w:rsidRDefault="0067013E">
      <w:pPr>
        <w:pStyle w:val="NoSpacing"/>
        <w:spacing w:before="120" w:line="480" w:lineRule="auto"/>
        <w:ind w:left="0" w:right="-288" w:firstLine="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EF7E2DD" wp14:editId="36C72921">
            <wp:extent cx="4248150" cy="3838575"/>
            <wp:effectExtent l="0" t="0" r="0" b="9525"/>
            <wp:docPr id="1835" name="Picture 1835"/>
            <wp:cNvGraphicFramePr/>
            <a:graphic xmlns:a="http://schemas.openxmlformats.org/drawingml/2006/main">
              <a:graphicData uri="http://schemas.openxmlformats.org/drawingml/2006/picture">
                <pic:pic xmlns:pic="http://schemas.openxmlformats.org/drawingml/2006/picture">
                  <pic:nvPicPr>
                    <pic:cNvPr id="1835" name="Picture 1835"/>
                    <pic:cNvPicPr/>
                  </pic:nvPicPr>
                  <pic:blipFill>
                    <a:blip r:embed="rId13" cstate="print"/>
                    <a:stretch>
                      <a:fillRect/>
                    </a:stretch>
                  </pic:blipFill>
                  <pic:spPr>
                    <a:xfrm>
                      <a:off x="0" y="0"/>
                      <a:ext cx="4251366" cy="3841481"/>
                    </a:xfrm>
                    <a:prstGeom prst="rect">
                      <a:avLst/>
                    </a:prstGeom>
                  </pic:spPr>
                </pic:pic>
              </a:graphicData>
            </a:graphic>
          </wp:inline>
        </w:drawing>
      </w:r>
    </w:p>
    <w:p w14:paraId="043EF249" w14:textId="77777777" w:rsidR="00B01D46" w:rsidRDefault="0067013E">
      <w:pPr>
        <w:pStyle w:val="Caption"/>
      </w:pPr>
      <w:bookmarkStart w:id="349" w:name="_Toc165368323"/>
      <w:bookmarkStart w:id="350" w:name="_Toc165363352"/>
      <w:bookmarkStart w:id="351" w:name="_Toc165975744"/>
      <w:bookmarkStart w:id="352" w:name="_Toc184271970"/>
      <w:bookmarkStart w:id="353" w:name="_Toc165365126"/>
      <w:bookmarkStart w:id="354" w:name="_Toc165972508"/>
      <w:bookmarkStart w:id="355" w:name="_Toc184272168"/>
      <w:bookmarkStart w:id="356" w:name="_Toc165364859"/>
      <w:bookmarkStart w:id="357" w:name="_Toc165897979"/>
      <w:bookmarkStart w:id="358" w:name="_Toc165362663"/>
      <w:bookmarkStart w:id="359" w:name="_Toc165367597"/>
      <w:bookmarkStart w:id="360" w:name="_Toc165369139"/>
      <w:bookmarkStart w:id="361" w:name="_Toc184276880"/>
      <w:bookmarkStart w:id="362" w:name="_Toc165973023"/>
      <w:r>
        <w:t>Figure 2.1: Sauce Model Diagram (Source: Bond, 2011)</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14:paraId="7DE189F2" w14:textId="77777777" w:rsidR="00B01D46" w:rsidRDefault="00B01D46">
      <w:pPr>
        <w:spacing w:after="200" w:line="276" w:lineRule="auto"/>
        <w:rPr>
          <w:rFonts w:ascii="Times New Roman" w:hAnsi="Times New Roman" w:cs="Times New Roman"/>
          <w:sz w:val="24"/>
          <w:szCs w:val="24"/>
        </w:rPr>
      </w:pPr>
      <w:bookmarkStart w:id="363" w:name="_Toc165975745"/>
      <w:bookmarkStart w:id="364" w:name="_Toc165365127"/>
      <w:bookmarkStart w:id="365" w:name="_Toc165369140"/>
      <w:bookmarkStart w:id="366" w:name="_Toc165367598"/>
      <w:bookmarkStart w:id="367" w:name="_Toc164663981"/>
      <w:bookmarkStart w:id="368" w:name="_Toc165973024"/>
      <w:bookmarkStart w:id="369" w:name="_Toc165364860"/>
      <w:bookmarkStart w:id="370" w:name="_Toc165368324"/>
    </w:p>
    <w:p w14:paraId="5076084B" w14:textId="77777777" w:rsidR="00B01D46" w:rsidRDefault="0067013E">
      <w:pPr>
        <w:pStyle w:val="Heading4"/>
      </w:pPr>
      <w:bookmarkStart w:id="371" w:name="_Toc184272855"/>
      <w:r>
        <w:t>2.2.1.1 The Key Variables of the Sauce Model and their Relevancy to this Study</w:t>
      </w:r>
      <w:bookmarkEnd w:id="363"/>
      <w:bookmarkEnd w:id="364"/>
      <w:bookmarkEnd w:id="365"/>
      <w:bookmarkEnd w:id="366"/>
      <w:bookmarkEnd w:id="367"/>
      <w:bookmarkEnd w:id="368"/>
      <w:bookmarkEnd w:id="369"/>
      <w:bookmarkEnd w:id="370"/>
      <w:bookmarkEnd w:id="371"/>
    </w:p>
    <w:p w14:paraId="5B28F6FE" w14:textId="77777777" w:rsidR="00B01D46" w:rsidRDefault="0067013E">
      <w:pPr>
        <w:pStyle w:val="NormalWeb"/>
        <w:numPr>
          <w:ilvl w:val="0"/>
          <w:numId w:val="7"/>
        </w:numPr>
        <w:shd w:val="clear" w:color="auto" w:fill="FFFFFF"/>
        <w:tabs>
          <w:tab w:val="left" w:pos="360"/>
        </w:tabs>
        <w:autoSpaceDE w:val="0"/>
        <w:autoSpaceDN w:val="0"/>
        <w:adjustRightInd w:val="0"/>
        <w:spacing w:before="120" w:beforeAutospacing="0" w:after="0" w:afterAutospacing="0" w:line="480" w:lineRule="auto"/>
        <w:ind w:left="0" w:right="-288" w:firstLine="0"/>
        <w:jc w:val="both"/>
        <w:rPr>
          <w:b/>
        </w:rPr>
      </w:pPr>
      <w:r>
        <w:rPr>
          <w:b/>
        </w:rPr>
        <w:t xml:space="preserve">The information literacy variable </w:t>
      </w:r>
    </w:p>
    <w:p w14:paraId="4D984EA1"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technical and analytical abilities are emphasized in the information literacy variable (Bond, 2011). Technical skills include the ability to locate, acquire, and store information, whereas critical skills include the ability to identify a need for information, fully understand the information, dispose of irrelevant information, verify pertinent information, appropriately communicate the outcome, and explain decisions with rationality and creativity. The initial stage of the Sauce Model is scene setting, which acts as the anchor for this variable. Bond (2009) alludes that in setting the scene step, the success and failure of the task depend on the usage of relevant keywords or phrases from the probable information sources. Therefore, for it to be </w:t>
      </w:r>
      <w:r>
        <w:rPr>
          <w:rFonts w:ascii="Times New Roman" w:hAnsi="Times New Roman" w:cs="Times New Roman"/>
          <w:sz w:val="24"/>
          <w:szCs w:val="24"/>
        </w:rPr>
        <w:lastRenderedPageBreak/>
        <w:t>successful it requires prior knowledge. The task involves using suitable cognitive verbs (Buzzetto-More (2015). Additionally, Buzzetto-More (2015) suggests that the verbs should be connected to Bloom's revised taxonomy to be able to help users and learners do information cross-over while conducting information searches through the information-seeking question(s).</w:t>
      </w:r>
    </w:p>
    <w:p w14:paraId="670D66F4"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This facet informed the study in understanding the </w:t>
      </w:r>
      <w:r>
        <w:rPr>
          <w:rFonts w:ascii="Times New Roman" w:eastAsia="Calibri" w:hAnsi="Times New Roman" w:cs="Times New Roman"/>
          <w:sz w:val="24"/>
          <w:szCs w:val="24"/>
        </w:rPr>
        <w:t xml:space="preserve">status of ILS </w:t>
      </w:r>
      <w:r>
        <w:rPr>
          <w:rFonts w:ascii="Times New Roman" w:hAnsi="Times New Roman" w:cs="Times New Roman"/>
          <w:sz w:val="24"/>
          <w:szCs w:val="24"/>
        </w:rPr>
        <w:t xml:space="preserve">among medical undergraduate students. That is the level of technical and critical information skills that students possess to manipulate accessed information to meet their academic needs. Furthermore, it helped the study understand whether medical undergraduate students were able to define their exact information requirements, conduct proper information searches, recognize accurate and complete information, use </w:t>
      </w:r>
      <w:r>
        <w:rPr>
          <w:rFonts w:ascii="Times New Roman" w:eastAsia="Calibri" w:hAnsi="Times New Roman" w:cs="Times New Roman"/>
          <w:sz w:val="24"/>
          <w:szCs w:val="24"/>
        </w:rPr>
        <w:t>the retrieved information to undertake everyday tasks</w:t>
      </w:r>
      <w:r>
        <w:rPr>
          <w:rFonts w:ascii="Times New Roman" w:hAnsi="Times New Roman" w:cs="Times New Roman"/>
          <w:sz w:val="24"/>
          <w:szCs w:val="24"/>
        </w:rPr>
        <w:t xml:space="preserve"> and build individual perceptions/viewpoints through critical review and analysis of assimilated information. </w:t>
      </w:r>
    </w:p>
    <w:p w14:paraId="08339123" w14:textId="77777777" w:rsidR="00B01D46" w:rsidRDefault="0067013E">
      <w:pPr>
        <w:pStyle w:val="Default"/>
        <w:numPr>
          <w:ilvl w:val="0"/>
          <w:numId w:val="7"/>
        </w:numPr>
        <w:spacing w:before="120" w:line="480" w:lineRule="auto"/>
        <w:ind w:right="-288"/>
        <w:jc w:val="both"/>
        <w:rPr>
          <w:b/>
        </w:rPr>
      </w:pPr>
      <w:r>
        <w:rPr>
          <w:b/>
        </w:rPr>
        <w:t>Essential skills variable</w:t>
      </w:r>
    </w:p>
    <w:p w14:paraId="3D538DCF"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sz w:val="24"/>
          <w:szCs w:val="24"/>
        </w:rPr>
        <w:t xml:space="preserve">Essential skills facet of the Source Model offers seven critical skills for ILS adequacy that is, communication, numeracy, information, problem-solving, self-management and competitive, social and co-operative, as well as labor and learning skills. The third step process of the Sauce model is applied to inform this facet. </w:t>
      </w:r>
      <w:bookmarkStart w:id="372" w:name="_Hlk120691687"/>
      <w:r>
        <w:rPr>
          <w:rFonts w:ascii="Times New Roman" w:hAnsi="Times New Roman" w:cs="Times New Roman"/>
          <w:sz w:val="24"/>
          <w:szCs w:val="24"/>
        </w:rPr>
        <w:t xml:space="preserve">Bond (2011) asserts that to be information literate is to have the ability to locate, access, acquire, comprehend, analyze, and critique relevant information, then utilize it to make valid, informed decisions and also communicate those decisions appropriately with validation where necessary. The focus is on the application of information. </w:t>
      </w:r>
    </w:p>
    <w:bookmarkEnd w:id="372"/>
    <w:p w14:paraId="49740A7A"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sz w:val="24"/>
          <w:szCs w:val="24"/>
        </w:rPr>
        <w:t xml:space="preserve">In principle, the researcher was able to identify students’ abilities to utilize the arrays of various sources of information to meet their information needs using the learned ILS. </w:t>
      </w:r>
      <w:r>
        <w:rPr>
          <w:rFonts w:ascii="Times New Roman" w:hAnsi="Times New Roman" w:cs="Times New Roman"/>
          <w:sz w:val="24"/>
          <w:szCs w:val="24"/>
        </w:rPr>
        <w:lastRenderedPageBreak/>
        <w:t>Through this facet, the researcher was able to understand whether the medical undergraduate students had acquired numeracy skills, communication skills, information search and retrieval skills, problem-solving skills, self-management skills, social and cooperative skills, and ethical information use skills.</w:t>
      </w:r>
    </w:p>
    <w:p w14:paraId="03C2C0B7" w14:textId="77777777" w:rsidR="00B01D46" w:rsidRDefault="0067013E">
      <w:pPr>
        <w:pStyle w:val="ListParagraph"/>
        <w:numPr>
          <w:ilvl w:val="0"/>
          <w:numId w:val="7"/>
        </w:numPr>
        <w:autoSpaceDE w:val="0"/>
        <w:autoSpaceDN w:val="0"/>
        <w:adjustRightInd w:val="0"/>
        <w:spacing w:before="120" w:after="0" w:line="480" w:lineRule="auto"/>
        <w:ind w:right="-288"/>
        <w:contextualSpacing w:val="0"/>
        <w:rPr>
          <w:b/>
          <w:szCs w:val="24"/>
        </w:rPr>
      </w:pPr>
      <w:r>
        <w:rPr>
          <w:b/>
          <w:szCs w:val="24"/>
        </w:rPr>
        <w:t>The higher thinking skills</w:t>
      </w:r>
    </w:p>
    <w:p w14:paraId="6167F083"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sz w:val="24"/>
          <w:szCs w:val="24"/>
        </w:rPr>
        <w:t xml:space="preserve">The higher thinking skills facet encompasses the capability to understand, scrutinize, refine, and assess information for problem-solving and decision-making. This facet focuses on training students on higher thinking skills which are crucial and relevant in problem-solving engagements. This facet enabled the study to establish whether students were able to appropriately use library catalogs, use information search techniques/ strategies, scrutinize accessed information from the viewpoints of relevance, and apply critical thinking skills in solving academic-related problems. This step focuses on applying the higher thinking skills to solve problems. </w:t>
      </w:r>
    </w:p>
    <w:p w14:paraId="6B82CF18"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sz w:val="24"/>
          <w:szCs w:val="24"/>
        </w:rPr>
        <w:t>According to Bond (2011), an information-literate student can locate, access, acquire, comprehend, analyze, and critique relevant information, then utilize it to make valid, informed decisions and also communicate those decisions appropriately with validation where necessary. The focus of this stage is the usage of information. The learner should utilize the information to solve problems; this should be done by just conveying the final solution of the problem. This facet guided the study in finding out the knowledge and skills possessed by staff facilitating students to acquire ILS to enable the students to solve their academic information needs/ problems. Gatero, (2011) asserts that if trainers are well equipped with relevant ILS competencies, then they be able to train students who could easily apply ILS learned in solving their information needs effectively and efficiently.</w:t>
      </w:r>
    </w:p>
    <w:p w14:paraId="144FAF14" w14:textId="77777777" w:rsidR="00B01D46" w:rsidRDefault="0067013E">
      <w:pPr>
        <w:pStyle w:val="ListParagraph"/>
        <w:numPr>
          <w:ilvl w:val="0"/>
          <w:numId w:val="7"/>
        </w:numPr>
        <w:autoSpaceDE w:val="0"/>
        <w:autoSpaceDN w:val="0"/>
        <w:adjustRightInd w:val="0"/>
        <w:spacing w:before="120" w:after="0" w:line="480" w:lineRule="auto"/>
        <w:ind w:right="-288"/>
        <w:contextualSpacing w:val="0"/>
        <w:rPr>
          <w:szCs w:val="24"/>
        </w:rPr>
      </w:pPr>
      <w:r>
        <w:rPr>
          <w:b/>
          <w:szCs w:val="24"/>
        </w:rPr>
        <w:lastRenderedPageBreak/>
        <w:t>ICT integration variable</w:t>
      </w:r>
    </w:p>
    <w:p w14:paraId="4FFC4059" w14:textId="77777777" w:rsidR="00B01D46" w:rsidRDefault="0067013E">
      <w:pPr>
        <w:spacing w:before="120" w:after="0" w:line="480" w:lineRule="auto"/>
        <w:ind w:right="-288"/>
        <w:jc w:val="both"/>
        <w:rPr>
          <w:rFonts w:ascii="Times New Roman" w:hAnsi="Times New Roman" w:cs="Times New Roman"/>
          <w:sz w:val="24"/>
          <w:szCs w:val="24"/>
        </w:rPr>
      </w:pPr>
      <w:bookmarkStart w:id="373" w:name="_Hlk120861621"/>
      <w:r>
        <w:rPr>
          <w:rFonts w:ascii="Times New Roman" w:hAnsi="Times New Roman" w:cs="Times New Roman"/>
          <w:sz w:val="24"/>
          <w:szCs w:val="24"/>
        </w:rPr>
        <w:t xml:space="preserve">The last facet is ICT integration which supports the application and exploitation of various ICT technologies for enhancing ILS adequacy. </w:t>
      </w:r>
      <w:bookmarkEnd w:id="373"/>
      <w:r>
        <w:rPr>
          <w:rFonts w:ascii="Times New Roman" w:hAnsi="Times New Roman" w:cs="Times New Roman"/>
          <w:sz w:val="24"/>
          <w:szCs w:val="24"/>
        </w:rPr>
        <w:t xml:space="preserve">The ICT integration facet facilitated the researcher in conceptualizing the duty of ICT technologies in fostering ILS utilization, communication, teaching, and learning among undergraduate students in the two universities. The ICT integration facet was informed by the communication and evaluation processes. The communication process is the fourth stage while the evaluation process is the fifth stage in the Sauce Model. The communication process places prominence on appropriate, intelligible, error-free, and intelligent means of passing- across results or ideas. On the other hand, the evaluation process, which is dependent on product and process, focuses on the communicated solution which should be as a result of information search and utilization.  </w:t>
      </w:r>
    </w:p>
    <w:p w14:paraId="1B3D6502" w14:textId="77777777" w:rsidR="00B01D46" w:rsidRDefault="0067013E">
      <w:pPr>
        <w:spacing w:before="120" w:line="480" w:lineRule="auto"/>
        <w:ind w:right="-288"/>
        <w:jc w:val="both"/>
        <w:rPr>
          <w:rFonts w:ascii="Times New Roman" w:hAnsi="Times New Roman" w:cs="Times New Roman"/>
          <w:sz w:val="24"/>
          <w:szCs w:val="24"/>
        </w:rPr>
      </w:pPr>
      <w:bookmarkStart w:id="374" w:name="_Hlk120701265"/>
      <w:r>
        <w:rPr>
          <w:rFonts w:ascii="Times New Roman" w:hAnsi="Times New Roman" w:cs="Times New Roman"/>
          <w:sz w:val="24"/>
          <w:szCs w:val="24"/>
        </w:rPr>
        <w:t xml:space="preserve">The application of ICT in ILS teaching provides new avenues for transferring ILS to students. This facet enabled the researcher to know the ICT prowess of instructors and students; and how various ICT revolutions have impacted on enhancing ILS adequacy among students in institutions of higher </w:t>
      </w:r>
      <w:bookmarkEnd w:id="374"/>
      <w:r>
        <w:rPr>
          <w:rFonts w:ascii="Times New Roman" w:hAnsi="Times New Roman" w:cs="Times New Roman"/>
          <w:sz w:val="24"/>
          <w:szCs w:val="24"/>
        </w:rPr>
        <w:t>learning. According to Kumar et al (2009), literacy in ICT helps information professionals to find, assess, organize, and transmit the information as and when it is necessary for solving issues and arriving at decisions, thus fulfilling their business's exact information requirements. The construct addresses research question five (5).</w:t>
      </w:r>
    </w:p>
    <w:p w14:paraId="1D58CCEE" w14:textId="77777777" w:rsidR="00B01D46" w:rsidRDefault="0067013E">
      <w:pPr>
        <w:pStyle w:val="Heading4"/>
      </w:pPr>
      <w:bookmarkStart w:id="375" w:name="_Toc165367599"/>
      <w:bookmarkStart w:id="376" w:name="_Toc165369141"/>
      <w:bookmarkStart w:id="377" w:name="_Toc164663982"/>
      <w:bookmarkStart w:id="378" w:name="_Toc165975746"/>
      <w:bookmarkStart w:id="379" w:name="_Toc165973025"/>
      <w:bookmarkStart w:id="380" w:name="_Toc184272856"/>
      <w:bookmarkStart w:id="381" w:name="_Toc165364861"/>
      <w:bookmarkStart w:id="382" w:name="_Toc165368325"/>
      <w:bookmarkStart w:id="383" w:name="_Toc165365128"/>
      <w:r>
        <w:t>2.2.1.2 Justification for using Sauce Model</w:t>
      </w:r>
      <w:bookmarkEnd w:id="375"/>
      <w:bookmarkEnd w:id="376"/>
      <w:bookmarkEnd w:id="377"/>
      <w:bookmarkEnd w:id="378"/>
      <w:bookmarkEnd w:id="379"/>
      <w:bookmarkEnd w:id="380"/>
      <w:bookmarkEnd w:id="381"/>
      <w:bookmarkEnd w:id="382"/>
      <w:bookmarkEnd w:id="383"/>
    </w:p>
    <w:p w14:paraId="72BA79B6" w14:textId="41591368" w:rsidR="00B01D46" w:rsidRDefault="0067013E">
      <w:pPr>
        <w:pStyle w:val="NormalWeb"/>
        <w:shd w:val="clear" w:color="auto" w:fill="FFFFFF"/>
        <w:tabs>
          <w:tab w:val="left" w:pos="360"/>
        </w:tabs>
        <w:spacing w:before="0" w:beforeAutospacing="0" w:line="480" w:lineRule="auto"/>
        <w:jc w:val="both"/>
      </w:pPr>
      <w:r>
        <w:t>The Sauce model gave a framework that covered research questions</w:t>
      </w:r>
      <w:r>
        <w:rPr>
          <w:rFonts w:eastAsiaTheme="minorHAnsi"/>
        </w:rPr>
        <w:t xml:space="preserve"> </w:t>
      </w:r>
      <w:r>
        <w:t>one (1), two (2) four (4) and five (5</w:t>
      </w:r>
      <w:r w:rsidR="00567FE1">
        <w:t>);</w:t>
      </w:r>
      <w:r>
        <w:t xml:space="preserve"> How does information literacy skills policy and curriculum guide in imparting ILS to medical, undergraduate students? and how</w:t>
      </w:r>
      <w:r>
        <w:rPr>
          <w:rFonts w:eastAsia="Calibri"/>
        </w:rPr>
        <w:t xml:space="preserve"> is the understanding of </w:t>
      </w:r>
      <w:r>
        <w:rPr>
          <w:rFonts w:eastAsia="Calibri"/>
        </w:rPr>
        <w:lastRenderedPageBreak/>
        <w:t xml:space="preserve">ILS among medical undergraduate students? </w:t>
      </w:r>
      <w:r>
        <w:t xml:space="preserve">Furthermore, Sauce model is based on the idea of expanding and guiding learners to higher-order thinking skills and hence become independent information-literate people (Bond, 2011). The model helped in the attainment of the aim of the study, which was, </w:t>
      </w:r>
      <w:r>
        <w:rPr>
          <w:bCs/>
        </w:rPr>
        <w:t>to assess the ILS</w:t>
      </w:r>
      <w:r>
        <w:t xml:space="preserve"> of medical undergraduate students at Moi University and the University of Nairobi</w:t>
      </w:r>
      <w:r>
        <w:rPr>
          <w:bCs/>
        </w:rPr>
        <w:t xml:space="preserve"> and propose a framework to enhance ILS adequacy, among medical undergraduate students.</w:t>
      </w:r>
      <w:r>
        <w:t xml:space="preserve"> In addition, the model’s focus on the application of critical reasoning makes it the most appropriate theory in aiding the study to understand the critical thinking skills required in information search and usage.</w:t>
      </w:r>
    </w:p>
    <w:p w14:paraId="76DC1E3F" w14:textId="77777777" w:rsidR="00B01D46" w:rsidRDefault="0067013E">
      <w:pPr>
        <w:autoSpaceDE w:val="0"/>
        <w:autoSpaceDN w:val="0"/>
        <w:adjustRightInd w:val="0"/>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t>Additionally, the Sauce model was appropriate for this study because it is a tool that develops the ILS of information users and guides users/learners in every step of research and in finding relevant information to solve a problem at hand (Bond, 2011). Correspondingly, the model serves as a tool for teachers/trainers to guide their students on how to search for relevant information to solve problems at hand. Finally, the model stresses the role of ICT in enhancing the adequacy of ILS among learners, which is another focus point for this study.</w:t>
      </w:r>
    </w:p>
    <w:p w14:paraId="75813CB6" w14:textId="77777777" w:rsidR="00B01D46" w:rsidRDefault="0067013E">
      <w:pPr>
        <w:pStyle w:val="Heading4"/>
      </w:pPr>
      <w:bookmarkStart w:id="384" w:name="_Toc165369142"/>
      <w:bookmarkStart w:id="385" w:name="_Toc164663983"/>
      <w:bookmarkStart w:id="386" w:name="_Toc165365129"/>
      <w:bookmarkStart w:id="387" w:name="_Toc165367600"/>
      <w:bookmarkStart w:id="388" w:name="_Toc165364862"/>
      <w:bookmarkStart w:id="389" w:name="_Toc165975747"/>
      <w:bookmarkStart w:id="390" w:name="_Toc165368326"/>
      <w:bookmarkStart w:id="391" w:name="_Toc184272857"/>
      <w:bookmarkStart w:id="392" w:name="_Toc165973026"/>
      <w:r>
        <w:t>2.2.1.3 Gaps in the use of the Sauce Model</w:t>
      </w:r>
      <w:bookmarkEnd w:id="384"/>
      <w:bookmarkEnd w:id="385"/>
      <w:bookmarkEnd w:id="386"/>
      <w:bookmarkEnd w:id="387"/>
      <w:bookmarkEnd w:id="388"/>
      <w:bookmarkEnd w:id="389"/>
      <w:bookmarkEnd w:id="390"/>
      <w:bookmarkEnd w:id="391"/>
      <w:bookmarkEnd w:id="392"/>
    </w:p>
    <w:p w14:paraId="7A030C9F" w14:textId="77777777" w:rsidR="00B01D46" w:rsidRDefault="0067013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model supports learning, training, and usage of ILS in helping users/learners research and solve problems through information search and use. However, the Sauce model is developed to teach ILS rather than to find a solution to a research question or a solution to a problem at hand. The model has a major weakness in that it focuses less on the end product and more on the process. Therefore, there is less or no concern about the final results (whether faulty or not) as long as the process laid down by the model is followed. Another weak point of the Sauce Model is that it does not explain </w:t>
      </w:r>
      <w:r>
        <w:rPr>
          <w:rFonts w:ascii="Times New Roman" w:hAnsi="Times New Roman" w:cs="Times New Roman"/>
          <w:sz w:val="24"/>
          <w:szCs w:val="24"/>
        </w:rPr>
        <w:lastRenderedPageBreak/>
        <w:t>how the ILS curriculum and policy should be developed or enhanced.  However, the six frames for the information literacy education model (</w:t>
      </w:r>
      <w:r>
        <w:rPr>
          <w:rStyle w:val="contribdegrees"/>
          <w:rFonts w:ascii="Times New Roman" w:hAnsi="Times New Roman" w:cs="Times New Roman"/>
          <w:sz w:val="24"/>
          <w:szCs w:val="24"/>
        </w:rPr>
        <w:t>Bruce, Edwards &amp; Lupton,</w:t>
      </w:r>
      <w:r>
        <w:rPr>
          <w:rFonts w:ascii="Times New Roman" w:eastAsia="Times New Roman" w:hAnsi="Times New Roman" w:cs="Times New Roman"/>
          <w:sz w:val="24"/>
          <w:szCs w:val="24"/>
        </w:rPr>
        <w:t xml:space="preserve"> </w:t>
      </w:r>
      <w:r>
        <w:rPr>
          <w:rFonts w:ascii="Times New Roman" w:hAnsi="Times New Roman" w:cs="Times New Roman"/>
          <w:sz w:val="24"/>
          <w:szCs w:val="24"/>
        </w:rPr>
        <w:t>2015) were utilized to bridge the identified gaps</w:t>
      </w:r>
    </w:p>
    <w:p w14:paraId="62082F5D" w14:textId="77777777" w:rsidR="00B01D46" w:rsidRDefault="0067013E">
      <w:pPr>
        <w:pStyle w:val="Heading3"/>
      </w:pPr>
      <w:bookmarkStart w:id="393" w:name="_Toc165365130"/>
      <w:bookmarkStart w:id="394" w:name="_Toc165368327"/>
      <w:bookmarkStart w:id="395" w:name="_Toc165897980"/>
      <w:bookmarkStart w:id="396" w:name="_Toc165975748"/>
      <w:bookmarkStart w:id="397" w:name="_Toc164663984"/>
      <w:bookmarkStart w:id="398" w:name="_Toc165367601"/>
      <w:bookmarkStart w:id="399" w:name="_Toc184272858"/>
      <w:bookmarkStart w:id="400" w:name="_Toc165364863"/>
      <w:bookmarkStart w:id="401" w:name="_Toc165369143"/>
      <w:bookmarkStart w:id="402" w:name="_Toc165973027"/>
      <w:r>
        <w:t>2.2.2 Six Frames for Information Literacy Education Model</w:t>
      </w:r>
      <w:bookmarkEnd w:id="393"/>
      <w:bookmarkEnd w:id="394"/>
      <w:bookmarkEnd w:id="395"/>
      <w:bookmarkEnd w:id="396"/>
      <w:bookmarkEnd w:id="397"/>
      <w:bookmarkEnd w:id="398"/>
      <w:bookmarkEnd w:id="399"/>
      <w:bookmarkEnd w:id="400"/>
      <w:bookmarkEnd w:id="401"/>
      <w:bookmarkEnd w:id="402"/>
    </w:p>
    <w:p w14:paraId="6F0DE982" w14:textId="77777777" w:rsidR="00B01D46" w:rsidRDefault="0067013E">
      <w:pPr>
        <w:pStyle w:val="NormalWeb"/>
        <w:shd w:val="clear" w:color="auto" w:fill="FFFFFF"/>
        <w:tabs>
          <w:tab w:val="left" w:pos="360"/>
        </w:tabs>
        <w:autoSpaceDE w:val="0"/>
        <w:autoSpaceDN w:val="0"/>
        <w:adjustRightInd w:val="0"/>
        <w:spacing w:before="0" w:beforeAutospacing="0" w:line="480" w:lineRule="auto"/>
        <w:jc w:val="both"/>
      </w:pPr>
      <w:r>
        <w:t>The six frames for the information literacy education model were developed by Christine Bruce in 1997 as a learning-oriented approach to ILS (</w:t>
      </w:r>
      <w:r>
        <w:rPr>
          <w:rStyle w:val="contribdegrees"/>
        </w:rPr>
        <w:t>Bruce, Edwards &amp; Lupton,</w:t>
      </w:r>
      <w:r>
        <w:t xml:space="preserve"> 2015).</w:t>
      </w:r>
      <w:r>
        <w:rPr>
          <w:color w:val="FF0000"/>
        </w:rPr>
        <w:t xml:space="preserve"> </w:t>
      </w:r>
      <w:r>
        <w:t>Six frames for the Information Literacy Education model addressed research questions two (2) and three (3): How does information literacy skills policy and curriculum guide in imparting ILS to medical, undergraduate students? and how</w:t>
      </w:r>
      <w:r>
        <w:rPr>
          <w:rFonts w:eastAsia="Calibri"/>
        </w:rPr>
        <w:t xml:space="preserve"> is the understanding of ILS among medical undergraduate students?</w:t>
      </w:r>
    </w:p>
    <w:p w14:paraId="03C4218F" w14:textId="77777777" w:rsidR="00B01D46" w:rsidRDefault="0067013E">
      <w:pPr>
        <w:spacing w:before="120" w:after="0" w:line="480" w:lineRule="auto"/>
        <w:ind w:right="-28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six frames for the information literacy education model were created as a theoretical tool to assist participants in the ILS education arena in reflecting on and analyzing the many implicit and explicit theoretical impacts on their settings. The frames have resulted in a paradigm change in ILS teaching, learning, and curriculum development (</w:t>
      </w:r>
      <w:r>
        <w:rPr>
          <w:rFonts w:ascii="Times New Roman" w:hAnsi="Times New Roman" w:cs="Times New Roman"/>
          <w:color w:val="222222"/>
          <w:sz w:val="24"/>
          <w:szCs w:val="24"/>
          <w:shd w:val="clear" w:color="auto" w:fill="FFFFFF"/>
        </w:rPr>
        <w:t>Secker &amp; Coonan, 2011</w:t>
      </w:r>
      <w:r>
        <w:rPr>
          <w:rFonts w:ascii="Times New Roman" w:eastAsia="Times New Roman" w:hAnsi="Times New Roman" w:cs="Times New Roman"/>
          <w:sz w:val="24"/>
          <w:szCs w:val="24"/>
        </w:rPr>
        <w:t xml:space="preserve">). </w:t>
      </w:r>
      <w:r>
        <w:rPr>
          <w:rFonts w:ascii="Times New Roman" w:hAnsi="Times New Roman" w:cs="Times New Roman"/>
          <w:sz w:val="24"/>
          <w:szCs w:val="24"/>
        </w:rPr>
        <w:t>The six frames of information literacy education are:</w:t>
      </w:r>
    </w:p>
    <w:p w14:paraId="16480BD8" w14:textId="77777777" w:rsidR="00B01D46" w:rsidRDefault="0067013E">
      <w:pPr>
        <w:numPr>
          <w:ilvl w:val="0"/>
          <w:numId w:val="8"/>
        </w:numPr>
        <w:spacing w:after="0" w:line="480" w:lineRule="auto"/>
        <w:ind w:left="284" w:right="-288"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Content Frame</w:t>
      </w:r>
    </w:p>
    <w:p w14:paraId="64FB2D57" w14:textId="77777777" w:rsidR="00B01D46" w:rsidRDefault="0067013E">
      <w:pPr>
        <w:numPr>
          <w:ilvl w:val="0"/>
          <w:numId w:val="8"/>
        </w:numPr>
        <w:spacing w:after="0" w:line="480" w:lineRule="auto"/>
        <w:ind w:left="284" w:right="-288"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Competency Frame</w:t>
      </w:r>
    </w:p>
    <w:p w14:paraId="13075493" w14:textId="77777777" w:rsidR="00B01D46" w:rsidRDefault="0067013E">
      <w:pPr>
        <w:numPr>
          <w:ilvl w:val="0"/>
          <w:numId w:val="8"/>
        </w:numPr>
        <w:spacing w:after="0" w:line="480" w:lineRule="auto"/>
        <w:ind w:left="284" w:right="-288"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Learning to Learn Frame</w:t>
      </w:r>
    </w:p>
    <w:p w14:paraId="1B444972" w14:textId="77777777" w:rsidR="00B01D46" w:rsidRDefault="0067013E">
      <w:pPr>
        <w:numPr>
          <w:ilvl w:val="0"/>
          <w:numId w:val="8"/>
        </w:numPr>
        <w:spacing w:after="0" w:line="480" w:lineRule="auto"/>
        <w:ind w:left="284" w:right="-288"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Personal Relevance Frame</w:t>
      </w:r>
    </w:p>
    <w:p w14:paraId="25C25D2D" w14:textId="77777777" w:rsidR="00B01D46" w:rsidRDefault="0067013E">
      <w:pPr>
        <w:numPr>
          <w:ilvl w:val="0"/>
          <w:numId w:val="8"/>
        </w:numPr>
        <w:spacing w:after="0" w:line="480" w:lineRule="auto"/>
        <w:ind w:left="284" w:right="-288"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Social Impact Frame and</w:t>
      </w:r>
    </w:p>
    <w:p w14:paraId="2C7D5B1E" w14:textId="77777777" w:rsidR="00B01D46" w:rsidRDefault="0067013E">
      <w:pPr>
        <w:numPr>
          <w:ilvl w:val="0"/>
          <w:numId w:val="8"/>
        </w:numPr>
        <w:spacing w:after="0" w:line="480" w:lineRule="auto"/>
        <w:ind w:left="284" w:right="-288"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Relational Frame.</w:t>
      </w:r>
    </w:p>
    <w:p w14:paraId="601D6A95" w14:textId="77777777" w:rsidR="00B01D46" w:rsidRDefault="0067013E">
      <w:pPr>
        <w:spacing w:before="120" w:after="0" w:line="480" w:lineRule="auto"/>
        <w:ind w:right="-28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frame represents a distinct perspective on ILS, information, curricular emphasis, learning and teaching, content, and assessment. Some frame components apply to both substantive content and ILS components when both are taught concurrently. </w:t>
      </w:r>
    </w:p>
    <w:p w14:paraId="638ECA6A"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eastAsia="Times New Roman" w:hAnsi="Times New Roman" w:cs="Times New Roman"/>
          <w:b/>
          <w:sz w:val="24"/>
          <w:szCs w:val="24"/>
        </w:rPr>
        <w:lastRenderedPageBreak/>
        <w:t>Frame one: Content Frame</w:t>
      </w:r>
      <w:r>
        <w:rPr>
          <w:rFonts w:ascii="Times New Roman" w:eastAsia="Times New Roman" w:hAnsi="Times New Roman" w:cs="Times New Roman"/>
          <w:sz w:val="24"/>
          <w:szCs w:val="24"/>
        </w:rPr>
        <w:t xml:space="preserve">- The content frame is discipline-centered, which means that the emphasis is on what learners should know about ILS. In addition, the ILS evaluation often assesses the amount of information a learner has learned. The content frame advocates for teaching ILS sessions inside a discipline-based subject, as well as presenting lectures with a critical set of information tools and strategies.  </w:t>
      </w:r>
    </w:p>
    <w:p w14:paraId="77F8411C" w14:textId="77777777" w:rsidR="00B01D46" w:rsidRDefault="0067013E">
      <w:pPr>
        <w:spacing w:before="120" w:after="0" w:line="480" w:lineRule="auto"/>
        <w:ind w:right="-288"/>
        <w:jc w:val="both"/>
        <w:rPr>
          <w:rFonts w:ascii="Times New Roman" w:eastAsia="Times New Roman" w:hAnsi="Times New Roman" w:cs="Times New Roman"/>
          <w:sz w:val="24"/>
          <w:szCs w:val="24"/>
        </w:rPr>
      </w:pPr>
      <w:r>
        <w:rPr>
          <w:rFonts w:ascii="Times New Roman" w:hAnsi="Times New Roman" w:cs="Times New Roman"/>
          <w:noProof/>
          <w:sz w:val="24"/>
          <w:szCs w:val="24"/>
        </w:rPr>
        <w:drawing>
          <wp:inline distT="0" distB="0" distL="0" distR="0" wp14:anchorId="11819FBF" wp14:editId="34DA242D">
            <wp:extent cx="4323715" cy="2190750"/>
            <wp:effectExtent l="0" t="0" r="635" b="0"/>
            <wp:docPr id="6" name="Picture 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igu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324349" cy="2190750"/>
                    </a:xfrm>
                    <a:prstGeom prst="rect">
                      <a:avLst/>
                    </a:prstGeom>
                    <a:noFill/>
                    <a:ln>
                      <a:noFill/>
                    </a:ln>
                  </pic:spPr>
                </pic:pic>
              </a:graphicData>
            </a:graphic>
          </wp:inline>
        </w:drawing>
      </w:r>
    </w:p>
    <w:p w14:paraId="09E6D200" w14:textId="77777777" w:rsidR="00B01D46" w:rsidRDefault="0067013E">
      <w:pPr>
        <w:pStyle w:val="Caption"/>
      </w:pPr>
      <w:bookmarkStart w:id="403" w:name="_Toc165975749"/>
      <w:bookmarkStart w:id="404" w:name="_Toc165368328"/>
      <w:bookmarkStart w:id="405" w:name="_Toc165897981"/>
      <w:bookmarkStart w:id="406" w:name="_Toc165365131"/>
      <w:bookmarkStart w:id="407" w:name="_Toc165972510"/>
      <w:bookmarkStart w:id="408" w:name="_Toc165367602"/>
      <w:bookmarkStart w:id="409" w:name="_Toc165362668"/>
      <w:bookmarkStart w:id="410" w:name="_Toc165363357"/>
      <w:bookmarkStart w:id="411" w:name="_Toc165369144"/>
      <w:bookmarkStart w:id="412" w:name="_Toc184271971"/>
      <w:bookmarkStart w:id="413" w:name="_Toc165364864"/>
      <w:bookmarkStart w:id="414" w:name="_Toc184276881"/>
      <w:bookmarkStart w:id="415" w:name="_Toc165973028"/>
      <w:bookmarkStart w:id="416" w:name="_Toc184272169"/>
      <w:r>
        <w:t>Figure 2.2: Content Frame-</w:t>
      </w:r>
      <w:r>
        <w:rPr>
          <w:rFonts w:eastAsia="Times New Roman"/>
        </w:rPr>
        <w:t xml:space="preserve">Six Frames for Information Literacy Education Model </w:t>
      </w:r>
      <w:r>
        <w:t>(Source: Bruce et al., 2006)</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14:paraId="7713032B" w14:textId="77777777" w:rsidR="00B01D46" w:rsidRDefault="00B01D46">
      <w:pPr>
        <w:rPr>
          <w:rFonts w:ascii="Times New Roman" w:hAnsi="Times New Roman" w:cs="Times New Roman"/>
          <w:sz w:val="24"/>
          <w:szCs w:val="24"/>
        </w:rPr>
      </w:pPr>
    </w:p>
    <w:p w14:paraId="2F6D792A" w14:textId="77777777" w:rsidR="00B01D46" w:rsidRDefault="0067013E">
      <w:pPr>
        <w:spacing w:before="120" w:after="0" w:line="480" w:lineRule="auto"/>
        <w:ind w:right="-28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Frame Two: The Competency Frame-</w:t>
      </w:r>
      <w:r>
        <w:rPr>
          <w:rFonts w:ascii="Times New Roman" w:eastAsia="Times New Roman" w:hAnsi="Times New Roman" w:cs="Times New Roman"/>
          <w:sz w:val="24"/>
          <w:szCs w:val="24"/>
        </w:rPr>
        <w:t xml:space="preserve"> The competence frame is often behavioral or performance oriented. This frame is concerned with the question of what learners should be able to perform and at what degree of competence. The framework recommends for the construction of an instruction program that would allow students to acquire the necessary competencies.</w:t>
      </w:r>
    </w:p>
    <w:p w14:paraId="15CE1382" w14:textId="77777777" w:rsidR="00B01D46" w:rsidRDefault="0067013E">
      <w:pPr>
        <w:pStyle w:val="NoSpacing"/>
        <w:rPr>
          <w:rFonts w:eastAsia="Times New Roman"/>
        </w:rPr>
      </w:pPr>
      <w:r>
        <w:rPr>
          <w:noProof/>
        </w:rPr>
        <w:lastRenderedPageBreak/>
        <w:drawing>
          <wp:inline distT="0" distB="0" distL="0" distR="0" wp14:anchorId="2FAA9842" wp14:editId="3E9FE183">
            <wp:extent cx="4543425" cy="2476500"/>
            <wp:effectExtent l="0" t="0" r="9525" b="0"/>
            <wp:docPr id="5" name="Picture 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g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554047" cy="2482290"/>
                    </a:xfrm>
                    <a:prstGeom prst="rect">
                      <a:avLst/>
                    </a:prstGeom>
                    <a:noFill/>
                    <a:ln>
                      <a:noFill/>
                    </a:ln>
                  </pic:spPr>
                </pic:pic>
              </a:graphicData>
            </a:graphic>
          </wp:inline>
        </w:drawing>
      </w:r>
    </w:p>
    <w:p w14:paraId="1DCF0E23" w14:textId="77777777" w:rsidR="00B01D46" w:rsidRDefault="0067013E">
      <w:pPr>
        <w:pStyle w:val="Caption"/>
      </w:pPr>
      <w:bookmarkStart w:id="417" w:name="_Toc165973029"/>
      <w:bookmarkStart w:id="418" w:name="_Toc184272170"/>
      <w:bookmarkStart w:id="419" w:name="_Toc165364865"/>
      <w:bookmarkStart w:id="420" w:name="_Toc165363358"/>
      <w:bookmarkStart w:id="421" w:name="_Toc165975750"/>
      <w:bookmarkStart w:id="422" w:name="_Toc165367603"/>
      <w:bookmarkStart w:id="423" w:name="_Toc184276882"/>
      <w:bookmarkStart w:id="424" w:name="_Toc165362669"/>
      <w:bookmarkStart w:id="425" w:name="_Toc165368329"/>
      <w:bookmarkStart w:id="426" w:name="_Toc165897982"/>
      <w:bookmarkStart w:id="427" w:name="_Toc165369145"/>
      <w:bookmarkStart w:id="428" w:name="_Toc165972511"/>
      <w:bookmarkStart w:id="429" w:name="_Toc165365132"/>
      <w:bookmarkStart w:id="430" w:name="_Toc184271972"/>
      <w:r>
        <w:t>Figure 2.3: Competency Frame-</w:t>
      </w:r>
      <w:r>
        <w:rPr>
          <w:rFonts w:eastAsia="Times New Roman"/>
        </w:rPr>
        <w:t xml:space="preserve">Six Frames for Information Literacy Education Model </w:t>
      </w:r>
      <w:r>
        <w:t>(Source: Bruce et al., 2006)</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2B5E1920" w14:textId="77777777" w:rsidR="00B01D46" w:rsidRDefault="00B01D46">
      <w:pPr>
        <w:pStyle w:val="NoSpacing"/>
      </w:pPr>
    </w:p>
    <w:p w14:paraId="53F6B43E" w14:textId="77777777" w:rsidR="00B01D46" w:rsidRDefault="0067013E">
      <w:pPr>
        <w:spacing w:before="120" w:after="0" w:line="480" w:lineRule="auto"/>
        <w:ind w:right="-288"/>
        <w:jc w:val="both"/>
        <w:rPr>
          <w:rFonts w:ascii="Times New Roman" w:hAnsi="Times New Roman" w:cs="Times New Roman"/>
          <w:sz w:val="24"/>
          <w:szCs w:val="24"/>
        </w:rPr>
      </w:pPr>
      <w:r>
        <w:rPr>
          <w:rFonts w:ascii="Times New Roman" w:hAnsi="Times New Roman" w:cs="Times New Roman"/>
          <w:b/>
          <w:sz w:val="24"/>
          <w:szCs w:val="24"/>
        </w:rPr>
        <w:t>Frame Three: The learning-to-learn frame-</w:t>
      </w:r>
      <w:r>
        <w:rPr>
          <w:rFonts w:ascii="Times New Roman" w:hAnsi="Times New Roman" w:cs="Times New Roman"/>
          <w:sz w:val="24"/>
          <w:szCs w:val="24"/>
        </w:rPr>
        <w:t xml:space="preserve"> The frame is constructivist in nature. It seeks to know what it is like to think like an information literate expert, such as an information scientist, accountant, surveyor, journalist, or landscape designer. The framework is also concerned with what will assist learners in effectively constructing knowledge and developing methodologies for learning that encourage the development of professional thinking patterns. The goal of assessing ILS is to understand how processes of information have influenced learning or learners' approaches to the topic at hand.</w:t>
      </w:r>
    </w:p>
    <w:p w14:paraId="3A6DA3A3" w14:textId="77777777" w:rsidR="00B01D46" w:rsidRDefault="0067013E">
      <w:pPr>
        <w:pStyle w:val="NoSpacing"/>
      </w:pPr>
      <w:r>
        <w:rPr>
          <w:noProof/>
        </w:rPr>
        <w:drawing>
          <wp:inline distT="0" distB="0" distL="0" distR="0" wp14:anchorId="169B27A6" wp14:editId="594CC29A">
            <wp:extent cx="4599940" cy="2381250"/>
            <wp:effectExtent l="0" t="0" r="0" b="0"/>
            <wp:docPr id="4" name="Picture 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g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615371" cy="2388909"/>
                    </a:xfrm>
                    <a:prstGeom prst="rect">
                      <a:avLst/>
                    </a:prstGeom>
                    <a:noFill/>
                    <a:ln>
                      <a:noFill/>
                    </a:ln>
                  </pic:spPr>
                </pic:pic>
              </a:graphicData>
            </a:graphic>
          </wp:inline>
        </w:drawing>
      </w:r>
    </w:p>
    <w:p w14:paraId="1B2B7A63" w14:textId="77777777" w:rsidR="00B01D46" w:rsidRDefault="0067013E">
      <w:pPr>
        <w:pStyle w:val="Caption"/>
      </w:pPr>
      <w:bookmarkStart w:id="431" w:name="_Toc165369146"/>
      <w:bookmarkStart w:id="432" w:name="_Toc165363359"/>
      <w:bookmarkStart w:id="433" w:name="_Toc165365133"/>
      <w:bookmarkStart w:id="434" w:name="_Toc165975751"/>
      <w:bookmarkStart w:id="435" w:name="_Toc165367604"/>
      <w:bookmarkStart w:id="436" w:name="_Toc165897983"/>
      <w:bookmarkStart w:id="437" w:name="_Toc184271973"/>
      <w:bookmarkStart w:id="438" w:name="_Toc165364866"/>
      <w:bookmarkStart w:id="439" w:name="_Toc165972512"/>
      <w:bookmarkStart w:id="440" w:name="_Toc165973030"/>
      <w:bookmarkStart w:id="441" w:name="_Toc165362670"/>
      <w:bookmarkStart w:id="442" w:name="_Toc184272171"/>
      <w:bookmarkStart w:id="443" w:name="_Toc184276883"/>
      <w:bookmarkStart w:id="444" w:name="_Toc165368330"/>
      <w:r>
        <w:t>Figure 2.4: Learning to Learn Frame-</w:t>
      </w:r>
      <w:r>
        <w:rPr>
          <w:rFonts w:eastAsia="Times New Roman"/>
        </w:rPr>
        <w:t xml:space="preserve">Six Frames for Information Literacy Education Model </w:t>
      </w:r>
      <w:r>
        <w:t>(Source: Bruce et al., 2006)</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14:paraId="6E02D718" w14:textId="77777777" w:rsidR="00B01D46" w:rsidRDefault="0067013E">
      <w:pPr>
        <w:spacing w:before="120" w:after="0" w:line="480" w:lineRule="auto"/>
        <w:ind w:right="-28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Frame Four: The Personal Relevance Frame-</w:t>
      </w:r>
      <w:r>
        <w:rPr>
          <w:rFonts w:ascii="Times New Roman" w:eastAsia="Times New Roman" w:hAnsi="Times New Roman" w:cs="Times New Roman"/>
          <w:sz w:val="24"/>
          <w:szCs w:val="24"/>
        </w:rPr>
        <w:t xml:space="preserve"> This frame promotes the use of an experienced approach. In connection to ILS education, the framework requires learners to gain an understanding of what ILS can accomplish for them as well as the specific experiences necessary to make it possible for learners to interact with the topic at hand. </w:t>
      </w:r>
    </w:p>
    <w:p w14:paraId="7E029738" w14:textId="77777777" w:rsidR="00B01D46" w:rsidRDefault="0067013E">
      <w:pPr>
        <w:spacing w:before="120" w:after="0" w:line="480" w:lineRule="auto"/>
        <w:ind w:right="-288"/>
        <w:jc w:val="both"/>
        <w:rPr>
          <w:rFonts w:ascii="Times New Roman" w:hAnsi="Times New Roman" w:cs="Times New Roman"/>
          <w:b/>
          <w:bCs/>
          <w:sz w:val="24"/>
          <w:szCs w:val="24"/>
        </w:rPr>
      </w:pPr>
      <w:r>
        <w:rPr>
          <w:rFonts w:ascii="Times New Roman" w:hAnsi="Times New Roman" w:cs="Times New Roman"/>
          <w:noProof/>
          <w:sz w:val="24"/>
          <w:szCs w:val="24"/>
        </w:rPr>
        <w:drawing>
          <wp:inline distT="0" distB="0" distL="0" distR="0" wp14:anchorId="70D269BB" wp14:editId="532F1854">
            <wp:extent cx="4191000" cy="2038350"/>
            <wp:effectExtent l="0" t="0" r="0" b="0"/>
            <wp:docPr id="3" name="Picture 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igu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207247" cy="2046252"/>
                    </a:xfrm>
                    <a:prstGeom prst="rect">
                      <a:avLst/>
                    </a:prstGeom>
                    <a:noFill/>
                    <a:ln>
                      <a:noFill/>
                    </a:ln>
                  </pic:spPr>
                </pic:pic>
              </a:graphicData>
            </a:graphic>
          </wp:inline>
        </w:drawing>
      </w:r>
    </w:p>
    <w:p w14:paraId="447047F0" w14:textId="77777777" w:rsidR="00B01D46" w:rsidRDefault="0067013E">
      <w:pPr>
        <w:pStyle w:val="Caption"/>
      </w:pPr>
      <w:bookmarkStart w:id="445" w:name="_Toc165367605"/>
      <w:bookmarkStart w:id="446" w:name="_Toc165368331"/>
      <w:bookmarkStart w:id="447" w:name="_Toc165364867"/>
      <w:bookmarkStart w:id="448" w:name="_Toc165973031"/>
      <w:bookmarkStart w:id="449" w:name="_Toc165975752"/>
      <w:bookmarkStart w:id="450" w:name="_Toc165369147"/>
      <w:bookmarkStart w:id="451" w:name="_Toc165365134"/>
      <w:bookmarkStart w:id="452" w:name="_Toc165972513"/>
      <w:bookmarkStart w:id="453" w:name="_Toc165363360"/>
      <w:bookmarkStart w:id="454" w:name="_Toc184272172"/>
      <w:bookmarkStart w:id="455" w:name="_Toc184276884"/>
      <w:bookmarkStart w:id="456" w:name="_Toc165897984"/>
      <w:bookmarkStart w:id="457" w:name="_Toc184271974"/>
      <w:bookmarkStart w:id="458" w:name="_Toc165362671"/>
      <w:r>
        <w:t>Figure 2.5: Personal Relevance Frame-</w:t>
      </w:r>
      <w:r>
        <w:rPr>
          <w:rFonts w:eastAsia="Times New Roman"/>
        </w:rPr>
        <w:t xml:space="preserve">Six Frames For Information Literacy Education Model </w:t>
      </w:r>
      <w:r>
        <w:t>(Source: Bruce et  al., 2006)</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2284A120" w14:textId="77777777" w:rsidR="00B01D46" w:rsidRDefault="00B01D46">
      <w:pPr>
        <w:pStyle w:val="NoSpacing"/>
      </w:pPr>
    </w:p>
    <w:p w14:paraId="5526016B" w14:textId="77777777" w:rsidR="00B01D46" w:rsidRDefault="0067013E">
      <w:pPr>
        <w:spacing w:before="120" w:after="0" w:line="480" w:lineRule="auto"/>
        <w:ind w:right="-28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Frame Five:  Social Impact Frame-</w:t>
      </w:r>
      <w:r>
        <w:rPr>
          <w:rFonts w:ascii="Times New Roman" w:eastAsia="Times New Roman" w:hAnsi="Times New Roman" w:cs="Times New Roman"/>
          <w:sz w:val="24"/>
          <w:szCs w:val="24"/>
        </w:rPr>
        <w:t xml:space="preserve"> It embraces a social reform focus, which is how ILS affects society and how it may assist communities inform/solve key problems. Learners would be tested based on their grasp of how IL could impact the social issue at hand.</w:t>
      </w:r>
    </w:p>
    <w:p w14:paraId="2E1159F0" w14:textId="77777777" w:rsidR="00B01D46" w:rsidRDefault="0067013E">
      <w:pPr>
        <w:pStyle w:val="NoSpacing"/>
        <w:rPr>
          <w:rFonts w:eastAsia="Times New Roman"/>
        </w:rPr>
      </w:pPr>
      <w:r>
        <w:rPr>
          <w:noProof/>
        </w:rPr>
        <w:drawing>
          <wp:inline distT="0" distB="0" distL="0" distR="0" wp14:anchorId="50C52FD9" wp14:editId="37C96FCC">
            <wp:extent cx="3558540" cy="2556510"/>
            <wp:effectExtent l="0" t="0" r="3810" b="0"/>
            <wp:docPr id="2" name="Picture 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gu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562323" cy="2558837"/>
                    </a:xfrm>
                    <a:prstGeom prst="rect">
                      <a:avLst/>
                    </a:prstGeom>
                    <a:noFill/>
                    <a:ln>
                      <a:noFill/>
                    </a:ln>
                  </pic:spPr>
                </pic:pic>
              </a:graphicData>
            </a:graphic>
          </wp:inline>
        </w:drawing>
      </w:r>
    </w:p>
    <w:p w14:paraId="6AB40D86" w14:textId="77777777" w:rsidR="00B01D46" w:rsidRDefault="0067013E">
      <w:pPr>
        <w:pStyle w:val="Caption"/>
      </w:pPr>
      <w:bookmarkStart w:id="459" w:name="_Toc165364868"/>
      <w:bookmarkStart w:id="460" w:name="_Toc165367606"/>
      <w:bookmarkStart w:id="461" w:name="_Toc165897985"/>
      <w:bookmarkStart w:id="462" w:name="_Toc165362672"/>
      <w:bookmarkStart w:id="463" w:name="_Toc184271975"/>
      <w:bookmarkStart w:id="464" w:name="_Toc165369148"/>
      <w:bookmarkStart w:id="465" w:name="_Toc165363361"/>
      <w:bookmarkStart w:id="466" w:name="_Toc165972514"/>
      <w:bookmarkStart w:id="467" w:name="_Toc184272173"/>
      <w:bookmarkStart w:id="468" w:name="_Toc165973032"/>
      <w:bookmarkStart w:id="469" w:name="_Toc165975753"/>
      <w:bookmarkStart w:id="470" w:name="_Toc165365135"/>
      <w:bookmarkStart w:id="471" w:name="_Toc184276885"/>
      <w:bookmarkStart w:id="472" w:name="_Toc165368332"/>
      <w:r>
        <w:t>Figure 2.6: Social Impact Frame-</w:t>
      </w:r>
      <w:r>
        <w:rPr>
          <w:rFonts w:eastAsia="Times New Roman"/>
        </w:rPr>
        <w:t xml:space="preserve">Six Frames for Information Literacy Education Model </w:t>
      </w:r>
      <w:r>
        <w:t>(Source: Bruce et al., 2006)</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1877B682" w14:textId="77777777" w:rsidR="00B01D46" w:rsidRDefault="0067013E">
      <w:pPr>
        <w:spacing w:before="120" w:after="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Frame Six: The Relational Frame-</w:t>
      </w:r>
      <w:r>
        <w:rPr>
          <w:rFonts w:ascii="Times New Roman" w:eastAsia="Times New Roman" w:hAnsi="Times New Roman" w:cs="Times New Roman"/>
          <w:sz w:val="24"/>
          <w:szCs w:val="24"/>
        </w:rPr>
        <w:t xml:space="preserve"> The frame is focused on how learners are aware of ILS or certain relevant phenomena related to ILS. The framework focuses on creating experiences that assist learners in discerning more powerful ways of viewing the phenomenon under consideration. Furthermore, this frame incorporates reflection as one of the strategies for encouraging learners to understand complicated variations of phenomena.</w:t>
      </w:r>
    </w:p>
    <w:p w14:paraId="43A15120" w14:textId="77777777" w:rsidR="00B01D46" w:rsidRDefault="0067013E">
      <w:pPr>
        <w:spacing w:before="120" w:after="0" w:line="480" w:lineRule="auto"/>
        <w:ind w:right="65"/>
        <w:jc w:val="both"/>
        <w:rPr>
          <w:rFonts w:ascii="Times New Roman" w:eastAsia="Times New Roman" w:hAnsi="Times New Roman" w:cs="Times New Roman"/>
          <w:sz w:val="24"/>
          <w:szCs w:val="24"/>
        </w:rPr>
      </w:pPr>
      <w:r>
        <w:rPr>
          <w:rFonts w:ascii="Times New Roman" w:hAnsi="Times New Roman" w:cs="Times New Roman"/>
          <w:noProof/>
          <w:sz w:val="24"/>
          <w:szCs w:val="24"/>
        </w:rPr>
        <w:drawing>
          <wp:inline distT="0" distB="0" distL="0" distR="0" wp14:anchorId="45D2C864" wp14:editId="425E71A8">
            <wp:extent cx="3751580" cy="2754630"/>
            <wp:effectExtent l="0" t="0" r="1270" b="7620"/>
            <wp:docPr id="1" name="Picture 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u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761990" cy="2762433"/>
                    </a:xfrm>
                    <a:prstGeom prst="rect">
                      <a:avLst/>
                    </a:prstGeom>
                    <a:noFill/>
                    <a:ln>
                      <a:noFill/>
                    </a:ln>
                  </pic:spPr>
                </pic:pic>
              </a:graphicData>
            </a:graphic>
          </wp:inline>
        </w:drawing>
      </w:r>
    </w:p>
    <w:p w14:paraId="1EB1FF6F" w14:textId="77777777" w:rsidR="00B01D46" w:rsidRDefault="0067013E">
      <w:pPr>
        <w:pStyle w:val="Caption"/>
        <w:ind w:right="65"/>
      </w:pPr>
      <w:bookmarkStart w:id="473" w:name="_Toc165972515"/>
      <w:bookmarkStart w:id="474" w:name="_Toc165368333"/>
      <w:bookmarkStart w:id="475" w:name="_Toc184271976"/>
      <w:bookmarkStart w:id="476" w:name="_Toc184276886"/>
      <w:bookmarkStart w:id="477" w:name="_Toc165364869"/>
      <w:bookmarkStart w:id="478" w:name="_Toc165365136"/>
      <w:bookmarkStart w:id="479" w:name="_Toc165362673"/>
      <w:bookmarkStart w:id="480" w:name="_Toc165369149"/>
      <w:bookmarkStart w:id="481" w:name="_Toc165367607"/>
      <w:bookmarkStart w:id="482" w:name="_Toc184272174"/>
      <w:bookmarkStart w:id="483" w:name="_Toc165897986"/>
      <w:bookmarkStart w:id="484" w:name="_Toc165973033"/>
      <w:bookmarkStart w:id="485" w:name="_Toc165363362"/>
      <w:bookmarkStart w:id="486" w:name="_Toc165975754"/>
      <w:r>
        <w:t>Figure 2.7: Relational Frame-</w:t>
      </w:r>
      <w:r>
        <w:rPr>
          <w:rFonts w:eastAsia="Times New Roman"/>
        </w:rPr>
        <w:t xml:space="preserve">Six Frames for Information Literacy Education Model </w:t>
      </w:r>
      <w:r>
        <w:t>(Source: Bruce et al., 2006)</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14:paraId="2DA111C1" w14:textId="77777777" w:rsidR="00B01D46" w:rsidRDefault="0067013E">
      <w:pPr>
        <w:pStyle w:val="inline"/>
        <w:spacing w:before="120" w:beforeAutospacing="0" w:after="240" w:afterAutospacing="0" w:line="480" w:lineRule="auto"/>
        <w:ind w:right="65"/>
        <w:jc w:val="both"/>
      </w:pPr>
      <w:r>
        <w:t xml:space="preserve">The relational frame mediates the content, learning to learn, and experiential frames to guide in the designing of an ILS policy and curriculum.  The relational frame in this study was concerned with how ILS policy and curriculum are developed and delivered to medical undergraduate students of the University of Nairobi and Moi University to enhance their ILS adequacy.  </w:t>
      </w:r>
    </w:p>
    <w:p w14:paraId="1732D715" w14:textId="77777777" w:rsidR="00B01D46" w:rsidRDefault="0067013E">
      <w:pPr>
        <w:pStyle w:val="Heading4"/>
      </w:pPr>
      <w:bookmarkStart w:id="487" w:name="_Toc164663985"/>
      <w:bookmarkStart w:id="488" w:name="_Toc165367608"/>
      <w:bookmarkStart w:id="489" w:name="_Toc165368334"/>
      <w:bookmarkStart w:id="490" w:name="_Toc165365137"/>
      <w:bookmarkStart w:id="491" w:name="_Toc184272859"/>
      <w:bookmarkStart w:id="492" w:name="_Toc165364870"/>
      <w:bookmarkStart w:id="493" w:name="_Toc165369150"/>
      <w:bookmarkStart w:id="494" w:name="_Toc165973034"/>
      <w:bookmarkStart w:id="495" w:name="_Toc165975755"/>
      <w:r>
        <w:t>2.2.2.1 Relevancy of the Theory to this Study</w:t>
      </w:r>
      <w:bookmarkEnd w:id="487"/>
      <w:bookmarkEnd w:id="488"/>
      <w:bookmarkEnd w:id="489"/>
      <w:bookmarkEnd w:id="490"/>
      <w:bookmarkEnd w:id="491"/>
      <w:bookmarkEnd w:id="492"/>
      <w:bookmarkEnd w:id="493"/>
      <w:bookmarkEnd w:id="494"/>
      <w:bookmarkEnd w:id="495"/>
    </w:p>
    <w:p w14:paraId="1471FC6D" w14:textId="77777777" w:rsidR="00B01D46" w:rsidRDefault="0067013E">
      <w:pPr>
        <w:pStyle w:val="Default"/>
        <w:spacing w:line="480" w:lineRule="auto"/>
        <w:ind w:right="65"/>
        <w:jc w:val="both"/>
      </w:pPr>
      <w:r>
        <w:t xml:space="preserve">This study adopted the relational frame of the six frames for information instruction education model to guide the researcher answer research questions two (2) and three (3) of this study. </w:t>
      </w:r>
    </w:p>
    <w:p w14:paraId="73ED931F" w14:textId="77777777" w:rsidR="00B01D46" w:rsidRDefault="0067013E">
      <w:pPr>
        <w:pStyle w:val="inline"/>
        <w:spacing w:before="120" w:beforeAutospacing="0" w:after="0" w:afterAutospacing="0" w:line="480" w:lineRule="auto"/>
        <w:ind w:right="65"/>
        <w:jc w:val="both"/>
      </w:pPr>
      <w:r>
        <w:lastRenderedPageBreak/>
        <w:t xml:space="preserve">The six-frame theory helped the study understand the ILS policy and curriculum tenets that guide the drafting, implementation, and delivery of the ILS curriculum to improve or develop ILS adequacy among medical undergraduate students of the University of Nairobi and Moi University. According to </w:t>
      </w:r>
      <w:r>
        <w:rPr>
          <w:rStyle w:val="personname"/>
        </w:rPr>
        <w:t>Bruce, et al</w:t>
      </w:r>
      <w:r>
        <w:rPr>
          <w:rStyle w:val="citation"/>
        </w:rPr>
        <w:t xml:space="preserve"> (2006</w:t>
      </w:r>
      <w:r>
        <w:t xml:space="preserve">), Six frames theory is interested in ILS content and how that content is delivered, seen or experienced by learners. Further, the theory enabled the researcher to discern the ILS understanding among undergraduate medical students. </w:t>
      </w:r>
      <w:r>
        <w:rPr>
          <w:color w:val="222222"/>
          <w:shd w:val="clear" w:color="auto" w:fill="FFFFFF"/>
        </w:rPr>
        <w:t>Tilvawala et al</w:t>
      </w:r>
      <w:r>
        <w:t xml:space="preserve"> (2019) attests that ILS learning guide and motivate learners to seek for solutions by combining existing and newly acquired information and simplifying knowledge. This way, students develop an efficacious attitude towards ILS learning and training because they (the learners) are the driving force behind learning, hence take effective participation and establish broader applications for skills learned through activities that encourage risks, problem-solving, and probing. </w:t>
      </w:r>
    </w:p>
    <w:p w14:paraId="7C320EEF" w14:textId="77777777" w:rsidR="00B01D46" w:rsidRDefault="0067013E">
      <w:pPr>
        <w:pStyle w:val="inline"/>
        <w:spacing w:before="120" w:beforeAutospacing="0" w:after="240" w:afterAutospacing="0" w:line="480" w:lineRule="auto"/>
        <w:ind w:right="65"/>
        <w:jc w:val="both"/>
      </w:pPr>
      <w:r>
        <w:t xml:space="preserve">Consequently, the researcher attempted to search for theories that have been developed in Africa for African ILS concerns and context. The researcher did not find any theory that had been developed for the African ILS context or by Africans. However, the Sauce Model and the six frames for information instruction education model have been adopted by various researchers in Africa for African context studies notably, (Lwehabura &amp; Stilwell, 2008; Dadzie, 2007; Akakandelwa &amp; </w:t>
      </w:r>
      <w:r>
        <w:rPr>
          <w:color w:val="222222"/>
          <w:shd w:val="clear" w:color="auto" w:fill="FFFFFF"/>
        </w:rPr>
        <w:t>Walubita</w:t>
      </w:r>
      <w:r>
        <w:t xml:space="preserve"> 2018; Kanguha 2016)</w:t>
      </w:r>
    </w:p>
    <w:p w14:paraId="2773DEA3" w14:textId="77777777" w:rsidR="00B01D46" w:rsidRDefault="0067013E">
      <w:pPr>
        <w:pStyle w:val="Heading3"/>
        <w:ind w:right="65"/>
        <w:rPr>
          <w:szCs w:val="24"/>
        </w:rPr>
      </w:pPr>
      <w:bookmarkStart w:id="496" w:name="_Toc184272860"/>
      <w:r>
        <w:rPr>
          <w:szCs w:val="24"/>
        </w:rPr>
        <w:t>2.2.3 Justification of using the two theories</w:t>
      </w:r>
      <w:bookmarkEnd w:id="496"/>
    </w:p>
    <w:p w14:paraId="2330D7C7" w14:textId="77777777" w:rsidR="00B01D46" w:rsidRDefault="0067013E">
      <w:pPr>
        <w:spacing w:after="200" w:line="480" w:lineRule="auto"/>
        <w:ind w:right="65"/>
        <w:jc w:val="both"/>
        <w:rPr>
          <w:rFonts w:ascii="Times New Roman" w:hAnsi="Times New Roman" w:cs="Times New Roman"/>
          <w:b/>
          <w:sz w:val="24"/>
          <w:szCs w:val="24"/>
        </w:rPr>
      </w:pPr>
      <w:bookmarkStart w:id="497" w:name="_Toc165973035"/>
      <w:bookmarkStart w:id="498" w:name="_Toc165365138"/>
      <w:bookmarkStart w:id="499" w:name="_Toc164663986"/>
      <w:bookmarkStart w:id="500" w:name="_Toc165972516"/>
      <w:bookmarkStart w:id="501" w:name="_Toc165897987"/>
      <w:bookmarkStart w:id="502" w:name="_Toc165364871"/>
      <w:bookmarkStart w:id="503" w:name="_Toc165975756"/>
      <w:r>
        <w:rPr>
          <w:rFonts w:ascii="Times New Roman" w:hAnsi="Times New Roman" w:cs="Times New Roman"/>
          <w:bCs/>
          <w:sz w:val="24"/>
          <w:szCs w:val="24"/>
        </w:rPr>
        <w:t xml:space="preserve">This study adopts two theories namely Sauce Model (Bond, 2009) and The six-frame theory (Bruce et al 2006) as theoretical lens in addressing the research questions. Additionally, there is an element of pragmatism ontology in adapting ideas from a </w:t>
      </w:r>
      <w:r>
        <w:rPr>
          <w:rFonts w:ascii="Times New Roman" w:hAnsi="Times New Roman" w:cs="Times New Roman"/>
          <w:bCs/>
          <w:sz w:val="24"/>
          <w:szCs w:val="24"/>
        </w:rPr>
        <w:lastRenderedPageBreak/>
        <w:t>range of theories as Creswell (2009) alludes that mixed methods research may both test and generate theories thus the study as adapted mixed method epistemology resulting in the use of two theories</w:t>
      </w:r>
      <w:r>
        <w:rPr>
          <w:rFonts w:ascii="Times New Roman" w:hAnsi="Times New Roman" w:cs="Times New Roman"/>
          <w:b/>
          <w:sz w:val="24"/>
          <w:szCs w:val="24"/>
        </w:rPr>
        <w:t xml:space="preserve">. </w:t>
      </w:r>
    </w:p>
    <w:p w14:paraId="23D2A87D" w14:textId="77777777" w:rsidR="00B01D46" w:rsidRDefault="0067013E">
      <w:pPr>
        <w:pStyle w:val="NormalWeb"/>
        <w:shd w:val="clear" w:color="auto" w:fill="FFFFFF"/>
        <w:tabs>
          <w:tab w:val="left" w:pos="360"/>
        </w:tabs>
        <w:spacing w:line="480" w:lineRule="auto"/>
        <w:ind w:right="65"/>
        <w:jc w:val="both"/>
      </w:pPr>
      <w:r>
        <w:t xml:space="preserve">The study is underpinned by the Sauce model and the Six Frames of Information theory. The Sauce model helped in the attainment of the aim of the study, which was, </w:t>
      </w:r>
      <w:r>
        <w:rPr>
          <w:bCs/>
        </w:rPr>
        <w:t>to assess the ILS</w:t>
      </w:r>
      <w:r>
        <w:t xml:space="preserve"> of medical undergraduate students at Moi University and the University of Nairobi</w:t>
      </w:r>
      <w:r>
        <w:rPr>
          <w:bCs/>
        </w:rPr>
        <w:t xml:space="preserve"> and propose a framework to enhance ILS adequacy, among medical undergraduate students.</w:t>
      </w:r>
      <w:r>
        <w:t xml:space="preserve"> In addition, the model’s focus on the application of critical reasoning makes it the most appropriate theory in aiding the study to understand the critical thinking skills required in information search and usage. Consequently, according to </w:t>
      </w:r>
      <w:r>
        <w:rPr>
          <w:rStyle w:val="personname"/>
        </w:rPr>
        <w:t>Bruce, et al</w:t>
      </w:r>
      <w:r>
        <w:rPr>
          <w:rStyle w:val="citation"/>
        </w:rPr>
        <w:t xml:space="preserve"> (2006</w:t>
      </w:r>
      <w:r>
        <w:t xml:space="preserve">), Six frames theory is interested in ILS content and how that content is delivered, seen or experienced by learners. Further, the theory enabled the researcher to discern the ILS understanding among undergraduate medical students. Furthermore, Bruce et al (2006) model also suggest directions for educators on curriculum development and may be of use in community settings. Finally, the Sauce model more explicitly than other models uses cognitive conditions (knowledge and understanding) to describe information literacy situations which are attributes closely related to medical training. </w:t>
      </w:r>
    </w:p>
    <w:p w14:paraId="639689EA" w14:textId="77777777" w:rsidR="00B01D46" w:rsidRDefault="0067013E">
      <w:pPr>
        <w:pStyle w:val="Caption"/>
        <w:ind w:right="65"/>
      </w:pPr>
      <w:r>
        <w:br w:type="page"/>
      </w:r>
      <w:bookmarkStart w:id="504" w:name="_Toc184271977"/>
      <w:bookmarkStart w:id="505" w:name="_Toc184276887"/>
      <w:r>
        <w:lastRenderedPageBreak/>
        <w:t>Table 2.1: Mapping of Research Questions to Key Variables of the Sauce Theory</w:t>
      </w:r>
      <w:bookmarkEnd w:id="497"/>
      <w:bookmarkEnd w:id="498"/>
      <w:bookmarkEnd w:id="499"/>
      <w:bookmarkEnd w:id="500"/>
      <w:bookmarkEnd w:id="501"/>
      <w:bookmarkEnd w:id="502"/>
      <w:bookmarkEnd w:id="503"/>
      <w:bookmarkEnd w:id="504"/>
      <w:bookmarkEnd w:id="505"/>
    </w:p>
    <w:tbl>
      <w:tblPr>
        <w:tblStyle w:val="TableGrid"/>
        <w:tblW w:w="8033" w:type="dxa"/>
        <w:tblInd w:w="85" w:type="dxa"/>
        <w:tblLayout w:type="fixed"/>
        <w:tblLook w:val="04A0" w:firstRow="1" w:lastRow="0" w:firstColumn="1" w:lastColumn="0" w:noHBand="0" w:noVBand="1"/>
      </w:tblPr>
      <w:tblGrid>
        <w:gridCol w:w="2970"/>
        <w:gridCol w:w="2184"/>
        <w:gridCol w:w="2879"/>
      </w:tblGrid>
      <w:tr w:rsidR="00B01D46" w14:paraId="6CA2BBA5" w14:textId="77777777">
        <w:trPr>
          <w:trHeight w:val="20"/>
        </w:trPr>
        <w:tc>
          <w:tcPr>
            <w:tcW w:w="2970" w:type="dxa"/>
          </w:tcPr>
          <w:p w14:paraId="2135D34A" w14:textId="77777777" w:rsidR="00B01D46" w:rsidRDefault="0067013E">
            <w:pPr>
              <w:pStyle w:val="Default"/>
              <w:ind w:right="65"/>
              <w:jc w:val="center"/>
              <w:rPr>
                <w:color w:val="auto"/>
              </w:rPr>
            </w:pPr>
            <w:r>
              <w:rPr>
                <w:b/>
                <w:bCs/>
                <w:color w:val="auto"/>
              </w:rPr>
              <w:t>Research Question</w:t>
            </w:r>
          </w:p>
          <w:p w14:paraId="28F78C56" w14:textId="77777777" w:rsidR="00B01D46" w:rsidRDefault="00B01D46">
            <w:pPr>
              <w:pStyle w:val="NormalWeb"/>
              <w:spacing w:before="0" w:beforeAutospacing="0" w:after="120" w:afterAutospacing="0"/>
              <w:ind w:right="65"/>
              <w:jc w:val="both"/>
              <w:rPr>
                <w:b/>
                <w:bCs/>
              </w:rPr>
            </w:pPr>
          </w:p>
        </w:tc>
        <w:tc>
          <w:tcPr>
            <w:tcW w:w="2184" w:type="dxa"/>
          </w:tcPr>
          <w:p w14:paraId="3BCF7989" w14:textId="77777777" w:rsidR="00B01D46" w:rsidRDefault="0067013E">
            <w:pPr>
              <w:pStyle w:val="Default"/>
              <w:ind w:right="65"/>
              <w:jc w:val="center"/>
              <w:rPr>
                <w:color w:val="auto"/>
              </w:rPr>
            </w:pPr>
            <w:r>
              <w:rPr>
                <w:b/>
                <w:bCs/>
                <w:color w:val="auto"/>
              </w:rPr>
              <w:t>Theory</w:t>
            </w:r>
          </w:p>
          <w:p w14:paraId="217662C0" w14:textId="77777777" w:rsidR="00B01D46" w:rsidRDefault="00B01D46">
            <w:pPr>
              <w:pStyle w:val="NormalWeb"/>
              <w:spacing w:before="0" w:beforeAutospacing="0" w:after="120" w:afterAutospacing="0"/>
              <w:ind w:right="65"/>
              <w:jc w:val="center"/>
              <w:rPr>
                <w:b/>
                <w:bCs/>
              </w:rPr>
            </w:pPr>
          </w:p>
        </w:tc>
        <w:tc>
          <w:tcPr>
            <w:tcW w:w="2879" w:type="dxa"/>
          </w:tcPr>
          <w:p w14:paraId="55B71B64" w14:textId="77777777" w:rsidR="00B01D46" w:rsidRDefault="0067013E">
            <w:pPr>
              <w:pStyle w:val="Default"/>
              <w:ind w:right="65"/>
              <w:jc w:val="center"/>
              <w:rPr>
                <w:color w:val="auto"/>
              </w:rPr>
            </w:pPr>
            <w:r>
              <w:rPr>
                <w:b/>
                <w:bCs/>
                <w:color w:val="auto"/>
              </w:rPr>
              <w:t>Key Variables from the Theory</w:t>
            </w:r>
          </w:p>
        </w:tc>
      </w:tr>
      <w:tr w:rsidR="00B01D46" w14:paraId="6DE39124" w14:textId="77777777">
        <w:trPr>
          <w:trHeight w:val="20"/>
        </w:trPr>
        <w:tc>
          <w:tcPr>
            <w:tcW w:w="2970" w:type="dxa"/>
          </w:tcPr>
          <w:p w14:paraId="3A058D7F" w14:textId="77777777" w:rsidR="00B01D46" w:rsidRDefault="0067013E">
            <w:pPr>
              <w:pStyle w:val="NormalWeb"/>
              <w:shd w:val="clear" w:color="auto" w:fill="FFFFFF"/>
              <w:tabs>
                <w:tab w:val="left" w:pos="360"/>
              </w:tabs>
              <w:autoSpaceDE w:val="0"/>
              <w:autoSpaceDN w:val="0"/>
              <w:adjustRightInd w:val="0"/>
              <w:spacing w:before="0" w:beforeAutospacing="0" w:after="0"/>
              <w:ind w:right="65"/>
              <w:jc w:val="both"/>
            </w:pPr>
            <w:r>
              <w:rPr>
                <w:rFonts w:eastAsia="Calibri"/>
              </w:rPr>
              <w:t xml:space="preserve">What is the status of information literacy skills </w:t>
            </w:r>
            <w:r>
              <w:t>among medical undergraduate students in the University of Nairobi and Moi University?</w:t>
            </w:r>
          </w:p>
        </w:tc>
        <w:tc>
          <w:tcPr>
            <w:tcW w:w="2184" w:type="dxa"/>
          </w:tcPr>
          <w:p w14:paraId="021211FD" w14:textId="77777777" w:rsidR="00B01D46" w:rsidRDefault="0067013E">
            <w:pPr>
              <w:pStyle w:val="NormalWeb"/>
              <w:spacing w:before="0" w:beforeAutospacing="0" w:after="120" w:afterAutospacing="0"/>
              <w:ind w:right="65"/>
              <w:jc w:val="both"/>
            </w:pPr>
            <w:r>
              <w:t>Sauce model</w:t>
            </w:r>
          </w:p>
          <w:p w14:paraId="0A48CA04" w14:textId="77777777" w:rsidR="00B01D46" w:rsidRDefault="0067013E">
            <w:pPr>
              <w:pStyle w:val="NormalWeb"/>
              <w:spacing w:before="0" w:beforeAutospacing="0" w:after="120" w:afterAutospacing="0"/>
              <w:ind w:right="65"/>
              <w:jc w:val="both"/>
              <w:rPr>
                <w:bCs/>
              </w:rPr>
            </w:pPr>
            <w:r>
              <w:t>(Essential skills variable/ facet)</w:t>
            </w:r>
          </w:p>
        </w:tc>
        <w:tc>
          <w:tcPr>
            <w:tcW w:w="2879" w:type="dxa"/>
          </w:tcPr>
          <w:p w14:paraId="257AAA4A" w14:textId="77777777" w:rsidR="00B01D46" w:rsidRDefault="0067013E">
            <w:pPr>
              <w:pStyle w:val="NormalWeb"/>
              <w:spacing w:before="0" w:beforeAutospacing="0" w:after="120" w:afterAutospacing="0"/>
              <w:ind w:right="65"/>
              <w:jc w:val="both"/>
              <w:rPr>
                <w:b/>
                <w:bCs/>
              </w:rPr>
            </w:pPr>
            <w:r>
              <w:rPr>
                <w:bCs/>
              </w:rPr>
              <w:t>Information need, technical skills, Critical skills, information validation, Lasting retention</w:t>
            </w:r>
          </w:p>
        </w:tc>
      </w:tr>
      <w:tr w:rsidR="00B01D46" w14:paraId="7B47CF5C" w14:textId="77777777">
        <w:trPr>
          <w:trHeight w:val="20"/>
        </w:trPr>
        <w:tc>
          <w:tcPr>
            <w:tcW w:w="2970" w:type="dxa"/>
          </w:tcPr>
          <w:p w14:paraId="4E4412D8" w14:textId="77777777" w:rsidR="00B01D46" w:rsidRDefault="0067013E">
            <w:pPr>
              <w:pStyle w:val="Default"/>
              <w:ind w:right="65"/>
              <w:jc w:val="both"/>
            </w:pPr>
            <w:r>
              <w:t xml:space="preserve">What ILS policy and curriculum are used to impart ILS to medical undergraduate students at the the University of Nairobi and Moi University? </w:t>
            </w:r>
          </w:p>
        </w:tc>
        <w:tc>
          <w:tcPr>
            <w:tcW w:w="2184" w:type="dxa"/>
          </w:tcPr>
          <w:p w14:paraId="2493B4F9" w14:textId="77777777" w:rsidR="00B01D46" w:rsidRDefault="0067013E">
            <w:pPr>
              <w:pStyle w:val="NormalWeb"/>
              <w:spacing w:before="0" w:beforeAutospacing="0" w:after="120" w:afterAutospacing="0"/>
              <w:ind w:right="65"/>
              <w:jc w:val="both"/>
            </w:pPr>
            <w:r>
              <w:t>Six Frames for Information literacy Education model (Relational Frame)</w:t>
            </w:r>
          </w:p>
        </w:tc>
        <w:tc>
          <w:tcPr>
            <w:tcW w:w="2879" w:type="dxa"/>
          </w:tcPr>
          <w:p w14:paraId="51927964" w14:textId="77777777" w:rsidR="00B01D46" w:rsidRDefault="0067013E">
            <w:pPr>
              <w:pStyle w:val="NormalWeb"/>
              <w:spacing w:before="0" w:beforeAutospacing="0" w:after="120" w:afterAutospacing="0"/>
              <w:ind w:right="65"/>
              <w:jc w:val="both"/>
              <w:rPr>
                <w:bCs/>
              </w:rPr>
            </w:pPr>
            <w:r>
              <w:rPr>
                <w:rFonts w:eastAsiaTheme="minorHAnsi"/>
              </w:rPr>
              <w:t>Curriculum focus; teaching and learning; learners’ views; assessment procedures and methods</w:t>
            </w:r>
          </w:p>
        </w:tc>
      </w:tr>
      <w:tr w:rsidR="00B01D46" w14:paraId="1737E2FB" w14:textId="77777777">
        <w:trPr>
          <w:trHeight w:val="20"/>
        </w:trPr>
        <w:tc>
          <w:tcPr>
            <w:tcW w:w="2970" w:type="dxa"/>
          </w:tcPr>
          <w:p w14:paraId="0CEAFB0E" w14:textId="77777777" w:rsidR="00B01D46" w:rsidRDefault="0067013E">
            <w:pPr>
              <w:shd w:val="clear" w:color="auto" w:fill="FFFFFF"/>
              <w:tabs>
                <w:tab w:val="left" w:pos="360"/>
              </w:tabs>
              <w:autoSpaceDE w:val="0"/>
              <w:autoSpaceDN w:val="0"/>
              <w:adjustRightInd w:val="0"/>
              <w:ind w:right="65"/>
              <w:jc w:val="both"/>
              <w:rPr>
                <w:rFonts w:ascii="Times New Roman" w:hAnsi="Times New Roman" w:cs="Times New Roman"/>
                <w:sz w:val="24"/>
                <w:szCs w:val="24"/>
              </w:rPr>
            </w:pPr>
            <w:r>
              <w:rPr>
                <w:rFonts w:ascii="Times New Roman" w:hAnsi="Times New Roman" w:cs="Times New Roman"/>
                <w:sz w:val="24"/>
                <w:szCs w:val="24"/>
              </w:rPr>
              <w:t>What is the perception of medical undergraduate students towards ILS?</w:t>
            </w:r>
          </w:p>
          <w:p w14:paraId="2DADFAAA" w14:textId="77777777" w:rsidR="00B01D46" w:rsidRDefault="00B01D46">
            <w:pPr>
              <w:pStyle w:val="NoSpacing"/>
              <w:ind w:left="0" w:right="65" w:firstLine="0"/>
              <w:rPr>
                <w:rFonts w:ascii="Times New Roman" w:hAnsi="Times New Roman" w:cs="Times New Roman"/>
                <w:sz w:val="24"/>
                <w:szCs w:val="24"/>
              </w:rPr>
            </w:pPr>
          </w:p>
        </w:tc>
        <w:tc>
          <w:tcPr>
            <w:tcW w:w="2184" w:type="dxa"/>
          </w:tcPr>
          <w:p w14:paraId="0676168A" w14:textId="77777777" w:rsidR="00B01D46" w:rsidRDefault="0067013E">
            <w:pPr>
              <w:pStyle w:val="NormalWeb"/>
              <w:spacing w:before="0" w:beforeAutospacing="0" w:after="120" w:afterAutospacing="0"/>
              <w:ind w:right="65"/>
              <w:jc w:val="both"/>
            </w:pPr>
            <w:r>
              <w:t xml:space="preserve"> Six Frames for Information literacy Education model (Relational Frame)</w:t>
            </w:r>
          </w:p>
        </w:tc>
        <w:tc>
          <w:tcPr>
            <w:tcW w:w="2879" w:type="dxa"/>
          </w:tcPr>
          <w:p w14:paraId="7B4B6A3F" w14:textId="77777777" w:rsidR="00B01D46" w:rsidRDefault="0067013E">
            <w:pPr>
              <w:pStyle w:val="NormalWeb"/>
              <w:spacing w:before="0" w:beforeAutospacing="0" w:after="120" w:afterAutospacing="0"/>
              <w:ind w:right="65"/>
              <w:jc w:val="both"/>
              <w:rPr>
                <w:rFonts w:eastAsiaTheme="minorHAnsi"/>
              </w:rPr>
            </w:pPr>
            <w:r>
              <w:rPr>
                <w:rFonts w:eastAsiaTheme="minorHAnsi"/>
              </w:rPr>
              <w:t>teaching and learning; learners’ views; assessment procedures and methods</w:t>
            </w:r>
          </w:p>
        </w:tc>
      </w:tr>
      <w:tr w:rsidR="00B01D46" w14:paraId="35E0FCD4" w14:textId="77777777">
        <w:trPr>
          <w:trHeight w:val="20"/>
        </w:trPr>
        <w:tc>
          <w:tcPr>
            <w:tcW w:w="2970" w:type="dxa"/>
          </w:tcPr>
          <w:p w14:paraId="560B86D5" w14:textId="77777777" w:rsidR="00B01D46" w:rsidRDefault="0067013E">
            <w:pPr>
              <w:pStyle w:val="NoSpacing"/>
              <w:ind w:left="0" w:right="65" w:firstLine="0"/>
              <w:rPr>
                <w:rFonts w:ascii="Times New Roman" w:hAnsi="Times New Roman" w:cs="Times New Roman"/>
                <w:sz w:val="24"/>
                <w:szCs w:val="24"/>
              </w:rPr>
            </w:pPr>
            <w:r>
              <w:rPr>
                <w:rFonts w:ascii="Times New Roman" w:hAnsi="Times New Roman" w:cs="Times New Roman"/>
                <w:sz w:val="24"/>
                <w:szCs w:val="24"/>
              </w:rPr>
              <w:t>What knowledge and skills are possessed by staff of the University of Nairobi and Moi University in facilitating ILS among medical undergraduate students?</w:t>
            </w:r>
          </w:p>
          <w:p w14:paraId="13407671" w14:textId="77777777" w:rsidR="00B01D46" w:rsidRDefault="00B01D46">
            <w:pPr>
              <w:pStyle w:val="Default"/>
              <w:ind w:right="65"/>
              <w:jc w:val="both"/>
            </w:pPr>
          </w:p>
        </w:tc>
        <w:tc>
          <w:tcPr>
            <w:tcW w:w="2184" w:type="dxa"/>
          </w:tcPr>
          <w:p w14:paraId="2B0C9775" w14:textId="77777777" w:rsidR="00B01D46" w:rsidRDefault="0067013E">
            <w:pPr>
              <w:pStyle w:val="NormalWeb"/>
              <w:spacing w:before="0" w:beforeAutospacing="0" w:after="120" w:afterAutospacing="0"/>
              <w:ind w:right="65"/>
              <w:jc w:val="both"/>
            </w:pPr>
            <w:r>
              <w:t xml:space="preserve"> Sauce model</w:t>
            </w:r>
          </w:p>
          <w:p w14:paraId="1D1B2525" w14:textId="77777777" w:rsidR="00B01D46" w:rsidRDefault="0067013E">
            <w:pPr>
              <w:pStyle w:val="NormalWeb"/>
              <w:spacing w:before="0" w:beforeAutospacing="0" w:after="120" w:afterAutospacing="0"/>
              <w:ind w:right="65"/>
              <w:jc w:val="both"/>
            </w:pPr>
            <w:r>
              <w:t>(higher thinking skills facet)</w:t>
            </w:r>
          </w:p>
        </w:tc>
        <w:tc>
          <w:tcPr>
            <w:tcW w:w="2879" w:type="dxa"/>
          </w:tcPr>
          <w:p w14:paraId="356CB46A" w14:textId="77777777" w:rsidR="00B01D46" w:rsidRDefault="0067013E">
            <w:pPr>
              <w:pStyle w:val="NormalWeb"/>
              <w:spacing w:before="0" w:beforeAutospacing="0" w:after="120" w:afterAutospacing="0"/>
              <w:ind w:right="65"/>
              <w:jc w:val="both"/>
              <w:rPr>
                <w:bCs/>
              </w:rPr>
            </w:pPr>
            <w:r>
              <w:rPr>
                <w:rFonts w:eastAsiaTheme="minorHAnsi"/>
              </w:rPr>
              <w:t xml:space="preserve">Comprehend, Analyze, and synthesize. Opinions, Problem-solving, Decision making, </w:t>
            </w:r>
            <w:r>
              <w:t>teaching ILS</w:t>
            </w:r>
          </w:p>
          <w:p w14:paraId="26521449" w14:textId="77777777" w:rsidR="00B01D46" w:rsidRDefault="00B01D46">
            <w:pPr>
              <w:pStyle w:val="NormalWeb"/>
              <w:spacing w:before="0" w:beforeAutospacing="0" w:after="120" w:afterAutospacing="0"/>
              <w:ind w:right="65"/>
              <w:jc w:val="both"/>
            </w:pPr>
          </w:p>
        </w:tc>
      </w:tr>
      <w:tr w:rsidR="00B01D46" w14:paraId="1104574E" w14:textId="77777777">
        <w:trPr>
          <w:trHeight w:val="20"/>
        </w:trPr>
        <w:tc>
          <w:tcPr>
            <w:tcW w:w="2970" w:type="dxa"/>
          </w:tcPr>
          <w:p w14:paraId="13500F5C" w14:textId="77777777" w:rsidR="00B01D46" w:rsidRDefault="0067013E">
            <w:pPr>
              <w:pStyle w:val="NoSpacing"/>
              <w:ind w:left="0" w:right="65" w:firstLine="0"/>
              <w:rPr>
                <w:rFonts w:ascii="Times New Roman" w:hAnsi="Times New Roman" w:cs="Times New Roman"/>
                <w:sz w:val="24"/>
                <w:szCs w:val="24"/>
              </w:rPr>
            </w:pPr>
            <w:r>
              <w:rPr>
                <w:rFonts w:ascii="Times New Roman" w:hAnsi="Times New Roman" w:cs="Times New Roman"/>
                <w:sz w:val="24"/>
                <w:szCs w:val="24"/>
              </w:rPr>
              <w:t>What is the role of ICT in facilitating and promoting the learning of information literacy skills among medical undergraduate students?</w:t>
            </w:r>
          </w:p>
          <w:p w14:paraId="0169F4B2" w14:textId="77777777" w:rsidR="00B01D46" w:rsidRDefault="00B01D46">
            <w:pPr>
              <w:pStyle w:val="ListParagraph"/>
              <w:shd w:val="clear" w:color="auto" w:fill="FFFFFF"/>
              <w:tabs>
                <w:tab w:val="left" w:pos="360"/>
              </w:tabs>
              <w:autoSpaceDE w:val="0"/>
              <w:autoSpaceDN w:val="0"/>
              <w:adjustRightInd w:val="0"/>
              <w:spacing w:after="0" w:line="240" w:lineRule="auto"/>
              <w:ind w:left="0" w:right="65" w:firstLine="0"/>
              <w:rPr>
                <w:rFonts w:eastAsia="Calibri"/>
                <w:color w:val="auto"/>
                <w:szCs w:val="24"/>
              </w:rPr>
            </w:pPr>
          </w:p>
        </w:tc>
        <w:tc>
          <w:tcPr>
            <w:tcW w:w="2184" w:type="dxa"/>
          </w:tcPr>
          <w:p w14:paraId="58DD13F3" w14:textId="77777777" w:rsidR="00B01D46" w:rsidRDefault="0067013E">
            <w:pPr>
              <w:pStyle w:val="NormalWeb"/>
              <w:spacing w:before="0" w:beforeAutospacing="0" w:after="120" w:afterAutospacing="0"/>
              <w:ind w:right="65"/>
              <w:jc w:val="both"/>
            </w:pPr>
            <w:r>
              <w:t>Sauce model</w:t>
            </w:r>
          </w:p>
          <w:p w14:paraId="34532F77" w14:textId="77777777" w:rsidR="00B01D46" w:rsidRDefault="0067013E">
            <w:pPr>
              <w:pStyle w:val="NormalWeb"/>
              <w:spacing w:before="0" w:beforeAutospacing="0" w:after="120" w:afterAutospacing="0"/>
              <w:ind w:right="65"/>
              <w:jc w:val="both"/>
              <w:rPr>
                <w:bCs/>
                <w:color w:val="000000"/>
              </w:rPr>
            </w:pPr>
            <w:r>
              <w:t>(ICT integration)</w:t>
            </w:r>
          </w:p>
        </w:tc>
        <w:tc>
          <w:tcPr>
            <w:tcW w:w="2879" w:type="dxa"/>
          </w:tcPr>
          <w:p w14:paraId="7650B388" w14:textId="77777777" w:rsidR="00B01D46" w:rsidRDefault="0067013E">
            <w:pPr>
              <w:pStyle w:val="NormalWeb"/>
              <w:spacing w:before="0" w:beforeAutospacing="0" w:after="120" w:afterAutospacing="0"/>
              <w:ind w:right="65"/>
              <w:jc w:val="both"/>
            </w:pPr>
            <w:r>
              <w:t>Teaching and learning, Technologies, Information retrieval, Quality learning</w:t>
            </w:r>
          </w:p>
        </w:tc>
      </w:tr>
    </w:tbl>
    <w:p w14:paraId="6E95F837" w14:textId="77777777" w:rsidR="00B01D46" w:rsidRDefault="00B01D46">
      <w:pPr>
        <w:autoSpaceDE w:val="0"/>
        <w:autoSpaceDN w:val="0"/>
        <w:adjustRightInd w:val="0"/>
        <w:spacing w:before="120" w:after="0" w:line="480" w:lineRule="auto"/>
        <w:ind w:right="65"/>
        <w:jc w:val="both"/>
        <w:rPr>
          <w:rFonts w:ascii="Times New Roman" w:hAnsi="Times New Roman" w:cs="Times New Roman"/>
          <w:sz w:val="24"/>
          <w:szCs w:val="24"/>
        </w:rPr>
      </w:pPr>
    </w:p>
    <w:p w14:paraId="0A604E9E" w14:textId="77777777" w:rsidR="00B01D46" w:rsidRDefault="0067013E">
      <w:pPr>
        <w:pStyle w:val="Heading2"/>
        <w:ind w:right="65"/>
      </w:pPr>
      <w:bookmarkStart w:id="506" w:name="_Toc165367610"/>
      <w:bookmarkStart w:id="507" w:name="_Toc165364872"/>
      <w:bookmarkStart w:id="508" w:name="_Toc184272861"/>
      <w:bookmarkStart w:id="509" w:name="_Toc165368336"/>
      <w:bookmarkStart w:id="510" w:name="_Toc165973036"/>
      <w:bookmarkStart w:id="511" w:name="_Toc165975757"/>
      <w:bookmarkStart w:id="512" w:name="_Toc165365139"/>
      <w:bookmarkStart w:id="513" w:name="_Toc164663987"/>
      <w:bookmarkStart w:id="514" w:name="_Toc165369152"/>
      <w:bookmarkStart w:id="515" w:name="_Toc165897988"/>
      <w:r>
        <w:t>2.3 Other Theories Relevant to the Study but not Applicable</w:t>
      </w:r>
      <w:bookmarkEnd w:id="506"/>
      <w:bookmarkEnd w:id="507"/>
      <w:bookmarkEnd w:id="508"/>
      <w:bookmarkEnd w:id="509"/>
      <w:bookmarkEnd w:id="510"/>
      <w:bookmarkEnd w:id="511"/>
      <w:bookmarkEnd w:id="512"/>
      <w:bookmarkEnd w:id="513"/>
      <w:bookmarkEnd w:id="514"/>
      <w:bookmarkEnd w:id="515"/>
    </w:p>
    <w:p w14:paraId="2BB4C7F6" w14:textId="77777777" w:rsidR="00B01D46" w:rsidRDefault="0067013E">
      <w:pPr>
        <w:spacing w:before="120" w:line="480" w:lineRule="auto"/>
        <w:ind w:right="65"/>
        <w:jc w:val="both"/>
        <w:rPr>
          <w:rFonts w:ascii="Times New Roman" w:hAnsi="Times New Roman" w:cs="Times New Roman"/>
          <w:sz w:val="24"/>
          <w:szCs w:val="24"/>
        </w:rPr>
      </w:pPr>
      <w:r>
        <w:rPr>
          <w:rFonts w:ascii="Times New Roman" w:hAnsi="Times New Roman" w:cs="Times New Roman"/>
          <w:bCs/>
          <w:sz w:val="24"/>
          <w:szCs w:val="24"/>
        </w:rPr>
        <w:t xml:space="preserve">The other theories that were considered but not adopted because of their inherent weaknesses, were the </w:t>
      </w:r>
      <w:r>
        <w:rPr>
          <w:rFonts w:ascii="Times New Roman" w:hAnsi="Times New Roman" w:cs="Times New Roman"/>
          <w:sz w:val="24"/>
          <w:szCs w:val="24"/>
        </w:rPr>
        <w:t xml:space="preserve">Big6 Skills Model advanced by Eisenberg and Berkowitz, and the Theory of Discovery Learning by Jerome Seymour Bruner among others. </w:t>
      </w:r>
    </w:p>
    <w:p w14:paraId="5167E38F" w14:textId="77777777" w:rsidR="00B01D46" w:rsidRDefault="0067013E">
      <w:pPr>
        <w:pStyle w:val="Heading3"/>
        <w:ind w:right="65"/>
      </w:pPr>
      <w:bookmarkStart w:id="516" w:name="_Toc184272862"/>
      <w:bookmarkStart w:id="517" w:name="_Toc164663988"/>
      <w:bookmarkStart w:id="518" w:name="_Toc165368337"/>
      <w:bookmarkStart w:id="519" w:name="_Toc165973037"/>
      <w:bookmarkStart w:id="520" w:name="_Toc165897989"/>
      <w:bookmarkStart w:id="521" w:name="_Toc165367611"/>
      <w:bookmarkStart w:id="522" w:name="_Toc165365140"/>
      <w:bookmarkStart w:id="523" w:name="_Toc165364873"/>
      <w:bookmarkStart w:id="524" w:name="_Toc165369153"/>
      <w:bookmarkStart w:id="525" w:name="_Toc165975758"/>
      <w:r>
        <w:lastRenderedPageBreak/>
        <w:t>2.3.1 Big 6 Skills Model information Literacy Model by Eisenberg and Berkowitz</w:t>
      </w:r>
      <w:bookmarkEnd w:id="516"/>
      <w:r>
        <w:t xml:space="preserve"> </w:t>
      </w:r>
      <w:bookmarkEnd w:id="517"/>
      <w:bookmarkEnd w:id="518"/>
      <w:bookmarkEnd w:id="519"/>
      <w:bookmarkEnd w:id="520"/>
      <w:bookmarkEnd w:id="521"/>
      <w:bookmarkEnd w:id="522"/>
      <w:bookmarkEnd w:id="523"/>
      <w:bookmarkEnd w:id="524"/>
      <w:bookmarkEnd w:id="525"/>
    </w:p>
    <w:p w14:paraId="1991D1D3"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Eisenberg and Berkowitz (2010) developed the Big6 skills model, which is a six-step research paradigm for information problem-solving or process. The paradigm combines information search and use abilities with technological tools in a systematic process for finding, using, applying, and evaluating information for specific requirements and activities </w:t>
      </w:r>
      <w:bookmarkStart w:id="526" w:name="_Hlk163652408"/>
      <w:r>
        <w:rPr>
          <w:rFonts w:ascii="Times New Roman" w:hAnsi="Times New Roman" w:cs="Times New Roman"/>
          <w:sz w:val="24"/>
          <w:szCs w:val="24"/>
        </w:rPr>
        <w:t xml:space="preserve">(Eisenberg &amp; Berkowitz, 2010). </w:t>
      </w:r>
      <w:bookmarkEnd w:id="526"/>
      <w:r>
        <w:rPr>
          <w:rFonts w:ascii="Times New Roman" w:hAnsi="Times New Roman" w:cs="Times New Roman"/>
          <w:sz w:val="24"/>
          <w:szCs w:val="24"/>
        </w:rPr>
        <w:t>The Big6 skills model has the following steps: task definition, information-seeking strategies, location out access, use of information, synthesis and evaluation (Eisenberg &amp; Berkowitz, 2010).  This theory was not selected for this study because it put more emphasis on the level of ILS in the utilization of e-resources, which was not the focus of this study. In addition, the theory cannot be applicable among learners to determine the full range of its value for giving the student greater confidence and understanding of the complexities involved in information problem-solving. Furthermore, the Big6 information literacy skills Model cannot be used to inculcate knowledge as well as encourage self-assessment among university students because it was developed for kindergarten through twelfth grade level (elementary school level). Again, this theory focuses only on problem solving aspects of ILS and leaves out other important tenets of ILS like collaboration, critical thinking, community service among others.</w:t>
      </w:r>
    </w:p>
    <w:p w14:paraId="0A2B3C36" w14:textId="77777777" w:rsidR="00B01D46" w:rsidRDefault="0067013E">
      <w:pPr>
        <w:pStyle w:val="Heading3"/>
        <w:ind w:right="65"/>
      </w:pPr>
      <w:bookmarkStart w:id="527" w:name="_Toc165365141"/>
      <w:bookmarkStart w:id="528" w:name="_Toc165369154"/>
      <w:bookmarkStart w:id="529" w:name="_Toc165367612"/>
      <w:bookmarkStart w:id="530" w:name="_Toc164663989"/>
      <w:bookmarkStart w:id="531" w:name="_Toc165364874"/>
      <w:bookmarkStart w:id="532" w:name="_Toc165368338"/>
      <w:bookmarkStart w:id="533" w:name="_Toc165973038"/>
      <w:bookmarkStart w:id="534" w:name="_Toc165897990"/>
      <w:bookmarkStart w:id="535" w:name="_Toc165975759"/>
      <w:bookmarkStart w:id="536" w:name="_Toc184272863"/>
      <w:r>
        <w:t>2.3.2 Jerome Seymour Bruner’s Theory of Discovery Learning</w:t>
      </w:r>
      <w:bookmarkEnd w:id="527"/>
      <w:bookmarkEnd w:id="528"/>
      <w:bookmarkEnd w:id="529"/>
      <w:bookmarkEnd w:id="530"/>
      <w:bookmarkEnd w:id="531"/>
      <w:bookmarkEnd w:id="532"/>
      <w:bookmarkEnd w:id="533"/>
      <w:bookmarkEnd w:id="534"/>
      <w:bookmarkEnd w:id="535"/>
      <w:bookmarkEnd w:id="536"/>
    </w:p>
    <w:p w14:paraId="37B18BB4" w14:textId="77777777" w:rsidR="00B01D46" w:rsidRDefault="0067013E">
      <w:pPr>
        <w:pStyle w:val="NormalWeb"/>
        <w:spacing w:before="0" w:beforeAutospacing="0" w:after="240" w:afterAutospacing="0" w:line="480" w:lineRule="auto"/>
        <w:ind w:right="65"/>
        <w:jc w:val="both"/>
      </w:pPr>
      <w:r>
        <w:t xml:space="preserve">The theory of discovery learning was advanced by Jerome Seymour Bruner in 1961. The theory is also known as the constructivist approach to learning. It alludes that learners should develop their knowledge, by organizing and categorizing material using a coding system (Bruner, 1961). The theory further urges that the most efficient approach for learners to build a coding system is for them to find it on their own </w:t>
      </w:r>
      <w:r>
        <w:lastRenderedPageBreak/>
        <w:t>rather than being taught explicitly by a teacher/instructor/trainer. However, this theory was not chosen for this study because of a number of reasons. Firstly, the</w:t>
      </w:r>
      <w:r>
        <w:rPr>
          <w:spacing w:val="2"/>
          <w:shd w:val="clear" w:color="auto" w:fill="FFFFFF"/>
        </w:rPr>
        <w:t xml:space="preserve"> discovery learning can be detrimental to learning, especially for beginners, because it can cause a heavy working memory load</w:t>
      </w:r>
      <w:r>
        <w:t xml:space="preserve"> hence </w:t>
      </w:r>
      <w:r>
        <w:rPr>
          <w:spacing w:val="2"/>
          <w:shd w:val="clear" w:color="auto" w:fill="FFFFFF"/>
        </w:rPr>
        <w:t>inefficient, especially for beginners.</w:t>
      </w:r>
      <w:r>
        <w:t xml:space="preserve"> Secondly, the theory</w:t>
      </w:r>
      <w:r>
        <w:rPr>
          <w:spacing w:val="2"/>
          <w:shd w:val="clear" w:color="auto" w:fill="FFFFFF"/>
        </w:rPr>
        <w:t xml:space="preserve"> overlooks the fact that students have prior knowledge that they build upon with new knowledge. Thirdly, Bruner’s theory can be too time-consuming for academic activities because it requires teachers to be ready to make too many corrections. Finally, the theory</w:t>
      </w:r>
      <w:r>
        <w:t xml:space="preserve"> leads to learners' continual roaming and quest for solutions, which can be confusing, and it rejects the premise that there are significant abilities and information that all learners should learn.</w:t>
      </w:r>
    </w:p>
    <w:p w14:paraId="3149590D" w14:textId="77777777" w:rsidR="00B01D46" w:rsidRDefault="0067013E">
      <w:pPr>
        <w:pStyle w:val="Heading2"/>
        <w:ind w:right="65"/>
      </w:pPr>
      <w:bookmarkStart w:id="537" w:name="_Toc165364875"/>
      <w:bookmarkStart w:id="538" w:name="_Toc165367613"/>
      <w:bookmarkStart w:id="539" w:name="_Toc165973039"/>
      <w:bookmarkStart w:id="540" w:name="_Toc165975760"/>
      <w:bookmarkStart w:id="541" w:name="_Toc165365142"/>
      <w:bookmarkStart w:id="542" w:name="_Toc165369155"/>
      <w:bookmarkStart w:id="543" w:name="_Toc165897991"/>
      <w:bookmarkStart w:id="544" w:name="_Toc165368339"/>
      <w:bookmarkStart w:id="545" w:name="_Toc184272864"/>
      <w:r>
        <w:t>2.4 Chapter Summary</w:t>
      </w:r>
      <w:bookmarkEnd w:id="537"/>
      <w:bookmarkEnd w:id="538"/>
      <w:bookmarkEnd w:id="539"/>
      <w:bookmarkEnd w:id="540"/>
      <w:bookmarkEnd w:id="541"/>
      <w:bookmarkEnd w:id="542"/>
      <w:bookmarkEnd w:id="543"/>
      <w:bookmarkEnd w:id="544"/>
      <w:bookmarkEnd w:id="545"/>
    </w:p>
    <w:p w14:paraId="65EA0756" w14:textId="7777777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Chapter Two outlines the main models that was applied in this study namely; Sauce model and </w:t>
      </w:r>
      <w:r>
        <w:rPr>
          <w:rFonts w:ascii="Times New Roman" w:eastAsia="Times New Roman" w:hAnsi="Times New Roman" w:cs="Times New Roman"/>
          <w:sz w:val="24"/>
          <w:szCs w:val="24"/>
        </w:rPr>
        <w:t>the six frames for the information literacy education model.</w:t>
      </w:r>
      <w:r>
        <w:rPr>
          <w:rFonts w:ascii="Times New Roman" w:hAnsi="Times New Roman" w:cs="Times New Roman"/>
          <w:sz w:val="24"/>
          <w:szCs w:val="24"/>
        </w:rPr>
        <w:t xml:space="preserve"> In a nutshell, the majority of the models highlighted focus on similar facets of information literacy skills, such as the capability to define an information problem, critical thinking, problem-solving, exploring various information sources, and how to access and critically evaluate accessed information for knowledge development.</w:t>
      </w:r>
    </w:p>
    <w:p w14:paraId="5E28503F" w14:textId="77777777" w:rsidR="00B01D46" w:rsidRDefault="0067013E">
      <w:pPr>
        <w:pStyle w:val="NoSpacing"/>
        <w:spacing w:before="120" w:line="480" w:lineRule="auto"/>
        <w:ind w:left="0" w:right="65" w:firstLine="0"/>
        <w:rPr>
          <w:rFonts w:ascii="Times New Roman" w:hAnsi="Times New Roman" w:cs="Times New Roman"/>
          <w:sz w:val="24"/>
          <w:szCs w:val="24"/>
        </w:rPr>
      </w:pPr>
      <w:r>
        <w:rPr>
          <w:rFonts w:ascii="Times New Roman" w:eastAsiaTheme="minorHAnsi" w:hAnsi="Times New Roman" w:cs="Times New Roman"/>
          <w:color w:val="auto"/>
          <w:sz w:val="24"/>
          <w:szCs w:val="24"/>
        </w:rPr>
        <w:t xml:space="preserve">The key themes emerging from this chapter are that collaborative learning, individual learning, and higher thinking skills are the basis for enhancing the adequacy of ILS in lifelong learning and workplace success among lecturers and students because it enables them to understand concepts in their domains of practice. The theory articulated in this chapter lays the ground for the next chapter, an in-depth discussion of the literature review. Variables from the theoretical framework will form the basis of the literature review namely information literacy skills’ programs, collaborative </w:t>
      </w:r>
      <w:r>
        <w:rPr>
          <w:rFonts w:ascii="Times New Roman" w:eastAsiaTheme="minorHAnsi" w:hAnsi="Times New Roman" w:cs="Times New Roman"/>
          <w:color w:val="auto"/>
          <w:sz w:val="24"/>
          <w:szCs w:val="24"/>
        </w:rPr>
        <w:lastRenderedPageBreak/>
        <w:t xml:space="preserve">learning, higher thinking skills, ICT integration in learning ILS, ILS infrastructure, ILS policy, and regulations governing the teaching and learning of information literacy skills in a university setting. </w:t>
      </w:r>
    </w:p>
    <w:p w14:paraId="4B9B7134" w14:textId="77777777" w:rsidR="00B01D46" w:rsidRDefault="00B01D46">
      <w:pPr>
        <w:pStyle w:val="NormalWeb"/>
        <w:shd w:val="clear" w:color="auto" w:fill="FFFFFF"/>
        <w:spacing w:before="120" w:beforeAutospacing="0" w:after="0" w:afterAutospacing="0" w:line="480" w:lineRule="auto"/>
        <w:ind w:right="65"/>
        <w:jc w:val="both"/>
        <w:rPr>
          <w:bCs/>
        </w:rPr>
      </w:pPr>
    </w:p>
    <w:p w14:paraId="2552BC72" w14:textId="77777777" w:rsidR="00B01D46" w:rsidRDefault="00B01D46">
      <w:pPr>
        <w:pStyle w:val="NormalWeb"/>
        <w:shd w:val="clear" w:color="auto" w:fill="FFFFFF"/>
        <w:spacing w:before="120" w:beforeAutospacing="0" w:after="0" w:afterAutospacing="0" w:line="480" w:lineRule="auto"/>
        <w:ind w:right="65"/>
        <w:jc w:val="both"/>
        <w:rPr>
          <w:bCs/>
        </w:rPr>
      </w:pPr>
    </w:p>
    <w:p w14:paraId="7214321C" w14:textId="77777777" w:rsidR="00B01D46" w:rsidRDefault="0067013E">
      <w:pPr>
        <w:spacing w:after="0" w:line="240" w:lineRule="auto"/>
        <w:ind w:right="65"/>
        <w:rPr>
          <w:rFonts w:ascii="Times New Roman" w:eastAsiaTheme="majorEastAsia" w:hAnsi="Times New Roman" w:cs="Times New Roman"/>
          <w:b/>
          <w:sz w:val="24"/>
          <w:szCs w:val="24"/>
        </w:rPr>
      </w:pPr>
      <w:bookmarkStart w:id="546" w:name="_Toc165368340"/>
      <w:bookmarkStart w:id="547" w:name="_Toc165369156"/>
      <w:bookmarkStart w:id="548" w:name="_Toc165365143"/>
      <w:bookmarkStart w:id="549" w:name="_Toc164663990"/>
      <w:bookmarkStart w:id="550" w:name="_Toc165364876"/>
      <w:bookmarkStart w:id="551" w:name="_Toc165367614"/>
      <w:bookmarkEnd w:id="307"/>
      <w:r>
        <w:rPr>
          <w:rFonts w:ascii="Times New Roman" w:hAnsi="Times New Roman" w:cs="Times New Roman"/>
          <w:sz w:val="24"/>
          <w:szCs w:val="24"/>
        </w:rPr>
        <w:br w:type="page"/>
      </w:r>
    </w:p>
    <w:p w14:paraId="0BD34E11" w14:textId="77777777" w:rsidR="00B01D46" w:rsidRDefault="0067013E">
      <w:pPr>
        <w:pStyle w:val="Heading1"/>
      </w:pPr>
      <w:bookmarkStart w:id="552" w:name="_Toc184272865"/>
      <w:bookmarkStart w:id="553" w:name="_Toc165975761"/>
      <w:bookmarkStart w:id="554" w:name="_Toc165897992"/>
      <w:bookmarkStart w:id="555" w:name="_Toc165973040"/>
      <w:r>
        <w:lastRenderedPageBreak/>
        <w:t>CHAPTER THREE</w:t>
      </w:r>
      <w:bookmarkEnd w:id="546"/>
      <w:bookmarkEnd w:id="547"/>
      <w:bookmarkEnd w:id="548"/>
      <w:bookmarkEnd w:id="549"/>
      <w:bookmarkEnd w:id="550"/>
      <w:bookmarkEnd w:id="551"/>
      <w:bookmarkEnd w:id="552"/>
      <w:bookmarkEnd w:id="553"/>
      <w:bookmarkEnd w:id="554"/>
      <w:bookmarkEnd w:id="555"/>
    </w:p>
    <w:p w14:paraId="44669940" w14:textId="77777777" w:rsidR="00B01D46" w:rsidRDefault="0067013E">
      <w:pPr>
        <w:pStyle w:val="Heading1"/>
      </w:pPr>
      <w:bookmarkStart w:id="556" w:name="_Toc165367615"/>
      <w:bookmarkStart w:id="557" w:name="_Toc165369157"/>
      <w:bookmarkStart w:id="558" w:name="_Toc165365144"/>
      <w:bookmarkStart w:id="559" w:name="_Toc164663991"/>
      <w:bookmarkStart w:id="560" w:name="_Toc165364877"/>
      <w:bookmarkStart w:id="561" w:name="_Toc184272866"/>
      <w:bookmarkStart w:id="562" w:name="_Toc165897993"/>
      <w:bookmarkStart w:id="563" w:name="_Toc165975762"/>
      <w:bookmarkStart w:id="564" w:name="_Toc165368341"/>
      <w:bookmarkStart w:id="565" w:name="_Toc165973041"/>
      <w:r>
        <w:t>LITERATURE REVIEW</w:t>
      </w:r>
      <w:bookmarkEnd w:id="556"/>
      <w:bookmarkEnd w:id="557"/>
      <w:bookmarkEnd w:id="558"/>
      <w:bookmarkEnd w:id="559"/>
      <w:bookmarkEnd w:id="560"/>
      <w:bookmarkEnd w:id="561"/>
      <w:bookmarkEnd w:id="562"/>
      <w:bookmarkEnd w:id="563"/>
      <w:bookmarkEnd w:id="564"/>
      <w:bookmarkEnd w:id="565"/>
    </w:p>
    <w:p w14:paraId="2F11F322" w14:textId="77777777" w:rsidR="00B01D46" w:rsidRDefault="0067013E">
      <w:pPr>
        <w:pStyle w:val="Heading2"/>
      </w:pPr>
      <w:bookmarkStart w:id="566" w:name="_Toc165364878"/>
      <w:bookmarkStart w:id="567" w:name="_Toc165369158"/>
      <w:bookmarkStart w:id="568" w:name="_Toc165897994"/>
      <w:bookmarkStart w:id="569" w:name="_Toc164663992"/>
      <w:bookmarkStart w:id="570" w:name="_Toc165368342"/>
      <w:bookmarkStart w:id="571" w:name="_Toc165973042"/>
      <w:bookmarkStart w:id="572" w:name="_Toc165975763"/>
      <w:bookmarkStart w:id="573" w:name="_Toc165365145"/>
      <w:bookmarkStart w:id="574" w:name="_Toc165367616"/>
      <w:bookmarkStart w:id="575" w:name="_Toc184272867"/>
      <w:r>
        <w:t>3.1 Introduction</w:t>
      </w:r>
      <w:bookmarkEnd w:id="566"/>
      <w:bookmarkEnd w:id="567"/>
      <w:bookmarkEnd w:id="568"/>
      <w:bookmarkEnd w:id="569"/>
      <w:bookmarkEnd w:id="570"/>
      <w:bookmarkEnd w:id="571"/>
      <w:bookmarkEnd w:id="572"/>
      <w:bookmarkEnd w:id="573"/>
      <w:bookmarkEnd w:id="574"/>
      <w:bookmarkEnd w:id="575"/>
    </w:p>
    <w:p w14:paraId="5EA932BF" w14:textId="77777777" w:rsidR="00B01D46" w:rsidRDefault="0067013E">
      <w:pPr>
        <w:pStyle w:val="BodyText"/>
        <w:spacing w:line="480" w:lineRule="auto"/>
        <w:ind w:right="65"/>
      </w:pPr>
      <w:r>
        <w:t>A review of the literature is an extensive synthesis of the acknowledged information and facts found in scholarly works on a certain topic</w:t>
      </w:r>
      <w:r>
        <w:rPr>
          <w:lang w:val="en-US"/>
        </w:rPr>
        <w:t xml:space="preserve">. </w:t>
      </w:r>
      <w:r>
        <w:t>It is also an overview of the advancements made in a certain field of study during a specified time frame.  It might be as simple as a list of references or a bibliography, or it can be as comprehensive as a critical analysis of an original work that addresses the topic as it has been explained</w:t>
      </w:r>
      <w:r>
        <w:rPr>
          <w:lang w:val="en-US"/>
        </w:rPr>
        <w:t>.</w:t>
      </w:r>
      <w:r>
        <w:t xml:space="preserve"> </w:t>
      </w:r>
      <w:r>
        <w:rPr>
          <w:lang w:val="en-US"/>
        </w:rPr>
        <w:t>D</w:t>
      </w:r>
      <w:r>
        <w:t xml:space="preserve">ifferent scholars such as </w:t>
      </w:r>
      <w:r>
        <w:rPr>
          <w:color w:val="222222"/>
          <w:shd w:val="clear" w:color="auto" w:fill="FFFFFF"/>
        </w:rPr>
        <w:t>Cohen</w:t>
      </w:r>
      <w:r>
        <w:rPr>
          <w:color w:val="222222"/>
          <w:shd w:val="clear" w:color="auto" w:fill="FFFFFF"/>
          <w:lang w:val="en-US"/>
        </w:rPr>
        <w:t xml:space="preserve"> and</w:t>
      </w:r>
      <w:r>
        <w:rPr>
          <w:color w:val="222222"/>
          <w:shd w:val="clear" w:color="auto" w:fill="FFFFFF"/>
        </w:rPr>
        <w:t xml:space="preserve"> Manion</w:t>
      </w:r>
      <w:r>
        <w:rPr>
          <w:color w:val="222222"/>
          <w:shd w:val="clear" w:color="auto" w:fill="FFFFFF"/>
          <w:lang w:val="en-US"/>
        </w:rPr>
        <w:t xml:space="preserve"> </w:t>
      </w:r>
      <w:r>
        <w:rPr>
          <w:color w:val="222222"/>
          <w:shd w:val="clear" w:color="auto" w:fill="FFFFFF"/>
        </w:rPr>
        <w:t>(2018)</w:t>
      </w:r>
      <w:r>
        <w:t xml:space="preserve">; </w:t>
      </w:r>
      <w:r>
        <w:rPr>
          <w:color w:val="222222"/>
          <w:shd w:val="clear" w:color="auto" w:fill="FFFFFF"/>
        </w:rPr>
        <w:t>Snyder</w:t>
      </w:r>
      <w:r>
        <w:rPr>
          <w:color w:val="222222"/>
          <w:shd w:val="clear" w:color="auto" w:fill="FFFFFF"/>
          <w:lang w:val="en-US"/>
        </w:rPr>
        <w:t xml:space="preserve"> </w:t>
      </w:r>
      <w:r>
        <w:rPr>
          <w:color w:val="222222"/>
          <w:shd w:val="clear" w:color="auto" w:fill="FFFFFF"/>
        </w:rPr>
        <w:t>(2019)</w:t>
      </w:r>
      <w:r>
        <w:t xml:space="preserve"> and </w:t>
      </w:r>
      <w:r>
        <w:rPr>
          <w:color w:val="222222"/>
          <w:shd w:val="clear" w:color="auto" w:fill="FFFFFF"/>
        </w:rPr>
        <w:t>Van Lange Paul</w:t>
      </w:r>
      <w:r>
        <w:t xml:space="preserve"> (20</w:t>
      </w:r>
      <w:r>
        <w:rPr>
          <w:lang w:val="en-US"/>
        </w:rPr>
        <w:t>15</w:t>
      </w:r>
      <w:r>
        <w:t>)</w:t>
      </w:r>
      <w:r>
        <w:rPr>
          <w:lang w:val="en-US"/>
        </w:rPr>
        <w:t xml:space="preserve"> </w:t>
      </w:r>
      <w:r>
        <w:t xml:space="preserve">argue that </w:t>
      </w:r>
      <w:r>
        <w:rPr>
          <w:lang w:val="en-US"/>
        </w:rPr>
        <w:t xml:space="preserve">a </w:t>
      </w:r>
      <w:r>
        <w:t xml:space="preserve">literature review aids in highlighting the significance of the issue, incorporating it into a conceptual framework, and preventing effort repetition. </w:t>
      </w:r>
      <w:r>
        <w:rPr>
          <w:color w:val="222222"/>
          <w:shd w:val="clear" w:color="auto" w:fill="FFFFFF"/>
        </w:rPr>
        <w:t>Van Lange Paul</w:t>
      </w:r>
      <w:r>
        <w:t xml:space="preserve"> (20</w:t>
      </w:r>
      <w:r>
        <w:rPr>
          <w:lang w:val="en-US"/>
        </w:rPr>
        <w:t>15</w:t>
      </w:r>
      <w:r>
        <w:t>)</w:t>
      </w:r>
      <w:r>
        <w:rPr>
          <w:lang w:val="en-US"/>
        </w:rPr>
        <w:t xml:space="preserve"> </w:t>
      </w:r>
      <w:r>
        <w:t xml:space="preserve">observes that </w:t>
      </w:r>
      <w:r>
        <w:rPr>
          <w:lang w:val="en-US"/>
        </w:rPr>
        <w:t xml:space="preserve">the review of </w:t>
      </w:r>
      <w:r>
        <w:t>literature</w:t>
      </w:r>
      <w:r>
        <w:rPr>
          <w:lang w:val="en-US"/>
        </w:rPr>
        <w:t xml:space="preserve"> helps to</w:t>
      </w:r>
      <w:r>
        <w:t xml:space="preserve"> explore aspects of the central phenomenon of the topical</w:t>
      </w:r>
      <w:r>
        <w:rPr>
          <w:lang w:val="en-US"/>
        </w:rPr>
        <w:t xml:space="preserve"> tenets</w:t>
      </w:r>
      <w:r>
        <w:t xml:space="preserve"> of the problems being investigated</w:t>
      </w:r>
      <w:r>
        <w:rPr>
          <w:lang w:val="en-US"/>
        </w:rPr>
        <w:t>.</w:t>
      </w:r>
      <w:r>
        <w:t xml:space="preserve"> According to </w:t>
      </w:r>
      <w:r>
        <w:rPr>
          <w:color w:val="222222"/>
          <w:shd w:val="clear" w:color="auto" w:fill="FFFFFF"/>
        </w:rPr>
        <w:t>Van Lange Paul</w:t>
      </w:r>
      <w:r>
        <w:t xml:space="preserve"> (20</w:t>
      </w:r>
      <w:r>
        <w:rPr>
          <w:lang w:val="en-US"/>
        </w:rPr>
        <w:t>15</w:t>
      </w:r>
      <w:r>
        <w:t>)</w:t>
      </w:r>
      <w:r>
        <w:rPr>
          <w:lang w:val="en-US"/>
        </w:rPr>
        <w:t xml:space="preserve"> </w:t>
      </w:r>
      <w:r>
        <w:t xml:space="preserve">and </w:t>
      </w:r>
      <w:r>
        <w:rPr>
          <w:color w:val="222222"/>
          <w:shd w:val="clear" w:color="auto" w:fill="FFFFFF"/>
        </w:rPr>
        <w:t>Snyder</w:t>
      </w:r>
      <w:r>
        <w:rPr>
          <w:color w:val="222222"/>
          <w:shd w:val="clear" w:color="auto" w:fill="FFFFFF"/>
          <w:lang w:val="en-US"/>
        </w:rPr>
        <w:t xml:space="preserve"> </w:t>
      </w:r>
      <w:r>
        <w:rPr>
          <w:color w:val="222222"/>
          <w:shd w:val="clear" w:color="auto" w:fill="FFFFFF"/>
        </w:rPr>
        <w:t>(2019)</w:t>
      </w:r>
      <w:r>
        <w:t>, the</w:t>
      </w:r>
      <w:r>
        <w:rPr>
          <w:lang w:val="en-US"/>
        </w:rPr>
        <w:t xml:space="preserve"> motivation</w:t>
      </w:r>
      <w:r>
        <w:t xml:space="preserve"> for reviewing</w:t>
      </w:r>
      <w:r>
        <w:rPr>
          <w:lang w:val="en-US"/>
        </w:rPr>
        <w:t xml:space="preserve"> </w:t>
      </w:r>
      <w:r>
        <w:t>literature</w:t>
      </w:r>
      <w:r>
        <w:rPr>
          <w:lang w:val="en-US"/>
        </w:rPr>
        <w:t xml:space="preserve"> </w:t>
      </w:r>
      <w:r>
        <w:t>includes:</w:t>
      </w:r>
    </w:p>
    <w:p w14:paraId="1C0CA999" w14:textId="77777777" w:rsidR="00B01D46" w:rsidRDefault="0067013E">
      <w:pPr>
        <w:pStyle w:val="BodyText"/>
        <w:numPr>
          <w:ilvl w:val="0"/>
          <w:numId w:val="9"/>
        </w:numPr>
        <w:spacing w:line="480" w:lineRule="auto"/>
        <w:ind w:left="284" w:right="65" w:hanging="284"/>
      </w:pPr>
      <w:r>
        <w:t xml:space="preserve">To determine what is currently understood in the field of interest for the research. </w:t>
      </w:r>
    </w:p>
    <w:p w14:paraId="2CD30EC0" w14:textId="77777777" w:rsidR="00B01D46" w:rsidRDefault="0067013E">
      <w:pPr>
        <w:pStyle w:val="BodyText"/>
        <w:numPr>
          <w:ilvl w:val="0"/>
          <w:numId w:val="9"/>
        </w:numPr>
        <w:spacing w:line="480" w:lineRule="auto"/>
        <w:ind w:left="284" w:right="65" w:hanging="284"/>
      </w:pPr>
      <w:r>
        <w:t>To reveal missing links to the current theories or reveal gaps that remain in the problem areas.</w:t>
      </w:r>
    </w:p>
    <w:p w14:paraId="37E9B01F" w14:textId="77777777" w:rsidR="00B01D46" w:rsidRDefault="0067013E">
      <w:pPr>
        <w:pStyle w:val="BodyText"/>
        <w:numPr>
          <w:ilvl w:val="0"/>
          <w:numId w:val="9"/>
        </w:numPr>
        <w:spacing w:line="480" w:lineRule="auto"/>
        <w:ind w:left="284" w:right="65" w:hanging="284"/>
      </w:pPr>
      <w:r>
        <w:t>To establish methodological issues applied by other researchers in the research area.</w:t>
      </w:r>
    </w:p>
    <w:p w14:paraId="1B165CF8" w14:textId="77777777" w:rsidR="00B01D46" w:rsidRDefault="0067013E">
      <w:pPr>
        <w:pStyle w:val="BodyText"/>
        <w:numPr>
          <w:ilvl w:val="0"/>
          <w:numId w:val="9"/>
        </w:numPr>
        <w:spacing w:line="480" w:lineRule="auto"/>
        <w:ind w:left="284" w:right="65" w:hanging="284"/>
      </w:pPr>
      <w:r>
        <w:t xml:space="preserve">To avoid duplication and also form the </w:t>
      </w:r>
      <w:r>
        <w:rPr>
          <w:lang w:val="en-US"/>
        </w:rPr>
        <w:t>basis upon which the study findings will be interpreted.</w:t>
      </w:r>
      <w:r>
        <w:t xml:space="preserve"> </w:t>
      </w:r>
    </w:p>
    <w:p w14:paraId="43F9696A" w14:textId="77777777" w:rsidR="00B01D46" w:rsidRDefault="0067013E">
      <w:pPr>
        <w:pStyle w:val="BodyText"/>
        <w:numPr>
          <w:ilvl w:val="0"/>
          <w:numId w:val="9"/>
        </w:numPr>
        <w:spacing w:line="480" w:lineRule="auto"/>
        <w:ind w:left="284" w:right="65" w:hanging="284"/>
      </w:pPr>
      <w:r>
        <w:t xml:space="preserve">To reveal other strategies, procedures, or measuring instruments </w:t>
      </w:r>
      <w:r>
        <w:rPr>
          <w:lang w:val="en-US"/>
        </w:rPr>
        <w:t>useful</w:t>
      </w:r>
      <w:r>
        <w:t xml:space="preserve"> in investigating the problem</w:t>
      </w:r>
      <w:r>
        <w:rPr>
          <w:lang w:val="en-US"/>
        </w:rPr>
        <w:t>.</w:t>
      </w:r>
    </w:p>
    <w:p w14:paraId="524DE0BF" w14:textId="77777777" w:rsidR="00B01D46" w:rsidRDefault="0067013E">
      <w:pPr>
        <w:pStyle w:val="BodyText"/>
        <w:numPr>
          <w:ilvl w:val="0"/>
          <w:numId w:val="9"/>
        </w:numPr>
        <w:spacing w:line="480" w:lineRule="auto"/>
        <w:ind w:left="284" w:right="65" w:hanging="284"/>
      </w:pPr>
      <w:r>
        <w:lastRenderedPageBreak/>
        <w:t>To act as a curtain-raiser to the researcher by drawing attention to the previous studies including debates on the previous findings.</w:t>
      </w:r>
    </w:p>
    <w:p w14:paraId="10B3E60B" w14:textId="77777777" w:rsidR="00B01D46" w:rsidRDefault="0067013E">
      <w:pPr>
        <w:pStyle w:val="BodyText"/>
        <w:numPr>
          <w:ilvl w:val="0"/>
          <w:numId w:val="9"/>
        </w:numPr>
        <w:spacing w:line="480" w:lineRule="auto"/>
        <w:ind w:left="284" w:right="65" w:hanging="284"/>
      </w:pPr>
      <w:r>
        <w:t xml:space="preserve">To address new approaches so as to avoid repeating previous mistakes; </w:t>
      </w:r>
    </w:p>
    <w:p w14:paraId="608CE1A0" w14:textId="77777777" w:rsidR="00B01D46" w:rsidRDefault="0067013E">
      <w:pPr>
        <w:pStyle w:val="BodyText"/>
        <w:numPr>
          <w:ilvl w:val="0"/>
          <w:numId w:val="9"/>
        </w:numPr>
        <w:spacing w:before="120" w:line="480" w:lineRule="auto"/>
        <w:ind w:left="284" w:right="65" w:hanging="284"/>
      </w:pPr>
      <w:r>
        <w:t>To get ideas from suggestions and recommendations from previous researchers in similar studies (</w:t>
      </w:r>
      <w:r>
        <w:rPr>
          <w:color w:val="222222"/>
          <w:shd w:val="clear" w:color="auto" w:fill="FFFFFF"/>
        </w:rPr>
        <w:t>Ishtiaq, 2019</w:t>
      </w:r>
      <w:r>
        <w:t>).</w:t>
      </w:r>
    </w:p>
    <w:p w14:paraId="17B8A8B8" w14:textId="77777777" w:rsidR="00B01D46" w:rsidRDefault="0067013E">
      <w:pPr>
        <w:pStyle w:val="BodyText"/>
        <w:spacing w:before="120" w:line="480" w:lineRule="auto"/>
        <w:ind w:right="65"/>
      </w:pPr>
      <w:r>
        <w:t xml:space="preserve">There are </w:t>
      </w:r>
      <w:r>
        <w:rPr>
          <w:lang w:val="en-US"/>
        </w:rPr>
        <w:t>categories</w:t>
      </w:r>
      <w:r>
        <w:t xml:space="preserve"> of literature review as advanced by </w:t>
      </w:r>
      <w:r>
        <w:rPr>
          <w:color w:val="222222"/>
          <w:shd w:val="clear" w:color="auto" w:fill="FFFFFF"/>
        </w:rPr>
        <w:t>Torraco</w:t>
      </w:r>
      <w:r>
        <w:rPr>
          <w:color w:val="222222"/>
          <w:shd w:val="clear" w:color="auto" w:fill="FFFFFF"/>
          <w:lang w:val="en-US"/>
        </w:rPr>
        <w:t xml:space="preserve"> </w:t>
      </w:r>
      <w:r>
        <w:rPr>
          <w:color w:val="222222"/>
          <w:shd w:val="clear" w:color="auto" w:fill="FFFFFF"/>
        </w:rPr>
        <w:t>(2016)</w:t>
      </w:r>
      <w:r>
        <w:rPr>
          <w:color w:val="222222"/>
          <w:shd w:val="clear" w:color="auto" w:fill="FFFFFF"/>
          <w:lang w:val="en-US"/>
        </w:rPr>
        <w:t>.</w:t>
      </w:r>
      <w:r>
        <w:rPr>
          <w:lang w:val="en-US"/>
        </w:rPr>
        <w:t xml:space="preserve"> First are the</w:t>
      </w:r>
      <w:r>
        <w:t xml:space="preserve"> historical reviews</w:t>
      </w:r>
      <w:r>
        <w:rPr>
          <w:lang w:val="en-US"/>
        </w:rPr>
        <w:t xml:space="preserve"> which</w:t>
      </w:r>
      <w:r>
        <w:t xml:space="preserve"> break down the literature into stages or phases and take into account the literature's historical progression</w:t>
      </w:r>
      <w:r>
        <w:rPr>
          <w:lang w:val="en-US"/>
        </w:rPr>
        <w:t xml:space="preserve">. Second is the </w:t>
      </w:r>
      <w:r>
        <w:t xml:space="preserve">integrated reviews </w:t>
      </w:r>
      <w:r>
        <w:rPr>
          <w:lang w:val="en-US"/>
        </w:rPr>
        <w:t>which are organized according to various concepts or viewpoints</w:t>
      </w:r>
      <w:r>
        <w:t xml:space="preserve"> and highlight agreement and disagreement in debates on a given subject</w:t>
      </w:r>
      <w:r>
        <w:rPr>
          <w:lang w:val="en-US"/>
        </w:rPr>
        <w:t xml:space="preserve">. Thirdly are the </w:t>
      </w:r>
      <w:r>
        <w:t>hypothetical reviews</w:t>
      </w:r>
      <w:r>
        <w:rPr>
          <w:lang w:val="en-US"/>
        </w:rPr>
        <w:t xml:space="preserve"> which demonstrate how</w:t>
      </w:r>
      <w:r>
        <w:t xml:space="preserve"> empirical </w:t>
      </w:r>
      <w:r>
        <w:rPr>
          <w:lang w:val="en-US"/>
        </w:rPr>
        <w:t xml:space="preserve">data support a theory and lastly, the </w:t>
      </w:r>
      <w:r>
        <w:t xml:space="preserve">methodological or empirical reviews </w:t>
      </w:r>
      <w:r>
        <w:rPr>
          <w:lang w:val="en-US"/>
        </w:rPr>
        <w:t xml:space="preserve">which </w:t>
      </w:r>
      <w:r>
        <w:t xml:space="preserve">are summaries of empirical research findings on various methodologies.  In this study, only historical and thematic types of literature </w:t>
      </w:r>
      <w:r>
        <w:rPr>
          <w:lang w:val="en-US"/>
        </w:rPr>
        <w:t>were</w:t>
      </w:r>
      <w:r>
        <w:t xml:space="preserve"> reviewed.  </w:t>
      </w:r>
    </w:p>
    <w:p w14:paraId="222D5C68" w14:textId="77777777" w:rsidR="00B01D46" w:rsidRDefault="0067013E">
      <w:pPr>
        <w:pStyle w:val="BodyText"/>
        <w:spacing w:before="120" w:after="240" w:line="480" w:lineRule="auto"/>
        <w:ind w:right="65"/>
        <w:rPr>
          <w:b/>
          <w:lang w:val="en-US"/>
        </w:rPr>
      </w:pPr>
      <w:r>
        <w:rPr>
          <w:rFonts w:eastAsiaTheme="minorHAnsi"/>
        </w:rPr>
        <w:t xml:space="preserve">This chapter </w:t>
      </w:r>
      <w:r>
        <w:rPr>
          <w:rFonts w:eastAsiaTheme="minorHAnsi"/>
          <w:lang w:val="en-US"/>
        </w:rPr>
        <w:t xml:space="preserve">is arranged according to </w:t>
      </w:r>
      <w:r>
        <w:rPr>
          <w:rFonts w:eastAsiaTheme="minorHAnsi"/>
        </w:rPr>
        <w:t xml:space="preserve">thematic areas derived from the research objectives, theoretical framework variables, and </w:t>
      </w:r>
      <w:r>
        <w:rPr>
          <w:rFonts w:eastAsiaTheme="minorHAnsi"/>
          <w:lang w:val="en-US"/>
        </w:rPr>
        <w:t xml:space="preserve">far-reaching concepts that touch on the </w:t>
      </w:r>
      <w:r>
        <w:rPr>
          <w:rFonts w:eastAsiaTheme="minorHAnsi"/>
        </w:rPr>
        <w:t>research problem. The</w:t>
      </w:r>
      <w:r>
        <w:rPr>
          <w:rFonts w:eastAsiaTheme="minorHAnsi"/>
          <w:lang w:val="en-US"/>
        </w:rPr>
        <w:t xml:space="preserve"> concepts are</w:t>
      </w:r>
      <w:r>
        <w:rPr>
          <w:rFonts w:eastAsiaTheme="minorHAnsi"/>
        </w:rPr>
        <w:t xml:space="preserve">: the </w:t>
      </w:r>
      <w:r>
        <w:rPr>
          <w:rFonts w:eastAsiaTheme="minorHAnsi"/>
          <w:lang w:val="en-US"/>
        </w:rPr>
        <w:t>meaning of ILS, ILS status; ILS curriculum and policy; ILS understanding; ILS competencies of staff; and  ICTs integration with ILS.</w:t>
      </w:r>
    </w:p>
    <w:p w14:paraId="413ED926" w14:textId="77777777" w:rsidR="00B01D46" w:rsidRDefault="0067013E">
      <w:pPr>
        <w:pStyle w:val="Heading2"/>
      </w:pPr>
      <w:bookmarkStart w:id="576" w:name="_Toc165973043"/>
      <w:bookmarkStart w:id="577" w:name="_Toc165364879"/>
      <w:bookmarkStart w:id="578" w:name="_Toc165365146"/>
      <w:bookmarkStart w:id="579" w:name="_Toc165975764"/>
      <w:bookmarkStart w:id="580" w:name="_Toc184272868"/>
      <w:bookmarkStart w:id="581" w:name="_Toc165897995"/>
      <w:bookmarkStart w:id="582" w:name="_Toc165368343"/>
      <w:bookmarkStart w:id="583" w:name="_Toc164663993"/>
      <w:bookmarkStart w:id="584" w:name="_Toc165369159"/>
      <w:bookmarkStart w:id="585" w:name="_Toc165367617"/>
      <w:r>
        <w:t xml:space="preserve">3.2 </w:t>
      </w:r>
      <w:bookmarkStart w:id="586" w:name="_Hlk158376821"/>
      <w:r>
        <w:t>Information Literacy Skills</w:t>
      </w:r>
      <w:bookmarkEnd w:id="576"/>
      <w:bookmarkEnd w:id="577"/>
      <w:bookmarkEnd w:id="578"/>
      <w:bookmarkEnd w:id="579"/>
      <w:bookmarkEnd w:id="580"/>
      <w:bookmarkEnd w:id="581"/>
      <w:bookmarkEnd w:id="582"/>
      <w:bookmarkEnd w:id="583"/>
      <w:bookmarkEnd w:id="584"/>
      <w:bookmarkEnd w:id="585"/>
    </w:p>
    <w:p w14:paraId="231D58B4"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Scholars in ILS like Kavulya (2003); Freeman, (2010); </w:t>
      </w:r>
      <w:r>
        <w:rPr>
          <w:rFonts w:ascii="Times New Roman" w:eastAsia="Times New Roman" w:hAnsi="Times New Roman" w:cs="Times New Roman"/>
          <w:sz w:val="24"/>
          <w:szCs w:val="24"/>
        </w:rPr>
        <w:t>American Library Association (2020)</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Sample (2020) </w:t>
      </w:r>
      <w:r>
        <w:rPr>
          <w:rFonts w:ascii="Times New Roman" w:hAnsi="Times New Roman" w:cs="Times New Roman"/>
          <w:sz w:val="24"/>
          <w:szCs w:val="24"/>
        </w:rPr>
        <w:t xml:space="preserve">agree that ILS is a generic terminology that covers concepts like digital, visual, knowledge of appropriate communication channels, academic literacy, information manipulation and management. Scholars </w:t>
      </w:r>
      <w:r>
        <w:rPr>
          <w:rFonts w:ascii="Times New Roman" w:hAnsi="Times New Roman" w:cs="Times New Roman"/>
          <w:sz w:val="24"/>
          <w:szCs w:val="24"/>
        </w:rPr>
        <w:lastRenderedPageBreak/>
        <w:t>Kavulya, (2003); Freeman (2010); Foo et al, (2019); Klomsri and Tedre, (2016) agree that ILS is the capacity to comprehend text, write it down, and use information and communication technologies to successfully deal with online content that is correlated with electronic, visual, and multimedia literacies</w:t>
      </w:r>
    </w:p>
    <w:p w14:paraId="37E0B953" w14:textId="77777777" w:rsidR="00B01D46" w:rsidRDefault="0067013E">
      <w:pPr>
        <w:spacing w:before="120" w:after="0" w:line="480" w:lineRule="auto"/>
        <w:ind w:right="65"/>
        <w:jc w:val="both"/>
        <w:rPr>
          <w:rFonts w:ascii="Times New Roman" w:eastAsia="Times New Roman" w:hAnsi="Times New Roman" w:cs="Times New Roman"/>
          <w:sz w:val="24"/>
          <w:szCs w:val="24"/>
        </w:rPr>
      </w:pPr>
      <w:r>
        <w:rPr>
          <w:rFonts w:ascii="Times New Roman" w:hAnsi="Times New Roman" w:cs="Times New Roman"/>
          <w:sz w:val="24"/>
          <w:szCs w:val="24"/>
        </w:rPr>
        <w:t>Furthermore, according to Freeman (2010), data management, data selection, information processing, and information skills are all strongly associated with ILS competences. The methods pertain to how an individual engages and converses with information. It blends the mental and physical processes involved in using information with information searching.  Additionally, Freeman, (2010) gave the following diagram on the ILS landscape.</w:t>
      </w:r>
    </w:p>
    <w:bookmarkEnd w:id="586"/>
    <w:p w14:paraId="43326704"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3AFEE4" wp14:editId="3E5147E5">
            <wp:extent cx="3943350" cy="3114675"/>
            <wp:effectExtent l="0" t="0" r="0" b="9525"/>
            <wp:docPr id="7" name="Picture 7" descr="Image: Venn Diagram of intersecting literacies that contribute to information lite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Venn Diagram of intersecting literacies that contribute to information literacy"/>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958242" cy="3126438"/>
                    </a:xfrm>
                    <a:prstGeom prst="rect">
                      <a:avLst/>
                    </a:prstGeom>
                    <a:noFill/>
                    <a:ln>
                      <a:noFill/>
                    </a:ln>
                  </pic:spPr>
                </pic:pic>
              </a:graphicData>
            </a:graphic>
          </wp:inline>
        </w:drawing>
      </w:r>
    </w:p>
    <w:p w14:paraId="7FA6D153" w14:textId="77777777" w:rsidR="00B01D46" w:rsidRDefault="0067013E">
      <w:pPr>
        <w:pStyle w:val="Caption"/>
      </w:pPr>
      <w:bookmarkStart w:id="587" w:name="_Toc165364880"/>
      <w:bookmarkStart w:id="588" w:name="_Toc165363373"/>
      <w:bookmarkStart w:id="589" w:name="_Toc165362684"/>
      <w:bookmarkStart w:id="590" w:name="_Toc165365147"/>
      <w:bookmarkStart w:id="591" w:name="_Toc165368344"/>
      <w:bookmarkStart w:id="592" w:name="_Toc165975765"/>
      <w:bookmarkStart w:id="593" w:name="_Toc165897996"/>
      <w:bookmarkStart w:id="594" w:name="_Toc165367618"/>
      <w:bookmarkStart w:id="595" w:name="_Toc165973044"/>
      <w:bookmarkStart w:id="596" w:name="_Toc165369160"/>
      <w:bookmarkStart w:id="597" w:name="_Toc184271978"/>
      <w:bookmarkStart w:id="598" w:name="_Toc184272176"/>
      <w:bookmarkStart w:id="599" w:name="_Toc184276888"/>
      <w:r>
        <w:t xml:space="preserve">Figure 3.1: </w:t>
      </w:r>
      <w:bookmarkStart w:id="600" w:name="_Hlk158376841"/>
      <w:r>
        <w:t>Information Literacy Landscape (Source: Virkus, 2003)</w:t>
      </w:r>
      <w:bookmarkEnd w:id="587"/>
      <w:bookmarkEnd w:id="588"/>
      <w:bookmarkEnd w:id="589"/>
      <w:bookmarkEnd w:id="590"/>
      <w:bookmarkEnd w:id="591"/>
      <w:bookmarkEnd w:id="592"/>
      <w:bookmarkEnd w:id="593"/>
      <w:bookmarkEnd w:id="594"/>
      <w:bookmarkEnd w:id="595"/>
      <w:bookmarkEnd w:id="596"/>
      <w:bookmarkEnd w:id="597"/>
      <w:bookmarkEnd w:id="598"/>
      <w:bookmarkEnd w:id="599"/>
    </w:p>
    <w:bookmarkEnd w:id="600"/>
    <w:p w14:paraId="3DB96B4B" w14:textId="77777777" w:rsidR="00B01D46" w:rsidRDefault="00B01D46">
      <w:pPr>
        <w:spacing w:before="120" w:after="0" w:line="240" w:lineRule="auto"/>
        <w:ind w:right="65"/>
        <w:jc w:val="both"/>
        <w:rPr>
          <w:rFonts w:ascii="Times New Roman" w:hAnsi="Times New Roman" w:cs="Times New Roman"/>
          <w:sz w:val="24"/>
          <w:szCs w:val="24"/>
        </w:rPr>
      </w:pPr>
    </w:p>
    <w:p w14:paraId="0D55E5C1" w14:textId="77777777" w:rsidR="00B01D46" w:rsidRDefault="0067013E">
      <w:pPr>
        <w:pStyle w:val="Heading2"/>
      </w:pPr>
      <w:bookmarkStart w:id="601" w:name="_Toc165368345"/>
      <w:bookmarkStart w:id="602" w:name="_Toc165369161"/>
      <w:bookmarkStart w:id="603" w:name="_Toc164663994"/>
      <w:bookmarkStart w:id="604" w:name="_Toc165973045"/>
      <w:bookmarkStart w:id="605" w:name="_Toc184272869"/>
      <w:bookmarkStart w:id="606" w:name="_Toc165975766"/>
      <w:bookmarkStart w:id="607" w:name="_Toc165364881"/>
      <w:bookmarkStart w:id="608" w:name="_Toc165365148"/>
      <w:bookmarkStart w:id="609" w:name="_Toc165367619"/>
      <w:bookmarkStart w:id="610" w:name="_Toc165897997"/>
      <w:r>
        <w:t>3.3 History of Information Literacy Skills</w:t>
      </w:r>
      <w:bookmarkEnd w:id="601"/>
      <w:bookmarkEnd w:id="602"/>
      <w:bookmarkEnd w:id="603"/>
      <w:bookmarkEnd w:id="604"/>
      <w:bookmarkEnd w:id="605"/>
      <w:bookmarkEnd w:id="606"/>
      <w:bookmarkEnd w:id="607"/>
      <w:bookmarkEnd w:id="608"/>
      <w:bookmarkEnd w:id="609"/>
      <w:bookmarkEnd w:id="610"/>
    </w:p>
    <w:p w14:paraId="335BD7DC"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ILS was developed from antecedents like library training, bibliographic teaching, and library user education (Bruce, 2001; Kavulya, 2003; Nyamboga, 2002 and Virkus, 2003). In the 1970s and 1980s, libraries across the globe notably in Europe and the </w:t>
      </w:r>
      <w:r>
        <w:rPr>
          <w:rFonts w:ascii="Times New Roman" w:hAnsi="Times New Roman" w:cs="Times New Roman"/>
          <w:sz w:val="24"/>
          <w:szCs w:val="24"/>
        </w:rPr>
        <w:lastRenderedPageBreak/>
        <w:t>Americas rolled out library training programs like user-education training, library orientation, referencing, and bibliographic writing among others. Scholars like Kavulya (2003); Mbaabu et al, (2012) and Lwoga, (2014) agree that the history of ILS in Africa is related with that of the European countries. According to these scholars, ILS in African nations began in the 1980s through library user-education programs, which were taught to incoming first-year students at universities.</w:t>
      </w:r>
    </w:p>
    <w:p w14:paraId="6574D5FB"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Mbaabu et al (2012), Lwoga (2014); ACRL (2016) opine that the term ILS has evolved. That is the idea, which originated as a method of library education, has been expanded to encompass a more thorough endeavor of ILS instruction and learning in the academic setting. Shenton (2009) asserts that ILS has expanded to include literacy skills, bibliographic teaching, library instruction skills library skills, library user skills, user education, and library information technology skills. </w:t>
      </w:r>
    </w:p>
    <w:p w14:paraId="4E41EDD4"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 term ILS was coined in 1974 by Paul Zurkowski when he advocated for people to become information literate to thrive and sustain themselves in the rapidly developing information society (Kavulya, 2003; Nyamboga, 2004; Gatero, 2011, Kanguha, 2016; Mbabu, et al, 2012; Lwoga, 2014; ACRL, 2016). Zurkowski (1974) described ILS as “the ability to use techniques and skills for the wide range of information tools as well as primary sources in molding information solution to a problem”.</w:t>
      </w:r>
    </w:p>
    <w:p w14:paraId="524DAA38" w14:textId="77777777" w:rsidR="00B01D46" w:rsidRDefault="0067013E">
      <w:pPr>
        <w:pStyle w:val="NormalWeb"/>
        <w:spacing w:before="120" w:beforeAutospacing="0" w:after="0" w:afterAutospacing="0" w:line="480" w:lineRule="auto"/>
        <w:ind w:right="65"/>
        <w:jc w:val="both"/>
      </w:pPr>
      <w:r>
        <w:t xml:space="preserve">In an attempt to provide an internationally accepted definition of ILS, the ACRL (2020) outlined ILS as a series of skills needing people to understand when information is needed and have the capacity to discover, evaluate, and utilize the necessary information. Furthermore, an international conference on the value of ILS worldwide was held in Prague in 2003 which was sponsored by the National </w:t>
      </w:r>
      <w:r>
        <w:lastRenderedPageBreak/>
        <w:t xml:space="preserve">Commission on Libraries and Information Science; the United Nations Educational, Scientific and Cultural Organization (UNESCO); and the National Forum on Information Literacy (NFIL) came up with The Prague Declaration of 2003. The Prague Declaration of 2003 stated that ILS is essential to the cultural, social, and economic growth of societies, nations, organizations, and people. The forum went on to proclaim that obtaining ILS is an essential human right (Webber &amp; Johnston, 2017). Similarly, a conference held in Alexandria, Egypt in 2015 about the role of ILS in the information age, gave birth to The </w:t>
      </w:r>
      <w:r>
        <w:rPr>
          <w:rFonts w:eastAsiaTheme="majorEastAsia"/>
        </w:rPr>
        <w:t>Alexandria Proclamation</w:t>
      </w:r>
      <w:r>
        <w:t xml:space="preserve"> that linked ILS with lifelong learning and established ILS as a fundamental human right that encourages international social inclusion (</w:t>
      </w:r>
      <w:r>
        <w:rPr>
          <w:color w:val="222222"/>
          <w:shd w:val="clear" w:color="auto" w:fill="FFFFFF"/>
        </w:rPr>
        <w:t>Daniel, Meho, &amp; Moran, 2015</w:t>
      </w:r>
      <w:r>
        <w:t xml:space="preserve">). </w:t>
      </w:r>
    </w:p>
    <w:p w14:paraId="0887F5C5" w14:textId="77777777" w:rsidR="00B01D46" w:rsidRDefault="0067013E">
      <w:pPr>
        <w:pStyle w:val="NormalWeb"/>
        <w:spacing w:before="120" w:beforeAutospacing="0" w:after="0" w:afterAutospacing="0" w:line="480" w:lineRule="auto"/>
        <w:ind w:right="65"/>
        <w:jc w:val="both"/>
      </w:pPr>
      <w:r>
        <w:rPr>
          <w:rFonts w:eastAsiaTheme="minorHAnsi"/>
        </w:rPr>
        <w:t>Competencies that will improve research quality and increase job opportunities; search techniques that make use of the Boolean logic operators AND, OR, and NOT in order to find and retrieve pertinent information; the ability to objectively assess and interpret research results; the ability to use knowledge that has been collected lawfully and morally; and t</w:t>
      </w:r>
      <w:r>
        <w:t>he ability to reference and cite sources correctly, appreciating the contributions of others.</w:t>
      </w:r>
    </w:p>
    <w:p w14:paraId="62EC4EB8" w14:textId="77777777" w:rsidR="00B01D46" w:rsidRDefault="0067013E">
      <w:pPr>
        <w:pStyle w:val="NormalWeb"/>
        <w:spacing w:before="120" w:after="0" w:line="480" w:lineRule="auto"/>
        <w:ind w:right="65"/>
        <w:jc w:val="both"/>
        <w:rPr>
          <w:rFonts w:eastAsiaTheme="minorHAnsi"/>
        </w:rPr>
      </w:pPr>
      <w:r>
        <w:t xml:space="preserve">Therefore, based on the explanation above, ILS includes awareness of a person's information requirements and concerns as well as the capacity to recognize, find, assess, organize, use, and communicate information to solve current challenges or issues. </w:t>
      </w:r>
    </w:p>
    <w:p w14:paraId="1E94E5FA" w14:textId="77777777" w:rsidR="00B01D46" w:rsidRDefault="0067013E">
      <w:pPr>
        <w:pStyle w:val="Heading2"/>
      </w:pPr>
      <w:bookmarkStart w:id="611" w:name="_Toc165975767"/>
      <w:bookmarkStart w:id="612" w:name="_Toc165367620"/>
      <w:bookmarkStart w:id="613" w:name="_Toc165368346"/>
      <w:bookmarkStart w:id="614" w:name="_Toc184272870"/>
      <w:bookmarkStart w:id="615" w:name="_Toc165365149"/>
      <w:bookmarkStart w:id="616" w:name="_Toc165369162"/>
      <w:bookmarkStart w:id="617" w:name="_Toc165897998"/>
      <w:bookmarkStart w:id="618" w:name="_Toc165973046"/>
      <w:bookmarkStart w:id="619" w:name="_Toc165364882"/>
      <w:bookmarkStart w:id="620" w:name="_Toc164663995"/>
      <w:r>
        <w:t>3.4 Status of Information Literacy Skills in Universities</w:t>
      </w:r>
      <w:bookmarkEnd w:id="611"/>
      <w:bookmarkEnd w:id="612"/>
      <w:bookmarkEnd w:id="613"/>
      <w:bookmarkEnd w:id="614"/>
      <w:bookmarkEnd w:id="615"/>
      <w:bookmarkEnd w:id="616"/>
      <w:bookmarkEnd w:id="617"/>
      <w:bookmarkEnd w:id="618"/>
      <w:bookmarkEnd w:id="619"/>
      <w:bookmarkEnd w:id="620"/>
    </w:p>
    <w:p w14:paraId="51476855" w14:textId="77777777" w:rsidR="00B01D46" w:rsidRDefault="0067013E">
      <w:pPr>
        <w:pStyle w:val="Default"/>
        <w:spacing w:line="480" w:lineRule="auto"/>
        <w:ind w:right="65"/>
        <w:jc w:val="both"/>
        <w:rPr>
          <w:color w:val="auto"/>
        </w:rPr>
      </w:pPr>
      <w:bookmarkStart w:id="621" w:name="_Hlk158377067"/>
      <w:bookmarkStart w:id="622" w:name="_Hlk147910789"/>
      <w:r>
        <w:rPr>
          <w:color w:val="auto"/>
        </w:rPr>
        <w:t xml:space="preserve">An assessment of the status of a phenomenon assists in delving into details on the current status, effectiveness of implementation strategies, and prospects and provides a pathway of mitigation procedures or areas of further improvement on the </w:t>
      </w:r>
      <w:r>
        <w:rPr>
          <w:color w:val="auto"/>
        </w:rPr>
        <w:lastRenderedPageBreak/>
        <w:t>phenomenon under consideration (Taylor, 2008). Lwehabura (2008) states that librarians are chief instructional partners in universities hence should work closely with lecturers and other stakeholders to identify learners’ information requirements. This is doable because librarians are change agents, leaders, pedagogical innovators, and risk-takers (Kingori, 2015). Additionally, Taylor (2008) avers that most ILS initiatives and programs have been introduced by universities under the influence of librarians.</w:t>
      </w:r>
    </w:p>
    <w:p w14:paraId="3B7A6DC7" w14:textId="0A4EAFD2" w:rsidR="00B01D46" w:rsidRDefault="0067013E">
      <w:pPr>
        <w:pStyle w:val="Default"/>
        <w:spacing w:before="120" w:line="480" w:lineRule="auto"/>
        <w:ind w:right="65"/>
        <w:jc w:val="both"/>
      </w:pPr>
      <w:r>
        <w:rPr>
          <w:color w:val="auto"/>
        </w:rPr>
        <w:t xml:space="preserve">Kavulya (2003) and </w:t>
      </w:r>
      <w:r>
        <w:rPr>
          <w:color w:val="222222"/>
          <w:shd w:val="clear" w:color="auto" w:fill="FFFFFF"/>
        </w:rPr>
        <w:t xml:space="preserve">Adeogun, (2016) </w:t>
      </w:r>
      <w:r>
        <w:rPr>
          <w:color w:val="auto"/>
        </w:rPr>
        <w:t xml:space="preserve">agree that the focus of libraries is to ensure patrons utilize information materials optimally regardless of the format. Therefore, there is an urgent need to train library patrons on ILS to enable them to recognize and choose appropriate information, use relevant information search techniques, and be in a position to gauge, establish, and synthesize information. Hence, a need for ILS adequacy. Additionally, </w:t>
      </w:r>
      <w:r>
        <w:rPr>
          <w:color w:val="222222"/>
          <w:shd w:val="clear" w:color="auto" w:fill="FFFFFF"/>
        </w:rPr>
        <w:t xml:space="preserve">Dorvlo </w:t>
      </w:r>
      <w:r w:rsidR="00C576F1">
        <w:rPr>
          <w:color w:val="222222"/>
          <w:shd w:val="clear" w:color="auto" w:fill="FFFFFF"/>
        </w:rPr>
        <w:t>&amp;</w:t>
      </w:r>
      <w:r>
        <w:rPr>
          <w:color w:val="222222"/>
          <w:shd w:val="clear" w:color="auto" w:fill="FFFFFF"/>
        </w:rPr>
        <w:t xml:space="preserve"> Dadzie (2016) </w:t>
      </w:r>
      <w:r>
        <w:t xml:space="preserve">in their study on </w:t>
      </w:r>
      <w:r>
        <w:rPr>
          <w:color w:val="222222"/>
          <w:shd w:val="clear" w:color="auto" w:fill="FFFFFF"/>
        </w:rPr>
        <w:t>Information Literacy among Post Graduate Students of the University of Ghana,</w:t>
      </w:r>
      <w:r>
        <w:t xml:space="preserve"> state that establishing ILS as part of university activity is the surest way of winning “hearts and minds” towards legitimating ILS in institutions of learning. This is true especially in Africa where according to scholars Kavulya (2003), Njuguna (2004), and Ojedokun </w:t>
      </w:r>
      <w:r w:rsidR="00C576F1">
        <w:t>&amp;</w:t>
      </w:r>
      <w:r>
        <w:t xml:space="preserve">Lumande (2005) in a study on </w:t>
      </w:r>
      <w:r>
        <w:rPr>
          <w:color w:val="222222"/>
          <w:shd w:val="clear" w:color="auto" w:fill="FFFFFF"/>
        </w:rPr>
        <w:t>cooperative electronic networks of academic libraries in southern Africa established that</w:t>
      </w:r>
      <w:r>
        <w:t xml:space="preserve"> ILS is a less important aspect in many African universities and often plays second fiddle, hence not included in the curriculum</w:t>
      </w:r>
      <w:bookmarkEnd w:id="621"/>
      <w:r>
        <w:t>.</w:t>
      </w:r>
    </w:p>
    <w:p w14:paraId="62D25085" w14:textId="77777777" w:rsidR="00B01D46" w:rsidRDefault="0067013E">
      <w:pPr>
        <w:pStyle w:val="Default"/>
        <w:spacing w:before="120" w:line="480" w:lineRule="auto"/>
        <w:ind w:right="65"/>
        <w:jc w:val="both"/>
      </w:pPr>
      <w:bookmarkStart w:id="623" w:name="_Hlk158377156"/>
      <w:bookmarkEnd w:id="622"/>
      <w:r>
        <w:t xml:space="preserve">In a study titled ILS use of information resources in the university of Illorin done by </w:t>
      </w:r>
      <w:r>
        <w:rPr>
          <w:color w:val="222222"/>
          <w:shd w:val="clear" w:color="auto" w:fill="FFFFFF"/>
        </w:rPr>
        <w:t xml:space="preserve">Uwakwe et al (2016) </w:t>
      </w:r>
      <w:r>
        <w:t xml:space="preserve">noted that all library resources should be used efficiently and this is possible if students are taught ILS. Furthermore, according to these researchers, ILS may be taught through seminars, workshops, orientation/training </w:t>
      </w:r>
      <w:r>
        <w:lastRenderedPageBreak/>
        <w:t>programs, and occasional "know your library" events hosted by library staff for both first-time and seasoned patrons.</w:t>
      </w:r>
    </w:p>
    <w:p w14:paraId="3967E75E" w14:textId="07BBBF98" w:rsidR="00B01D46" w:rsidRDefault="0067013E">
      <w:pPr>
        <w:pStyle w:val="Default"/>
        <w:spacing w:before="120" w:line="480" w:lineRule="auto"/>
        <w:ind w:right="65"/>
        <w:jc w:val="both"/>
        <w:rPr>
          <w:color w:val="auto"/>
        </w:rPr>
      </w:pPr>
      <w:r>
        <w:rPr>
          <w:color w:val="auto"/>
        </w:rPr>
        <w:t xml:space="preserve">In the same breath, Parker, </w:t>
      </w:r>
      <w:r w:rsidR="0006785E">
        <w:rPr>
          <w:color w:val="auto"/>
        </w:rPr>
        <w:t>(</w:t>
      </w:r>
      <w:r>
        <w:rPr>
          <w:color w:val="auto"/>
        </w:rPr>
        <w:t>2003</w:t>
      </w:r>
      <w:r w:rsidR="0006785E">
        <w:rPr>
          <w:color w:val="auto"/>
        </w:rPr>
        <w:t>)</w:t>
      </w:r>
      <w:r>
        <w:rPr>
          <w:color w:val="auto"/>
        </w:rPr>
        <w:t xml:space="preserve">; Ojedokun </w:t>
      </w:r>
      <w:r w:rsidR="00C576F1">
        <w:rPr>
          <w:color w:val="auto"/>
        </w:rPr>
        <w:t>&amp;</w:t>
      </w:r>
      <w:r>
        <w:rPr>
          <w:color w:val="auto"/>
        </w:rPr>
        <w:t xml:space="preserve"> Lumande, </w:t>
      </w:r>
      <w:r w:rsidR="0006785E">
        <w:rPr>
          <w:color w:val="auto"/>
        </w:rPr>
        <w:t>(</w:t>
      </w:r>
      <w:r>
        <w:rPr>
          <w:color w:val="auto"/>
        </w:rPr>
        <w:t>2005</w:t>
      </w:r>
      <w:r w:rsidR="0006785E">
        <w:rPr>
          <w:color w:val="auto"/>
        </w:rPr>
        <w:t>)</w:t>
      </w:r>
      <w:r>
        <w:rPr>
          <w:color w:val="auto"/>
        </w:rPr>
        <w:t xml:space="preserve">; Uwakwe et al (2016) contend that the development of computer systems and the introduction and progress of technology have led to an unparalleled rise in the number of published materials, both in print and non-print formats. This has forced contemporary libraries and the field of librarianship to seek out and implement cutting-edge instruments and procedures in the course of carrying out their duties. These sentiments are echoed by </w:t>
      </w:r>
      <w:r>
        <w:t>Baro 2010</w:t>
      </w:r>
      <w:r>
        <w:rPr>
          <w:color w:val="auto"/>
        </w:rPr>
        <w:t xml:space="preserve"> study on effects of user education on law students’ use of the library using descriptive research design state that the development of ICT facilities has led to the development of technologies for information storage, retrieval, and distribution, which presents issues for library users to a higher level. It is thus necessary to teach students how to effectively use these technologies for them to obtain pertinent information.  </w:t>
      </w:r>
      <w:bookmarkEnd w:id="623"/>
    </w:p>
    <w:p w14:paraId="6223CDF3" w14:textId="77777777" w:rsidR="00B01D46" w:rsidRDefault="0067013E">
      <w:pPr>
        <w:pStyle w:val="Default"/>
        <w:spacing w:before="120" w:line="480" w:lineRule="auto"/>
        <w:ind w:right="65"/>
        <w:jc w:val="both"/>
        <w:rPr>
          <w:color w:val="auto"/>
        </w:rPr>
      </w:pPr>
      <w:r>
        <w:rPr>
          <w:color w:val="auto"/>
        </w:rPr>
        <w:t xml:space="preserve">Additionally, Uwakwe et al (2016) state that </w:t>
      </w:r>
      <w:r>
        <w:t>libraries are embracing the digital era and have incorporated several technological tools and techniques into their service delivery. These consist of, among other things, email devices used for library registration and surfing, connections to the internet for information searching and browsing, and the Online Public Access Catalogue (OPAC) for online cataloging and searching. The adoption and deployment of these cutting-edge information tools and technologies places a responsibility on library service providers to develop high-quality ILS programs, to enable library patrons to gain proficiency in how to make the best use of library services as well as accessibility.</w:t>
      </w:r>
      <w:r>
        <w:rPr>
          <w:color w:val="auto"/>
        </w:rPr>
        <w:t xml:space="preserve"> In addition, any library's usage rate is determined by among other factors, the quality of its ILS programs, which also actualizes the most sustained level of satisfaction among users. The implication of </w:t>
      </w:r>
      <w:r>
        <w:rPr>
          <w:color w:val="auto"/>
        </w:rPr>
        <w:lastRenderedPageBreak/>
        <w:t>this is that low rates of usage of the library's resources and services may be a result of the absence or poorly packed ILS (Uwakwe et al, 2016).</w:t>
      </w:r>
    </w:p>
    <w:p w14:paraId="12A0C416" w14:textId="77777777" w:rsidR="00B01D46" w:rsidRDefault="0067013E">
      <w:pPr>
        <w:pStyle w:val="Default"/>
        <w:spacing w:before="120" w:line="480" w:lineRule="auto"/>
        <w:ind w:right="65"/>
        <w:jc w:val="both"/>
        <w:rPr>
          <w:color w:val="auto"/>
        </w:rPr>
      </w:pPr>
      <w:bookmarkStart w:id="624" w:name="_Hlk158377259"/>
      <w:r>
        <w:rPr>
          <w:color w:val="auto"/>
        </w:rPr>
        <w:t xml:space="preserve">The degree to which a library's materials and services are utilized determines how effective it is. This validates all the work librarians do to arrange resources in the library so that they are optimally used. One of these initiatives is enhancing the adequacy of ILS to library users so that the patrons/users familiarize themselves with the library, its resources, and services so that they can easily get the information they need. </w:t>
      </w:r>
      <w:r>
        <w:t>According to Onyeneke (2017), several ILS surveys on ILS competencies among undergraduate students in Africa, highlight the fact that a large number of students do not utilize the library and are unaware of the resources available there. Furthermore, he claims that because they don't know much about the search tools, library users have trouble finding the resources they need. Consequently, there is underutilization of information materials, which may be the reason behind students' incapacity to do significant research, leading to subpar academic outcomes.</w:t>
      </w:r>
    </w:p>
    <w:bookmarkEnd w:id="624"/>
    <w:p w14:paraId="3C8F4D8B" w14:textId="77777777" w:rsidR="00B01D46" w:rsidRDefault="0067013E">
      <w:pPr>
        <w:pStyle w:val="Default"/>
        <w:spacing w:before="120" w:line="480" w:lineRule="auto"/>
        <w:ind w:right="65"/>
        <w:jc w:val="both"/>
        <w:rPr>
          <w:color w:val="auto"/>
        </w:rPr>
      </w:pPr>
      <w:r>
        <w:rPr>
          <w:color w:val="auto"/>
        </w:rPr>
        <w:t xml:space="preserve">Further, Edom (2007) and Nyamboga (2002) state that the objective of ILS is to help the learner reap the most from library services and resources. The objectives of ILS are literacy skills; advance skills to facilitate retrieval of the required materials; creating an understanding of information materials available about the readers’ subject area; enabling appropriate referencing and bibliographic writing; and inculcating a positive perception towards information search and retrieval. However, Anunobi and Ukwoma (2016) state that despite the widespread adoption of ILS, the skills taught in educational institutions of higher learning in Nigeria, have been unable to help learners progress from elementary library literacy to a more advanced level. As a result, many students at Nigerian Universities are unable to use information legally and ethically, students still don’t know how to consult multiple </w:t>
      </w:r>
      <w:r>
        <w:rPr>
          <w:color w:val="auto"/>
        </w:rPr>
        <w:lastRenderedPageBreak/>
        <w:t>information sources and they are unable to utilize high-level information search strategies to be able to retrieve authentic information.</w:t>
      </w:r>
    </w:p>
    <w:p w14:paraId="609EA742" w14:textId="70878CDA" w:rsidR="00B01D46" w:rsidRDefault="0067013E">
      <w:pPr>
        <w:pStyle w:val="Default"/>
        <w:spacing w:before="120" w:line="480" w:lineRule="auto"/>
        <w:ind w:right="65"/>
        <w:jc w:val="both"/>
        <w:rPr>
          <w:color w:val="auto"/>
        </w:rPr>
      </w:pPr>
      <w:r>
        <w:t>Dadzie (2004), Odini (2000), Kavulya (2003)</w:t>
      </w:r>
      <w:r w:rsidR="0006785E">
        <w:t>;</w:t>
      </w:r>
      <w:r>
        <w:t xml:space="preserve"> and Kanguha (2016) concur that the orientation given to first-year students in the first week of reporting to university is not well structured. Also, the library skills component in the communication skills unit and sometimes lecturers arranging for sessions with librarians to teach students how to search for information are inadequate (</w:t>
      </w:r>
      <w:r>
        <w:rPr>
          <w:color w:val="222222"/>
          <w:shd w:val="clear" w:color="auto" w:fill="FFFFFF"/>
        </w:rPr>
        <w:t>Asafe</w:t>
      </w:r>
      <w:r>
        <w:t xml:space="preserve">, 2014). </w:t>
      </w:r>
    </w:p>
    <w:p w14:paraId="4183800B" w14:textId="77777777" w:rsidR="00B01D46" w:rsidRDefault="0067013E">
      <w:pPr>
        <w:pStyle w:val="Default"/>
        <w:spacing w:before="120" w:line="480" w:lineRule="auto"/>
        <w:ind w:right="65"/>
        <w:jc w:val="both"/>
        <w:rPr>
          <w:color w:val="auto"/>
        </w:rPr>
      </w:pPr>
      <w:bookmarkStart w:id="625" w:name="_Hlk158377292"/>
      <w:bookmarkStart w:id="626" w:name="_Hlk147910753"/>
      <w:r>
        <w:rPr>
          <w:color w:val="auto"/>
        </w:rPr>
        <w:t xml:space="preserve">In addition, Wanyingi (2018) asserts that several undergraduate students lack knowledge on how to use search engines to retrieve information, don’t know the various information sources, and don’t understand information search strategies. This points to a lack of ILS.  Furthermore, Milton et al (2018) in his study observed that healthcare providers in Garissa County, Kenya did not have skills for information search in health information databases, could not analyze and comprehend digital data, and there was an absence of supportive policies and programs that promoted a culture of enhanced information seeking behavior among health professionals. This demonstrates an apparent absence of ILS among medical experts. Similarly, Oketch et al. (2010) declare that healthcare professionals seek information only when it is required and that a big fraction of it is not available/reliable. Furthermore, Oketch et al (2010) state that healthcare professionals rely on observation, advice from peers, and empirical experience gained from treatment success and failure. As a result, according to </w:t>
      </w:r>
      <w:r>
        <w:rPr>
          <w:color w:val="222222"/>
          <w:shd w:val="clear" w:color="auto" w:fill="FFFFFF"/>
        </w:rPr>
        <w:t>Osei</w:t>
      </w:r>
      <w:r>
        <w:rPr>
          <w:color w:val="auto"/>
        </w:rPr>
        <w:t xml:space="preserve"> (2017), many fatalities may have been averted if healthcare professionals had sufficient ILS to enable them to access relevant and trustworthy health information.</w:t>
      </w:r>
      <w:bookmarkEnd w:id="625"/>
    </w:p>
    <w:p w14:paraId="6CD40381" w14:textId="77777777" w:rsidR="00B01D46" w:rsidRDefault="0067013E">
      <w:pPr>
        <w:pStyle w:val="Default"/>
        <w:spacing w:before="120" w:line="480" w:lineRule="auto"/>
        <w:ind w:right="65"/>
        <w:jc w:val="both"/>
        <w:rPr>
          <w:color w:val="auto"/>
        </w:rPr>
      </w:pPr>
      <w:r>
        <w:rPr>
          <w:color w:val="auto"/>
        </w:rPr>
        <w:lastRenderedPageBreak/>
        <w:t xml:space="preserve">Odini (2000) alludes that many students joining higher education institutions from secondary schools, often have limited information skills because of poorly run and developed school libraries. These students don’t have the prerequisite ILS required to enable them to utilize information material available at institutions of higher learning. Additionally, Gatero (2009) in his study on the utilization of e-resources among nurses at the Kenyatta National Hospital, Kenya, found out that many nurses were unaware of how to search e-databases and as such they relied on their colleagues to help them carry out assigned duties. Similarly, </w:t>
      </w:r>
      <w:r>
        <w:rPr>
          <w:color w:val="222222"/>
          <w:shd w:val="clear" w:color="auto" w:fill="FFFFFF"/>
        </w:rPr>
        <w:t xml:space="preserve">Ogwu, (2020); </w:t>
      </w:r>
      <w:r>
        <w:rPr>
          <w:color w:val="auto"/>
        </w:rPr>
        <w:t xml:space="preserve">Nyamboga (2002); Kavulya (2003); Odero (2009); and Kanguha (2016); aver that many students at universities rely on lecture notes because they don’t have competencies to access and retrieve relevant information about their pertinent information requirements. This points to the absence of ILS. The Sauce Model under the essential skills variable/ facet posits that to be information literate, one must be able to find, access, gather, understand, evaluate, and critique pertinent information. One must also be able to use this knowledge to make sound decisions and, when needed, to communicate those decisions with the appropriate validation </w:t>
      </w:r>
      <w:r>
        <w:t>(Bond, 2011).</w:t>
      </w:r>
    </w:p>
    <w:p w14:paraId="1C976014" w14:textId="77777777" w:rsidR="00B01D46" w:rsidRDefault="0067013E">
      <w:pPr>
        <w:pStyle w:val="Default"/>
        <w:spacing w:before="120" w:after="240" w:line="480" w:lineRule="auto"/>
        <w:ind w:right="65"/>
        <w:jc w:val="both"/>
        <w:rPr>
          <w:color w:val="auto"/>
        </w:rPr>
      </w:pPr>
      <w:r>
        <w:t>From the literature Cornwall (2011); Nyamboga (2002); Kimani (2014); Kavulya (2003); Steinert (2014); Kanguha (2016); Shabi, Shabi, Akewukereke, and Udofia (2011) study on utilization of internet medical databases endorse for more research to fully understand the ILS that students possess because most of them struggle to obtain, utilize and reference knowledge resources appropriately. Additionally, from the literature, Kanguha (2016) recommended that a study should be undertaken to ascertain the status of ILS among medical students because their program is problem- based and students are supposed to apply practically all the information learned when attending to patients, hence requiring sufficient ILS. This</w:t>
      </w:r>
      <w:r>
        <w:rPr>
          <w:color w:val="auto"/>
        </w:rPr>
        <w:t xml:space="preserve"> study therefore sought to </w:t>
      </w:r>
      <w:r>
        <w:rPr>
          <w:color w:val="auto"/>
        </w:rPr>
        <w:lastRenderedPageBreak/>
        <w:t>fill this gap by determining the current status regarding ILS by asking specific questions on whether students are capable of finding, retrieving, storing, and sharing information;  do the learners know how to search the electronic databases; do the patrons have sufficient access to material and equipment necessary to retrieve information; do learners have the know-how to use retrieved information ethically and legally; do students know how to use ILS for critical thinking and problem-solving; and are the learners engaging in collaborative learning with peers among others.</w:t>
      </w:r>
    </w:p>
    <w:p w14:paraId="764DAE9D" w14:textId="77777777" w:rsidR="00B01D46" w:rsidRDefault="0067013E">
      <w:pPr>
        <w:pStyle w:val="Heading2"/>
      </w:pPr>
      <w:bookmarkStart w:id="627" w:name="_Toc165367621"/>
      <w:bookmarkStart w:id="628" w:name="_Toc165365150"/>
      <w:bookmarkStart w:id="629" w:name="_Toc164663996"/>
      <w:bookmarkStart w:id="630" w:name="_Toc165897999"/>
      <w:bookmarkStart w:id="631" w:name="_Toc165369163"/>
      <w:bookmarkStart w:id="632" w:name="_Toc165364883"/>
      <w:bookmarkStart w:id="633" w:name="_Toc165975768"/>
      <w:bookmarkStart w:id="634" w:name="_Toc184272871"/>
      <w:bookmarkStart w:id="635" w:name="_Toc165368347"/>
      <w:bookmarkStart w:id="636" w:name="_Toc165973047"/>
      <w:bookmarkEnd w:id="626"/>
      <w:r>
        <w:t>3.5 ILS Policy and Curricula Facilitating ILS in Universities</w:t>
      </w:r>
      <w:bookmarkEnd w:id="627"/>
      <w:bookmarkEnd w:id="628"/>
      <w:bookmarkEnd w:id="629"/>
      <w:bookmarkEnd w:id="630"/>
      <w:bookmarkEnd w:id="631"/>
      <w:bookmarkEnd w:id="632"/>
      <w:bookmarkEnd w:id="633"/>
      <w:bookmarkEnd w:id="634"/>
      <w:bookmarkEnd w:id="635"/>
      <w:bookmarkEnd w:id="636"/>
    </w:p>
    <w:p w14:paraId="1D30A497" w14:textId="0DE02B1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Sharma </w:t>
      </w:r>
      <w:r w:rsidR="00C576F1">
        <w:rPr>
          <w:rFonts w:ascii="Times New Roman" w:hAnsi="Times New Roman" w:cs="Times New Roman"/>
          <w:color w:val="222222"/>
          <w:sz w:val="24"/>
          <w:szCs w:val="24"/>
          <w:shd w:val="clear" w:color="auto" w:fill="FFFFFF"/>
        </w:rPr>
        <w:t>&amp;</w:t>
      </w:r>
      <w:r>
        <w:rPr>
          <w:rFonts w:ascii="Times New Roman" w:hAnsi="Times New Roman" w:cs="Times New Roman"/>
          <w:color w:val="222222"/>
          <w:sz w:val="24"/>
          <w:szCs w:val="24"/>
          <w:shd w:val="clear" w:color="auto" w:fill="FFFFFF"/>
        </w:rPr>
        <w:t xml:space="preserve"> Upadhyay</w:t>
      </w:r>
      <w:r>
        <w:rPr>
          <w:rFonts w:ascii="Times New Roman" w:hAnsi="Times New Roman" w:cs="Times New Roman"/>
          <w:sz w:val="24"/>
          <w:szCs w:val="24"/>
        </w:rPr>
        <w:t xml:space="preserve"> (2021) asserts that higher education in the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century requires strong components of ILS in their curricula to produce ILS-competent graduates. He further states that the level of ILS competency in a student is determined to a greater extent by the ILS policy and curriculum in place that guide in crafting the ILS curriculum, ILS content delivery, facilitation on ILS evaluation, application of ICT to enhance and deliver ILS to students and the collaboration mechanisms between librarians and lecturers (ACRL, 2010). </w:t>
      </w:r>
    </w:p>
    <w:p w14:paraId="6E26E987" w14:textId="77777777" w:rsidR="00B01D46" w:rsidRDefault="00B01D46">
      <w:pPr>
        <w:spacing w:after="0" w:line="240" w:lineRule="auto"/>
        <w:ind w:right="65"/>
        <w:jc w:val="both"/>
        <w:rPr>
          <w:rFonts w:ascii="Times New Roman" w:hAnsi="Times New Roman" w:cs="Times New Roman"/>
          <w:sz w:val="24"/>
          <w:szCs w:val="24"/>
        </w:rPr>
      </w:pPr>
    </w:p>
    <w:p w14:paraId="65D9D47B" w14:textId="77777777" w:rsidR="00B01D46" w:rsidRDefault="0067013E">
      <w:pPr>
        <w:pStyle w:val="Heading3"/>
        <w:ind w:left="720" w:hanging="720"/>
      </w:pPr>
      <w:bookmarkStart w:id="637" w:name="_Toc165367622"/>
      <w:bookmarkStart w:id="638" w:name="_Toc165975769"/>
      <w:bookmarkStart w:id="639" w:name="_Toc165368348"/>
      <w:bookmarkStart w:id="640" w:name="_Toc164663997"/>
      <w:bookmarkStart w:id="641" w:name="_Toc165365151"/>
      <w:bookmarkStart w:id="642" w:name="_Toc165369164"/>
      <w:bookmarkStart w:id="643" w:name="_Toc184272872"/>
      <w:bookmarkStart w:id="644" w:name="_Toc165973048"/>
      <w:bookmarkStart w:id="645" w:name="_Toc165364884"/>
      <w:bookmarkStart w:id="646" w:name="_Toc165898000"/>
      <w:r>
        <w:t>3.5.1 Policy and Regulatory Framework available to Facilitate ILS in Universities</w:t>
      </w:r>
      <w:bookmarkEnd w:id="637"/>
      <w:bookmarkEnd w:id="638"/>
      <w:bookmarkEnd w:id="639"/>
      <w:bookmarkEnd w:id="640"/>
      <w:bookmarkEnd w:id="641"/>
      <w:bookmarkEnd w:id="642"/>
      <w:bookmarkEnd w:id="643"/>
      <w:bookmarkEnd w:id="644"/>
      <w:bookmarkEnd w:id="645"/>
      <w:bookmarkEnd w:id="646"/>
    </w:p>
    <w:p w14:paraId="70B95703" w14:textId="77777777" w:rsidR="00B01D46" w:rsidRDefault="0067013E">
      <w:pPr>
        <w:tabs>
          <w:tab w:val="left" w:pos="2947"/>
        </w:tabs>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To support ILS in universities, IFLA developed an exhaustive paper in 2014 outlining the legal and policy framework to guide and facilitate ILS in educational institutions</w:t>
      </w:r>
      <w:r>
        <w:rPr>
          <w:rFonts w:ascii="Times New Roman" w:eastAsia="Calibri" w:hAnsi="Times New Roman" w:cs="Times New Roman"/>
          <w:b/>
          <w:sz w:val="24"/>
          <w:szCs w:val="24"/>
        </w:rPr>
        <w:t xml:space="preserve">. </w:t>
      </w:r>
      <w:r>
        <w:rPr>
          <w:rFonts w:ascii="Times New Roman" w:eastAsia="Calibri" w:hAnsi="Times New Roman" w:cs="Times New Roman"/>
          <w:bCs/>
          <w:sz w:val="24"/>
          <w:szCs w:val="24"/>
        </w:rPr>
        <w:t>The paper covers guidelines and standards established for ILS instruction and implementation</w:t>
      </w:r>
      <w:r>
        <w:rPr>
          <w:rFonts w:ascii="Times New Roman" w:eastAsia="Calibri" w:hAnsi="Times New Roman" w:cs="Times New Roman"/>
          <w:b/>
          <w:sz w:val="24"/>
          <w:szCs w:val="24"/>
        </w:rPr>
        <w:t>.</w:t>
      </w:r>
      <w:r>
        <w:rPr>
          <w:rFonts w:ascii="Times New Roman" w:hAnsi="Times New Roman" w:cs="Times New Roman"/>
          <w:sz w:val="24"/>
          <w:szCs w:val="24"/>
        </w:rPr>
        <w:t xml:space="preserve"> Moreover, </w:t>
      </w:r>
      <w:r>
        <w:rPr>
          <w:rFonts w:ascii="Times New Roman" w:hAnsi="Times New Roman" w:cs="Times New Roman"/>
          <w:color w:val="222222"/>
          <w:sz w:val="24"/>
          <w:szCs w:val="24"/>
          <w:shd w:val="clear" w:color="auto" w:fill="FFFFFF"/>
        </w:rPr>
        <w:t>Gitonga (2015) </w:t>
      </w:r>
      <w:r>
        <w:rPr>
          <w:rFonts w:ascii="Times New Roman" w:hAnsi="Times New Roman" w:cs="Times New Roman"/>
          <w:sz w:val="24"/>
          <w:szCs w:val="24"/>
        </w:rPr>
        <w:t xml:space="preserve">acknowledges that information literacy standards are broad student outcomes that describe an information-literate student. Similarly, Kingori (2015) alludes that performance indicators, levels of efficiency, </w:t>
      </w:r>
      <w:r>
        <w:rPr>
          <w:rFonts w:ascii="Times New Roman" w:hAnsi="Times New Roman" w:cs="Times New Roman"/>
          <w:sz w:val="24"/>
          <w:szCs w:val="24"/>
        </w:rPr>
        <w:lastRenderedPageBreak/>
        <w:t xml:space="preserve">and examples are provided by the IFLA standards to enable library specialists to measure students’ competencies at various levels. </w:t>
      </w:r>
    </w:p>
    <w:p w14:paraId="114BF040"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Universities across the world have adopted a variety of ILS standards and guidelines that recommend the several ILS that students need to possess and demonstrate (Mokhtar &amp; Majid, 2008).</w:t>
      </w:r>
    </w:p>
    <w:p w14:paraId="294C78EE" w14:textId="77777777" w:rsidR="00B01D46" w:rsidRDefault="0067013E">
      <w:pPr>
        <w:tabs>
          <w:tab w:val="left" w:pos="2947"/>
        </w:tabs>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In Kenya, The Universities Act No. 42 of 2012 and the Universities Standards and Guidelines (2014) are two documents that emphasize how crucial it is for undergraduates to possess the right ILS to organize and utilize information efficiently. The Commission for University Education (CUE) in 2007, published standards and guidelines for university libraries in Kenya. The fourth section of the guidelines stated that universities should “motivate lifelong learning through the integration of the best conventional resources with innovative methods and technologies, and also facilitate academic success.”</w:t>
      </w:r>
    </w:p>
    <w:p w14:paraId="75C80658"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Nonetheless, Kanguha's (2016) research on information literacy learning experiences of fourth year psychology students in Kenyan universities found that a further reason for Kenyan undergraduate students' undeveloped ILS was the lack of an institutional or national ILS policy framework. This is in consistent with the results of a study conducted by Katundu (2004) on information literacy skills in two Tanzanian public universities. She discovered that there was a lack of a policy framework for ILS training. And that attempts to integrate library instruction, orientation, or user education failed to produce a workable policy, that would have allowed for the development of an all-around individual user who could locate, assess, use, create, organize, or share information. </w:t>
      </w:r>
      <w:bookmarkStart w:id="647" w:name="_Hlk115126001"/>
      <w:r>
        <w:rPr>
          <w:rFonts w:ascii="Times New Roman" w:hAnsi="Times New Roman" w:cs="Times New Roman"/>
          <w:sz w:val="24"/>
          <w:szCs w:val="24"/>
        </w:rPr>
        <w:t>Furthermore, researchers like Kavulya (2003), </w:t>
      </w:r>
      <w:r>
        <w:rPr>
          <w:rFonts w:ascii="Times New Roman" w:hAnsi="Times New Roman" w:cs="Times New Roman"/>
          <w:color w:val="222222"/>
          <w:sz w:val="24"/>
          <w:szCs w:val="24"/>
          <w:shd w:val="clear" w:color="auto" w:fill="FFFFFF"/>
        </w:rPr>
        <w:t xml:space="preserve">Gitonga (2015), </w:t>
      </w:r>
      <w:r>
        <w:rPr>
          <w:rFonts w:ascii="Times New Roman" w:hAnsi="Times New Roman" w:cs="Times New Roman"/>
          <w:sz w:val="24"/>
          <w:szCs w:val="24"/>
        </w:rPr>
        <w:t xml:space="preserve">Mathangani, (2019) and Kingori (2015), point out that a </w:t>
      </w:r>
      <w:r>
        <w:rPr>
          <w:rFonts w:ascii="Times New Roman" w:hAnsi="Times New Roman" w:cs="Times New Roman"/>
          <w:sz w:val="24"/>
          <w:szCs w:val="24"/>
        </w:rPr>
        <w:lastRenderedPageBreak/>
        <w:t xml:space="preserve">major obstacle to ILS training and education in Kenya is the absence of ILS policies and curriculum. As a consequence, </w:t>
      </w:r>
      <w:r>
        <w:rPr>
          <w:rFonts w:ascii="Times New Roman" w:hAnsi="Times New Roman" w:cs="Times New Roman"/>
          <w:color w:val="222222"/>
          <w:sz w:val="24"/>
          <w:szCs w:val="24"/>
          <w:shd w:val="clear" w:color="auto" w:fill="FFFFFF"/>
        </w:rPr>
        <w:t xml:space="preserve">Gitonga (2015) study on information literacy education: perceptions, proficiencies and experiences which adopted a mixed method approach </w:t>
      </w:r>
      <w:r>
        <w:rPr>
          <w:rFonts w:ascii="Times New Roman" w:hAnsi="Times New Roman" w:cs="Times New Roman"/>
          <w:sz w:val="24"/>
          <w:szCs w:val="24"/>
        </w:rPr>
        <w:t xml:space="preserve">assert that the majority of African libraries and educational institutions employ standards created in Western countries that do not represent African requirements and are thus never appropriate for the region. </w:t>
      </w:r>
    </w:p>
    <w:bookmarkEnd w:id="647"/>
    <w:p w14:paraId="15A84D8A"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In the same breath, Kavulya (2003) research study on challenges facing information literacy efforts in Kenya asserts that attempts to incorporate orientation, user instruction, or library training in universities have not been effective in producing an all-around individual patron who can locate, assess, utilize, produce, arrange, or exchange information. As such, Katundu (2004) study that adopted mixed method approach on mainstreaming information literacy across university curricula in Tanzania found out that before developing an ILS policy and curriculum for ILS delivery, training, and learning in universities it is essential to carry out a user ILS needs survey. Similarly, Kavulya (2003) asserts that ILS instructions are delivered in a theoretical way since the insight gained cannot be applied right away and that library teachings are library-centered rather than information-centered. Therefore, before beginning ILS instruction, it is vital to ascertain the student's degree of competency.</w:t>
      </w:r>
    </w:p>
    <w:p w14:paraId="74B36C70"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 In addition, the Bruce Six frames theory supports these sentiments by stating that the ILS curriculum should be developed and experienced variously in line with the prevailing conditions of the learning environment. Therefore, Bruce’s Six frames model through the relational variable states that developers of an ILS curriculum ought to consider ILS as a set of several information-interacting methods which are objective, subjective, or transformational.  </w:t>
      </w:r>
    </w:p>
    <w:p w14:paraId="22540591"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lastRenderedPageBreak/>
        <w:t xml:space="preserve">In addition, researchers such as Weber (2000) </w:t>
      </w:r>
      <w:r>
        <w:rPr>
          <w:rStyle w:val="Strong"/>
          <w:rFonts w:ascii="Times New Roman" w:hAnsi="Times New Roman" w:cs="Times New Roman"/>
          <w:b w:val="0"/>
          <w:bCs w:val="0"/>
          <w:sz w:val="24"/>
          <w:szCs w:val="24"/>
        </w:rPr>
        <w:t>and</w:t>
      </w:r>
      <w:r>
        <w:rPr>
          <w:rFonts w:ascii="Times New Roman" w:hAnsi="Times New Roman" w:cs="Times New Roman"/>
          <w:sz w:val="24"/>
          <w:szCs w:val="24"/>
        </w:rPr>
        <w:t xml:space="preserve"> Washer (2007) have proposed t</w:t>
      </w:r>
      <w:r>
        <w:rPr>
          <w:rFonts w:ascii="Times New Roman" w:hAnsi="Times New Roman" w:cs="Times New Roman"/>
          <w:iCs/>
          <w:sz w:val="24"/>
          <w:szCs w:val="24"/>
        </w:rPr>
        <w:t>he Key Skills Agenda Initiative as a policy that needs to be adopted in ILS training and learning in institutions for higher learning.</w:t>
      </w:r>
      <w:r>
        <w:rPr>
          <w:rFonts w:ascii="Times New Roman" w:hAnsi="Times New Roman" w:cs="Times New Roman"/>
          <w:sz w:val="24"/>
          <w:szCs w:val="24"/>
        </w:rPr>
        <w:t xml:space="preserve"> Weber (2000) observes that the “key skills” agenda is a recurrent theme in initiatives for UK higher education. According to Washer (2007), the “proponents of the skills agenda in industry and government argue that changes are needed in the focus of university learning and teaching to prepare graduates for employment and lifelong learning in the face of fast-moving changes in knowledge.” This agenda aims to make graduates more employable or equip them with the skills that employers want. The National Committee of Inquiry into Higher Education (Washer, 2007), listed the following as "essential skills in ILS which ought to be incorporated into the ILS policy” that is information technology, communication, numeracy, and learning how to study. Additionally, the report advocated for the promotion of ICT innovation in curriculum design and instruction and essential skills to improve content learning. These are the key tenets in the Sauce Model as advanced in 2011.</w:t>
      </w:r>
    </w:p>
    <w:p w14:paraId="0C664F57"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Furthermore, Katundu (2004) states that many initiatives at the University of Sokoine and Dar-es-Salaam University have not been successive to develop an all-round lifelong learner because no ILS policy makes ILS training a credit-bearing course. This is a gap that this research sought to fill.</w:t>
      </w:r>
    </w:p>
    <w:p w14:paraId="4BFE70E8" w14:textId="77777777" w:rsidR="00B01D46" w:rsidRDefault="00B01D46">
      <w:pPr>
        <w:spacing w:after="0" w:line="240" w:lineRule="auto"/>
        <w:ind w:right="65"/>
        <w:jc w:val="both"/>
        <w:rPr>
          <w:rFonts w:ascii="Times New Roman" w:hAnsi="Times New Roman" w:cs="Times New Roman"/>
          <w:sz w:val="24"/>
          <w:szCs w:val="24"/>
        </w:rPr>
      </w:pPr>
    </w:p>
    <w:p w14:paraId="7B3E45E0" w14:textId="77777777" w:rsidR="00B01D46" w:rsidRDefault="0067013E">
      <w:pPr>
        <w:pStyle w:val="Heading3"/>
      </w:pPr>
      <w:bookmarkStart w:id="648" w:name="_Toc165367623"/>
      <w:bookmarkStart w:id="649" w:name="_Toc164663998"/>
      <w:bookmarkStart w:id="650" w:name="_Toc165368349"/>
      <w:bookmarkStart w:id="651" w:name="_Toc165898001"/>
      <w:bookmarkStart w:id="652" w:name="_Toc184272873"/>
      <w:bookmarkStart w:id="653" w:name="_Toc165369165"/>
      <w:bookmarkStart w:id="654" w:name="_Toc165973049"/>
      <w:bookmarkStart w:id="655" w:name="_Toc165364885"/>
      <w:bookmarkStart w:id="656" w:name="_Toc165975770"/>
      <w:bookmarkStart w:id="657" w:name="_Toc165365152"/>
      <w:r>
        <w:t>3.5.2 Information Literacy Skills Curriculum</w:t>
      </w:r>
      <w:bookmarkEnd w:id="648"/>
      <w:bookmarkEnd w:id="649"/>
      <w:bookmarkEnd w:id="650"/>
      <w:bookmarkEnd w:id="651"/>
      <w:bookmarkEnd w:id="652"/>
      <w:bookmarkEnd w:id="653"/>
      <w:bookmarkEnd w:id="654"/>
      <w:bookmarkEnd w:id="655"/>
      <w:bookmarkEnd w:id="656"/>
      <w:bookmarkEnd w:id="657"/>
    </w:p>
    <w:p w14:paraId="1F0B9B29"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According to Dunn (2002), it has been clear since the beginning of the information age that learners cannot learn what they require for university from the suggested textbooks. They require additional knowledge from different information materials that are available in numerous formats. As a result, for learners to study </w:t>
      </w:r>
      <w:r>
        <w:rPr>
          <w:rFonts w:ascii="Times New Roman" w:hAnsi="Times New Roman" w:cs="Times New Roman"/>
          <w:sz w:val="24"/>
          <w:szCs w:val="24"/>
        </w:rPr>
        <w:lastRenderedPageBreak/>
        <w:t xml:space="preserve">independently, they need to get instruction in ILS (Baro et al, 2013). Over decades, various kinds of user education programs have been developed around the globe, and the information literacy literature is replete with research on these programs. The overarching subject is on how to make ILS programs better, not whether or not to offer them. According to Lanning (2017), students become information-competent if the right ILS curriculum is in place.  </w:t>
      </w:r>
    </w:p>
    <w:p w14:paraId="1B4C463E" w14:textId="77777777" w:rsidR="00B01D46" w:rsidRDefault="0067013E">
      <w:pPr>
        <w:spacing w:before="120" w:after="0" w:line="480" w:lineRule="auto"/>
        <w:ind w:right="65"/>
        <w:jc w:val="both"/>
        <w:rPr>
          <w:rFonts w:ascii="Times New Roman" w:hAnsi="Times New Roman" w:cs="Times New Roman"/>
          <w:color w:val="000000"/>
          <w:sz w:val="24"/>
          <w:szCs w:val="24"/>
        </w:rPr>
      </w:pPr>
      <w:r>
        <w:rPr>
          <w:rFonts w:ascii="Times New Roman" w:hAnsi="Times New Roman" w:cs="Times New Roman"/>
          <w:color w:val="000000"/>
          <w:sz w:val="24"/>
          <w:szCs w:val="24"/>
        </w:rPr>
        <w:t>Bruce’s Six Frames model under the relational facet advocates for the design of an information literacy curriculum that helps learners develop imperative competencies that enable them to discern powerful strategies for analyzing an area of study, thereby becoming long-life learners with prudent problem-solving abilities (</w:t>
      </w:r>
      <w:r>
        <w:rPr>
          <w:rStyle w:val="contribdegrees"/>
          <w:rFonts w:ascii="Times New Roman" w:hAnsi="Times New Roman" w:cs="Times New Roman"/>
          <w:sz w:val="24"/>
          <w:szCs w:val="24"/>
        </w:rPr>
        <w:t>Bruce, Edwards &amp; Lupton,</w:t>
      </w:r>
      <w:r>
        <w:rPr>
          <w:rFonts w:ascii="Times New Roman" w:eastAsia="Times New Roman" w:hAnsi="Times New Roman" w:cs="Times New Roman"/>
          <w:sz w:val="24"/>
          <w:szCs w:val="24"/>
        </w:rPr>
        <w:t xml:space="preserve"> </w:t>
      </w:r>
      <w:r>
        <w:rPr>
          <w:rFonts w:ascii="Times New Roman" w:hAnsi="Times New Roman" w:cs="Times New Roman"/>
          <w:sz w:val="24"/>
          <w:szCs w:val="24"/>
        </w:rPr>
        <w:t>2015).</w:t>
      </w:r>
      <w:r>
        <w:rPr>
          <w:rFonts w:ascii="Times New Roman" w:hAnsi="Times New Roman" w:cs="Times New Roman"/>
          <w:color w:val="000000"/>
          <w:sz w:val="24"/>
          <w:szCs w:val="24"/>
        </w:rPr>
        <w:t xml:space="preserve"> </w:t>
      </w:r>
    </w:p>
    <w:p w14:paraId="582F83E6" w14:textId="6BE1BDA3" w:rsidR="00B01D46" w:rsidRDefault="0067013E">
      <w:pPr>
        <w:pStyle w:val="NormalWeb"/>
        <w:spacing w:before="120" w:beforeAutospacing="0" w:after="0" w:afterAutospacing="0" w:line="480" w:lineRule="auto"/>
        <w:ind w:right="65"/>
        <w:jc w:val="both"/>
      </w:pPr>
      <w:r>
        <w:t xml:space="preserve">ILS has not received the credit it deserves in African universities' curricula (Ojedokun &amp; Lumande, 2005). In addition, very few universities have taken it seriously and offer ILS as a credit subject (Bury, 2016; Rasaki, 2008). Furthermore, Dulle (2004); De Jager </w:t>
      </w:r>
      <w:r w:rsidR="00087317">
        <w:t>&amp;</w:t>
      </w:r>
      <w:r>
        <w:t xml:space="preserve"> Nassimbeni (2005) study on ILS and quality assurance in African institutions of higher learning, which adopted a concurrent mixed methods approach revealed that most African universities offer user training and library orientation and that the majority of them lack the potential to develop information users with appropriate ILS qualities and there is minimal evidence of institutional devotion to ILS instruction and learning.</w:t>
      </w:r>
    </w:p>
    <w:p w14:paraId="31E4046B" w14:textId="77777777" w:rsidR="00B01D46" w:rsidRDefault="0067013E">
      <w:pPr>
        <w:pStyle w:val="BodyText"/>
        <w:spacing w:before="120" w:line="480" w:lineRule="auto"/>
        <w:ind w:right="65"/>
      </w:pPr>
      <w:r>
        <w:t>In Kenya, Kavulya</w:t>
      </w:r>
      <w:r>
        <w:rPr>
          <w:lang w:val="en-US"/>
        </w:rPr>
        <w:t xml:space="preserve"> (</w:t>
      </w:r>
      <w:r>
        <w:t>2003)</w:t>
      </w:r>
      <w:r>
        <w:rPr>
          <w:lang w:val="en-US"/>
        </w:rPr>
        <w:t xml:space="preserve">, </w:t>
      </w:r>
      <w:r>
        <w:rPr>
          <w:color w:val="222222"/>
          <w:shd w:val="clear" w:color="auto" w:fill="FFFFFF"/>
        </w:rPr>
        <w:t>Gitonga (2015)</w:t>
      </w:r>
      <w:r>
        <w:rPr>
          <w:color w:val="222222"/>
          <w:shd w:val="clear" w:color="auto" w:fill="FFFFFF"/>
          <w:lang w:val="en-US"/>
        </w:rPr>
        <w:t xml:space="preserve">, </w:t>
      </w:r>
      <w:r>
        <w:rPr>
          <w:lang w:val="en-US"/>
        </w:rPr>
        <w:t xml:space="preserve">Kingori et al </w:t>
      </w:r>
      <w:r>
        <w:t xml:space="preserve"> (2013) acknowledge th</w:t>
      </w:r>
      <w:r>
        <w:rPr>
          <w:lang w:val="en-US"/>
        </w:rPr>
        <w:t xml:space="preserve">at universities have a </w:t>
      </w:r>
      <w:r>
        <w:t>library user education</w:t>
      </w:r>
      <w:r>
        <w:rPr>
          <w:lang w:val="en-US"/>
        </w:rPr>
        <w:t xml:space="preserve"> topic</w:t>
      </w:r>
      <w:r>
        <w:t xml:space="preserve"> </w:t>
      </w:r>
      <w:r>
        <w:rPr>
          <w:lang w:val="en-US"/>
        </w:rPr>
        <w:t xml:space="preserve">as </w:t>
      </w:r>
      <w:r>
        <w:t>a component of the communication skills course</w:t>
      </w:r>
      <w:r>
        <w:rPr>
          <w:lang w:val="en-US"/>
        </w:rPr>
        <w:t xml:space="preserve"> unit</w:t>
      </w:r>
      <w:r>
        <w:t xml:space="preserve"> which is imparted along with library reading,  information</w:t>
      </w:r>
      <w:r>
        <w:rPr>
          <w:lang w:val="en-US"/>
        </w:rPr>
        <w:t xml:space="preserve"> seeking, and</w:t>
      </w:r>
      <w:r>
        <w:t xml:space="preserve"> writing skills whose overall objective is to enable users to utilize the library</w:t>
      </w:r>
      <w:r>
        <w:rPr>
          <w:lang w:val="en-US"/>
        </w:rPr>
        <w:t xml:space="preserve"> </w:t>
      </w:r>
      <w:r>
        <w:rPr>
          <w:lang w:val="en-US"/>
        </w:rPr>
        <w:lastRenderedPageBreak/>
        <w:t>information</w:t>
      </w:r>
      <w:r>
        <w:t xml:space="preserve"> resources effectively. Additionally, Odini (2000) notes that Kenyan educational institutions provide a variety of ILS programs. These include library manuals and guides, personalized instruction</w:t>
      </w:r>
      <w:r>
        <w:rPr>
          <w:lang w:val="en-US"/>
        </w:rPr>
        <w:t xml:space="preserve">, </w:t>
      </w:r>
      <w:r>
        <w:t xml:space="preserve">reference services, library instruction courses, and library orientation. However, Kavulya (2003) notes that the time allocated for library orientation and user education is insufficient to teach new university students practical library skills. </w:t>
      </w:r>
    </w:p>
    <w:p w14:paraId="138A4C00" w14:textId="77777777" w:rsidR="00B01D46" w:rsidRDefault="0067013E">
      <w:pPr>
        <w:pStyle w:val="BodyText"/>
        <w:spacing w:before="120" w:line="480" w:lineRule="auto"/>
        <w:ind w:right="65"/>
        <w:rPr>
          <w:lang w:val="en-US"/>
        </w:rPr>
      </w:pPr>
      <w:r>
        <w:t>Baro (2013) proposes two ways to construct ILS curricula, namely integrated curriculum and compartmentalized curriculum. In the compartmentalized curriculum, ILS is imparted as a separate subject that can be found in the curricula at all academic levels. This model's courses often emphasize the early phases of the ILS paradigm, including recognizing the information required, locating that information and examining the information sources, content assessment, and applying information morally and lawfully for a given endeavor. While the integrated curriculum covers information skills in multiple fields of study and extracurricular activities.</w:t>
      </w:r>
      <w:r>
        <w:rPr>
          <w:color w:val="000000"/>
        </w:rPr>
        <w:t xml:space="preserve"> Correspondingly, the relational variable in Bruce's Six Frames Model, alludes that ILS curriculum content should assist students in finding fresh perspectives on a given phenomenon. </w:t>
      </w:r>
      <w:r>
        <w:t>From the literature, it is clear that there is no formal agreed method for effective ILS assessment and evaluation.</w:t>
      </w:r>
    </w:p>
    <w:p w14:paraId="3B924849"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color w:val="000000"/>
          <w:sz w:val="24"/>
          <w:szCs w:val="24"/>
        </w:rPr>
        <w:t xml:space="preserve">Moreover, </w:t>
      </w:r>
      <w:r>
        <w:rPr>
          <w:rFonts w:ascii="Times New Roman" w:hAnsi="Times New Roman" w:cs="Times New Roman"/>
          <w:color w:val="222222"/>
          <w:sz w:val="24"/>
          <w:szCs w:val="24"/>
          <w:shd w:val="clear" w:color="auto" w:fill="FFFFFF"/>
        </w:rPr>
        <w:t xml:space="preserve">Withorn et al (2021) and Anandhalli, (2018) state that institutions of higher learning should conduct ILS assessments to ascertain the adequacy of their ILS curriculum in attaining the objectives set in the curricula. Which is to effectively enhance the ILS of undergraduate students, among other objectives. Withorn et al (2021), defines three kinds of ILS evaluation methodologies based on whether the goal is to examine what learners have learned or their perception of ILS learning. First are the prescriptive or diagnostic methods which are used to test students' </w:t>
      </w:r>
      <w:r>
        <w:rPr>
          <w:rFonts w:ascii="Times New Roman" w:hAnsi="Times New Roman" w:cs="Times New Roman"/>
          <w:color w:val="222222"/>
          <w:sz w:val="24"/>
          <w:szCs w:val="24"/>
          <w:shd w:val="clear" w:color="auto" w:fill="FFFFFF"/>
        </w:rPr>
        <w:lastRenderedPageBreak/>
        <w:t xml:space="preserve">knowledge and skills before instruction. Examples include conventional assessments and a review of a student's previous work. The second is the formative evaluation approach which evaluates how well learners perform and gives comments whilst training is taking place. Based on the comments, the trainer can alter methods of instruction as the class develops. Examples include drafting brief reflection/reaction essays in response to a reading task. Third is the summative evaluation approach which is used to assess what has been learned once training has been completed. Some examples involve queries with multiple choices. </w:t>
      </w:r>
      <w:r>
        <w:rPr>
          <w:rFonts w:ascii="Times New Roman" w:hAnsi="Times New Roman" w:cs="Times New Roman"/>
          <w:sz w:val="24"/>
          <w:szCs w:val="24"/>
        </w:rPr>
        <w:t xml:space="preserve">According to Coulter et al (2017); Gross &amp; Latham (2019); and Hoffmann &amp; Labonte (2012) ILS assessment and evaluation techniques involve quizzes, questionnaires with multiple choices, evaluation of portfolios, self-evaluation essays, simulations, observation, final grades, group discussions, and courses that require students to synthesize and use their knowledge through essays and reflective thinking. </w:t>
      </w:r>
    </w:p>
    <w:p w14:paraId="75EBD968" w14:textId="77777777" w:rsidR="00B01D46" w:rsidRDefault="0067013E">
      <w:pPr>
        <w:pStyle w:val="BodyText"/>
        <w:spacing w:before="120" w:line="480" w:lineRule="auto"/>
        <w:ind w:right="65"/>
        <w:rPr>
          <w:lang w:val="en-US"/>
        </w:rPr>
      </w:pPr>
      <w:r>
        <w:rPr>
          <w:lang w:val="en-US"/>
        </w:rPr>
        <w:t>Furthermore, literature has shown the unavailability of standard assessment techniques to ascertain the effectiveness of the ILS curriculum. Additionally, many</w:t>
      </w:r>
      <w:r>
        <w:rPr>
          <w:b/>
          <w:bCs/>
          <w:lang w:val="en-US"/>
        </w:rPr>
        <w:t xml:space="preserve"> </w:t>
      </w:r>
      <w:r>
        <w:rPr>
          <w:lang w:val="en-US"/>
        </w:rPr>
        <w:t>learners engage in plagiarism, have inadequate critical thinking skills, have deficient information evaluation techniques, don’t know information search strategies, do not understand intellectual property rights, relying heavily on Google as the main source of information.</w:t>
      </w:r>
      <w:r>
        <w:t xml:space="preserve"> This is a clear indication of absence of ILS competencies hence low utilization of </w:t>
      </w:r>
      <w:r>
        <w:rPr>
          <w:lang w:val="en-US"/>
        </w:rPr>
        <w:t>ILS</w:t>
      </w:r>
      <w:r>
        <w:t xml:space="preserve"> in accessing, evaluating, and of information </w:t>
      </w:r>
      <w:r>
        <w:rPr>
          <w:lang w:val="en-US"/>
        </w:rPr>
        <w:t>materials</w:t>
      </w:r>
      <w:r>
        <w:t xml:space="preserve"> in Kenya hence this study will help bridge this gap. This study therefore </w:t>
      </w:r>
      <w:r>
        <w:rPr>
          <w:lang w:val="en-US"/>
        </w:rPr>
        <w:t>sought to find out the adequacy of ILS content covered by the ILS curricula, its relevancy in enhancing ILS among medical undergraduate students, mode of ILS delivery</w:t>
      </w:r>
      <w:r>
        <w:t xml:space="preserve"> to come up with </w:t>
      </w:r>
      <w:r>
        <w:rPr>
          <w:lang w:val="en-US"/>
        </w:rPr>
        <w:t>strategies to</w:t>
      </w:r>
      <w:r>
        <w:t xml:space="preserve"> solve the challenges revealed in this section.</w:t>
      </w:r>
    </w:p>
    <w:p w14:paraId="74005028" w14:textId="77777777" w:rsidR="00B01D46" w:rsidRDefault="00B01D46">
      <w:pPr>
        <w:pStyle w:val="BodyText"/>
        <w:spacing w:line="240" w:lineRule="auto"/>
        <w:ind w:right="65"/>
        <w:rPr>
          <w:lang w:val="en-US"/>
        </w:rPr>
      </w:pPr>
    </w:p>
    <w:p w14:paraId="4B100598" w14:textId="77777777" w:rsidR="00B01D46" w:rsidRDefault="0067013E">
      <w:pPr>
        <w:pStyle w:val="Heading2"/>
      </w:pPr>
      <w:bookmarkStart w:id="658" w:name="_Toc164663999"/>
      <w:bookmarkStart w:id="659" w:name="_Toc165975771"/>
      <w:bookmarkStart w:id="660" w:name="_Toc165369166"/>
      <w:bookmarkStart w:id="661" w:name="_Toc165973050"/>
      <w:bookmarkStart w:id="662" w:name="_Toc165365153"/>
      <w:bookmarkStart w:id="663" w:name="_Toc165898002"/>
      <w:bookmarkStart w:id="664" w:name="_Toc165364886"/>
      <w:bookmarkStart w:id="665" w:name="_Toc165368350"/>
      <w:bookmarkStart w:id="666" w:name="_Toc184272874"/>
      <w:bookmarkStart w:id="667" w:name="_Toc165367624"/>
      <w:r>
        <w:lastRenderedPageBreak/>
        <w:t>3.6 ILS Understanding</w:t>
      </w:r>
      <w:bookmarkEnd w:id="658"/>
      <w:bookmarkEnd w:id="659"/>
      <w:bookmarkEnd w:id="660"/>
      <w:bookmarkEnd w:id="661"/>
      <w:bookmarkEnd w:id="662"/>
      <w:bookmarkEnd w:id="663"/>
      <w:bookmarkEnd w:id="664"/>
      <w:bookmarkEnd w:id="665"/>
      <w:bookmarkEnd w:id="666"/>
      <w:bookmarkEnd w:id="667"/>
    </w:p>
    <w:p w14:paraId="40B363D2" w14:textId="77777777" w:rsidR="00B01D46" w:rsidRDefault="0067013E">
      <w:pPr>
        <w:pStyle w:val="BodyText"/>
        <w:spacing w:line="480" w:lineRule="auto"/>
        <w:ind w:right="65"/>
      </w:pPr>
      <w:r>
        <w:t xml:space="preserve">According to ACRL (2016), every person who wants to prosper in the information age must know and understand the rapidly changing information technologies, and have the necessary ILS. To properly do this, an individual needs, among other things, to improve their understanding of ILS. An individual’s mindset affects altitude and every detail in life. It influences how people react to events and impacts choices and behaviors (Ondari-Okemwa, 2016). Understanding, or attitude, encompasses a person's viewpoints, traits, preferences, and beliefs. </w:t>
      </w:r>
      <w:r>
        <w:rPr>
          <w:color w:val="222222"/>
          <w:shd w:val="clear" w:color="auto" w:fill="FFFFFF"/>
        </w:rPr>
        <w:t>Amunga</w:t>
      </w:r>
      <w:r>
        <w:rPr>
          <w:rFonts w:eastAsiaTheme="minorEastAsia" w:hint="eastAsia"/>
          <w:color w:val="222222"/>
          <w:shd w:val="clear" w:color="auto" w:fill="FFFFFF"/>
        </w:rPr>
        <w:t xml:space="preserve"> </w:t>
      </w:r>
      <w:r>
        <w:rPr>
          <w:color w:val="222222"/>
          <w:shd w:val="clear" w:color="auto" w:fill="FFFFFF"/>
        </w:rPr>
        <w:t>(2011)</w:t>
      </w:r>
      <w:r>
        <w:rPr>
          <w:color w:val="222222"/>
          <w:shd w:val="clear" w:color="auto" w:fill="FFFFFF"/>
          <w:lang w:val="en-US"/>
        </w:rPr>
        <w:t xml:space="preserve"> </w:t>
      </w:r>
      <w:r>
        <w:t xml:space="preserve">defines understanding as the behavior you exhibit towards someone or something; this reflects your feelings and your thought process. Tella and Bashorun (2012) define understanding as an interior mental condition that influences conduct that  relies on someone's expertise and its application in a new circumstance. According to Gajalakshmi (2013), attitudes towards a certain thing are composed of three primary elements: emotional (our feelings), intellectual (our thinking abilities), and behavior (our actions). Adekunle, Ogie, </w:t>
      </w:r>
      <w:r>
        <w:rPr>
          <w:rFonts w:eastAsiaTheme="minorEastAsia"/>
          <w:lang w:val="en-US"/>
        </w:rPr>
        <w:t>and</w:t>
      </w:r>
      <w:r>
        <w:t xml:space="preserve"> Tella (2007) define understanding as dispositions and sentiments, biases or prejudice, predetermined beliefs, thoughts, anxieties, and beliefs regarding a certain issue.</w:t>
      </w:r>
    </w:p>
    <w:p w14:paraId="3D0953B2" w14:textId="03E8B9C4" w:rsidR="00B01D46" w:rsidRDefault="0067013E">
      <w:pPr>
        <w:pStyle w:val="BodyText"/>
        <w:spacing w:before="120" w:line="480" w:lineRule="auto"/>
        <w:ind w:right="65"/>
      </w:pPr>
      <w:r>
        <w:t xml:space="preserve">Ondari-Okemwa (2016) emphasizes the relevance of one's own understanding as an impetus for learning experiences. ILS scholars </w:t>
      </w:r>
      <w:r>
        <w:rPr>
          <w:color w:val="222222"/>
          <w:shd w:val="clear" w:color="auto" w:fill="FFFFFF"/>
        </w:rPr>
        <w:t>Amunga</w:t>
      </w:r>
      <w:r>
        <w:rPr>
          <w:color w:val="222222"/>
          <w:shd w:val="clear" w:color="auto" w:fill="FFFFFF"/>
          <w:lang w:val="en-US"/>
        </w:rPr>
        <w:t xml:space="preserve"> </w:t>
      </w:r>
      <w:r>
        <w:rPr>
          <w:color w:val="222222"/>
          <w:shd w:val="clear" w:color="auto" w:fill="FFFFFF"/>
        </w:rPr>
        <w:t>(2011)</w:t>
      </w:r>
      <w:r>
        <w:rPr>
          <w:color w:val="222222"/>
          <w:shd w:val="clear" w:color="auto" w:fill="FFFFFF"/>
          <w:lang w:val="en-US"/>
        </w:rPr>
        <w:t xml:space="preserve">, </w:t>
      </w:r>
      <w:r>
        <w:t>Ahmed and Bora (20</w:t>
      </w:r>
      <w:r>
        <w:rPr>
          <w:lang w:val="en-US"/>
        </w:rPr>
        <w:t>20</w:t>
      </w:r>
      <w:r>
        <w:t>), Beetham (201</w:t>
      </w:r>
      <w:r>
        <w:rPr>
          <w:lang w:val="en-US"/>
        </w:rPr>
        <w:t>3</w:t>
      </w:r>
      <w:r>
        <w:t>)</w:t>
      </w:r>
      <w:r w:rsidR="00C8173D">
        <w:rPr>
          <w:lang w:val="en-US"/>
        </w:rPr>
        <w:t xml:space="preserve"> </w:t>
      </w:r>
      <w:r>
        <w:t xml:space="preserve">study on digital literacy: bridging the gap with digital tools, concur that comprehending ILS is critical to learners' success. Further, MckeeWaddell (2015) finds positive connections between the mindsets of learners and intellectual advancements, finding that learners who enter a course with more positive understanding are more inclined to make significant learning breakthroughs. Gajalakshmi (2013) concur by stating if learners possess a good </w:t>
      </w:r>
      <w:r>
        <w:lastRenderedPageBreak/>
        <w:t>understanding regarding a topic, they may accomplish a great deal in that field. As a result, no matter how competent the teacher is, a student cannot succeed in a course if he feels that irrespective of the effort he puts, he will fail</w:t>
      </w:r>
      <w:r>
        <w:rPr>
          <w:lang w:val="en-US"/>
        </w:rPr>
        <w:t xml:space="preserve"> (</w:t>
      </w:r>
      <w:r>
        <w:t>Ogunlana et al</w:t>
      </w:r>
      <w:r>
        <w:rPr>
          <w:rFonts w:eastAsiaTheme="minorEastAsia"/>
        </w:rPr>
        <w:t>,</w:t>
      </w:r>
      <w:r>
        <w:t xml:space="preserve">2021)  </w:t>
      </w:r>
    </w:p>
    <w:p w14:paraId="29DC966D" w14:textId="77777777" w:rsidR="00B01D46" w:rsidRDefault="0067013E">
      <w:pPr>
        <w:pStyle w:val="BodyText"/>
        <w:spacing w:before="120" w:line="480" w:lineRule="auto"/>
        <w:ind w:right="65"/>
      </w:pPr>
      <w:r>
        <w:t xml:space="preserve">Additionally, Ogunlana et al.'s (2021) study on qualitative exploration into reasons for delay in seeking medical information, avers that the negative mindsets of students towards ILS might suggest an absence of know-how on tackling information-related assignments. Because the attitude learners have towards ILS training, may ultimately determines the efficacy of the instruction. </w:t>
      </w:r>
      <w:r>
        <w:rPr>
          <w:color w:val="222222"/>
          <w:shd w:val="clear" w:color="auto" w:fill="FFFFFF"/>
        </w:rPr>
        <w:t>Veach</w:t>
      </w:r>
      <w:r>
        <w:rPr>
          <w:color w:val="222222"/>
          <w:shd w:val="clear" w:color="auto" w:fill="FFFFFF"/>
          <w:lang w:val="en-US"/>
        </w:rPr>
        <w:t xml:space="preserve"> </w:t>
      </w:r>
      <w:r>
        <w:rPr>
          <w:color w:val="222222"/>
          <w:shd w:val="clear" w:color="auto" w:fill="FFFFFF"/>
        </w:rPr>
        <w:t>(2018)</w:t>
      </w:r>
      <w:r>
        <w:rPr>
          <w:color w:val="222222"/>
          <w:shd w:val="clear" w:color="auto" w:fill="FFFFFF"/>
          <w:lang w:val="en-US"/>
        </w:rPr>
        <w:t xml:space="preserve"> </w:t>
      </w:r>
      <w:r>
        <w:t xml:space="preserve">contends that the question of understanding may be understood via the lens of the subject-object connection. The subject establishes several relationships with the object. In these kinds of interactions, the subject matter is not inclined evenly, but rather variously towards a number of items, that is, a few he admires, some he distastes, some entice him, others discourage him, some intrigue him, others he is uninterested in, some he desires, others he declines, etc., affirming that a learner's mindset towards a topic in question affects the performance in a topic in question. Thus, Freeman (2004) finds that if students see library teaching as unimportant, they will almost definitely neglect taking advantage of the offered library instruction possibilities. Thus, learners are unlikely to gain from an activity that has the potential of improving their research skills. </w:t>
      </w:r>
    </w:p>
    <w:p w14:paraId="0E83A75F" w14:textId="77777777" w:rsidR="00B01D46" w:rsidRDefault="0067013E">
      <w:pPr>
        <w:pStyle w:val="BodyText"/>
        <w:spacing w:before="120" w:line="480" w:lineRule="auto"/>
        <w:ind w:right="65"/>
      </w:pPr>
      <w:r>
        <w:t>However, a learner who values knowledge sees ILS as both a method and an end result of learning. According to Pinto</w:t>
      </w:r>
      <w:r>
        <w:rPr>
          <w:lang w:val="en-US"/>
        </w:rPr>
        <w:t xml:space="preserve"> et al</w:t>
      </w:r>
      <w:r>
        <w:t xml:space="preserve"> (20</w:t>
      </w:r>
      <w:r>
        <w:rPr>
          <w:lang w:val="en-US"/>
        </w:rPr>
        <w:t>2</w:t>
      </w:r>
      <w:r>
        <w:t xml:space="preserve">0), ILS learning consists of three educational domains: </w:t>
      </w:r>
      <w:bookmarkStart w:id="668" w:name="_Hlk184218307"/>
      <w:r>
        <w:t xml:space="preserve">knowledge, skills, and understanding (KSU). </w:t>
      </w:r>
      <w:bookmarkEnd w:id="668"/>
      <w:r>
        <w:t xml:space="preserve">Because each student has a distinct and individual KSU level, their progress in ILS will be determined by their specific KSU. Hence, a student's preferred method of instruction, drive, and confidence influence their knowledge. Besides, the student's preferred </w:t>
      </w:r>
      <w:r>
        <w:lastRenderedPageBreak/>
        <w:t>method of learning will have a substantial impact on both instruction and the learners' "route to full instruction."</w:t>
      </w:r>
    </w:p>
    <w:p w14:paraId="6BB89DD5" w14:textId="61ECA3C2" w:rsidR="00B01D46" w:rsidRDefault="0067013E">
      <w:pPr>
        <w:pStyle w:val="BodyText"/>
        <w:spacing w:before="120" w:line="480" w:lineRule="auto"/>
        <w:ind w:right="65"/>
      </w:pPr>
      <w:r>
        <w:t>Also, Pinto</w:t>
      </w:r>
      <w:r>
        <w:rPr>
          <w:lang w:val="en-US"/>
        </w:rPr>
        <w:t xml:space="preserve"> et al</w:t>
      </w:r>
      <w:r>
        <w:t xml:space="preserve"> (20</w:t>
      </w:r>
      <w:r>
        <w:rPr>
          <w:lang w:val="en-US"/>
        </w:rPr>
        <w:t>2</w:t>
      </w:r>
      <w:r>
        <w:t>0) allude that learners can become knowledgeable if they actively and autonomously opt to take advantage of the chances available in the course of their learning, are properly motivated, and have strong self-confidence in their abilities. This understanding will enable learners to view tough jobs as challenges to be overcome rather than dangers to avoid. As a result, Ondari-Okemwa (2016) contends that disposition is the most potent predictor of student reading skill development and that students' perceptions, attitudes, and experiences are all highly connected to ILS. Moreover, Baro</w:t>
      </w:r>
      <w:r w:rsidR="00825E11">
        <w:rPr>
          <w:lang w:val="en-US"/>
        </w:rPr>
        <w:t>&amp;</w:t>
      </w:r>
      <w:r>
        <w:t xml:space="preserve"> Zuokemefa (2011) emphasize the need for librarians to take advantage of the possibilities available to lead ILS and address challenges such as students’ uninterest, absence of facilities, low acceptance of online delivery, absence of understanding of ILS, and student nonchalance.</w:t>
      </w:r>
    </w:p>
    <w:p w14:paraId="248BE8AB" w14:textId="77777777" w:rsidR="00B01D46" w:rsidRDefault="0067013E">
      <w:pPr>
        <w:pStyle w:val="BodyText"/>
        <w:spacing w:before="120" w:line="480" w:lineRule="auto"/>
        <w:ind w:right="65"/>
        <w:rPr>
          <w:lang w:val="en-US"/>
        </w:rPr>
      </w:pPr>
      <w:r>
        <w:t>Similarly, Adekunle et al. (201</w:t>
      </w:r>
      <w:r>
        <w:rPr>
          <w:lang w:val="en-US"/>
        </w:rPr>
        <w:t>9</w:t>
      </w:r>
      <w:r>
        <w:t>) discovered that, while first-year students are typically nostalgic about the ILS instruction, they occasionally lack an understanding of how research skills could be of benefit to them in the course of their studies, are overconfident, apathetic, and have limited attention spans, making them unwilling to attend or absorb new training. Furthermore, Adekunle et al. (201</w:t>
      </w:r>
      <w:r>
        <w:rPr>
          <w:lang w:val="en-US"/>
        </w:rPr>
        <w:t>9</w:t>
      </w:r>
      <w:r>
        <w:t>) discovered that the incorrect association of technological literacy with ILS was significantly contributing to students' tepid attitude towards ILS. Additionally,</w:t>
      </w:r>
      <w:r>
        <w:rPr>
          <w:lang w:val="en-US"/>
        </w:rPr>
        <w:t xml:space="preserve"> </w:t>
      </w:r>
      <w:r>
        <w:t xml:space="preserve">Bashorun </w:t>
      </w:r>
      <w:r>
        <w:rPr>
          <w:lang w:val="en-US"/>
        </w:rPr>
        <w:t xml:space="preserve">&amp; </w:t>
      </w:r>
      <w:r>
        <w:rPr>
          <w:color w:val="222222"/>
          <w:shd w:val="clear" w:color="auto" w:fill="FFFFFF"/>
        </w:rPr>
        <w:t>Akinbowale</w:t>
      </w:r>
      <w:r>
        <w:t xml:space="preserve"> (20</w:t>
      </w:r>
      <w:r>
        <w:rPr>
          <w:lang w:val="en-US"/>
        </w:rPr>
        <w:t>21</w:t>
      </w:r>
      <w:r>
        <w:t xml:space="preserve">) believe that attitude/understanding is one of the most important characteristics that has not been well addressed in many related ILS research, particularly in the African environment and Kenya in particular. Furthermore, Reetseng (2016) observed that there is less research on assessing students' ILS understanding than on assessing ILS. At best, a hazy mention has been made to </w:t>
      </w:r>
      <w:r>
        <w:lastRenderedPageBreak/>
        <w:t xml:space="preserve">students' attitudes towards ILS. This is a research gap that this study sought to bridge among other gaps as identified and discussed in various sections of this chapter. </w:t>
      </w:r>
    </w:p>
    <w:p w14:paraId="2669BE5E" w14:textId="77777777" w:rsidR="00B01D46" w:rsidRDefault="00B01D46">
      <w:pPr>
        <w:pStyle w:val="BodyText"/>
        <w:spacing w:line="240" w:lineRule="auto"/>
        <w:ind w:right="65"/>
        <w:rPr>
          <w:lang w:val="en-US"/>
        </w:rPr>
      </w:pPr>
    </w:p>
    <w:p w14:paraId="41B8D23F" w14:textId="77777777" w:rsidR="00B01D46" w:rsidRDefault="0067013E">
      <w:pPr>
        <w:pStyle w:val="Heading2"/>
      </w:pPr>
      <w:bookmarkStart w:id="669" w:name="_Toc165365154"/>
      <w:bookmarkStart w:id="670" w:name="_Toc165364887"/>
      <w:bookmarkStart w:id="671" w:name="_Toc165973051"/>
      <w:bookmarkStart w:id="672" w:name="_Toc165898003"/>
      <w:bookmarkStart w:id="673" w:name="_Toc164664000"/>
      <w:bookmarkStart w:id="674" w:name="_Toc165367625"/>
      <w:bookmarkStart w:id="675" w:name="_Toc165975772"/>
      <w:bookmarkStart w:id="676" w:name="_Toc165368351"/>
      <w:bookmarkStart w:id="677" w:name="_Toc165369167"/>
      <w:bookmarkStart w:id="678" w:name="_Toc184272875"/>
      <w:r>
        <w:t>3.7 ILS Knowledge and Skills Possessed by Staff</w:t>
      </w:r>
      <w:bookmarkEnd w:id="669"/>
      <w:bookmarkEnd w:id="670"/>
      <w:bookmarkEnd w:id="671"/>
      <w:bookmarkEnd w:id="672"/>
      <w:bookmarkEnd w:id="673"/>
      <w:bookmarkEnd w:id="674"/>
      <w:bookmarkEnd w:id="675"/>
      <w:bookmarkEnd w:id="676"/>
      <w:bookmarkEnd w:id="677"/>
      <w:bookmarkEnd w:id="678"/>
      <w:r>
        <w:t xml:space="preserve"> </w:t>
      </w:r>
    </w:p>
    <w:p w14:paraId="6A669A45"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Amunga (2011) </w:t>
      </w:r>
      <w:r>
        <w:rPr>
          <w:rFonts w:ascii="Times New Roman" w:hAnsi="Times New Roman" w:cs="Times New Roman"/>
          <w:sz w:val="24"/>
          <w:szCs w:val="24"/>
        </w:rPr>
        <w:t>asserts that librarians have influenced the introduction of ILS programs since they are the specialists in the majority of ILS tasks that are related to their knowledge domain. In addition, the use of information communication technologies (ICTs) in libraries has made it possible for students to access information more quickly than in the past, but they are still unable to recognize authority (authorship), distinguish between fact and opinion, identify bias, adjust the search or topic to suit their needs or assess the resources they have found.</w:t>
      </w:r>
    </w:p>
    <w:p w14:paraId="7D392BAB"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Kingori (2015); Kavulya (2003); Nyamboga (2004); </w:t>
      </w:r>
      <w:r>
        <w:rPr>
          <w:rFonts w:ascii="Times New Roman" w:hAnsi="Times New Roman" w:cs="Times New Roman"/>
          <w:color w:val="222222"/>
          <w:sz w:val="24"/>
          <w:szCs w:val="24"/>
          <w:shd w:val="clear" w:color="auto" w:fill="FFFFFF"/>
        </w:rPr>
        <w:t xml:space="preserve">Eisenberg (2008); Freeman &amp; Lynd-Balta (2010); conducted a study on developing information literacy skills and agreed that </w:t>
      </w:r>
      <w:r>
        <w:rPr>
          <w:rFonts w:ascii="Times New Roman" w:hAnsi="Times New Roman" w:cs="Times New Roman"/>
          <w:sz w:val="24"/>
          <w:szCs w:val="24"/>
        </w:rPr>
        <w:t xml:space="preserve">a library is an epicenter of brilliance in educational entities, and therefore, it ought to play a significant role in training/imparting, preparing and assisting its patrons with the necessary ILS. Library orientation classes for new students should be provided to enable students to compose projects in the course of their studies with limited help from librarians and lecturers; write research articles; and acquire relevant references from physical and online resources (Gatero, 2011). This is in line with the Sauce model’s higher thinking skills facet which encompasses the capability to understand, scrutinize, refine, and assess information for problem-solving and decision-making. This facet focuses on training students on higher thinking skills which are crucial and relevant in problem-solving engagements. Additionally, </w:t>
      </w:r>
      <w:r>
        <w:rPr>
          <w:rFonts w:ascii="Times New Roman" w:eastAsia="Times New Roman" w:hAnsi="Times New Roman" w:cs="Times New Roman"/>
          <w:sz w:val="24"/>
          <w:szCs w:val="24"/>
        </w:rPr>
        <w:t>the content frame in Bruce’s</w:t>
      </w:r>
      <w:r>
        <w:rPr>
          <w:rFonts w:ascii="Times New Roman" w:hAnsi="Times New Roman" w:cs="Times New Roman"/>
          <w:sz w:val="24"/>
          <w:szCs w:val="24"/>
        </w:rPr>
        <w:t xml:space="preserve"> six frames</w:t>
      </w:r>
      <w:r>
        <w:rPr>
          <w:rFonts w:ascii="Times New Roman" w:eastAsia="Times New Roman" w:hAnsi="Times New Roman" w:cs="Times New Roman"/>
          <w:sz w:val="24"/>
          <w:szCs w:val="24"/>
        </w:rPr>
        <w:t xml:space="preserve"> for the information literacy education model</w:t>
      </w:r>
      <w:r>
        <w:rPr>
          <w:rFonts w:ascii="Times New Roman" w:hAnsi="Times New Roman" w:cs="Times New Roman"/>
          <w:sz w:val="24"/>
          <w:szCs w:val="24"/>
        </w:rPr>
        <w:t xml:space="preserve"> </w:t>
      </w:r>
      <w:r>
        <w:rPr>
          <w:rFonts w:ascii="Times New Roman" w:hAnsi="Times New Roman" w:cs="Times New Roman"/>
          <w:sz w:val="24"/>
          <w:szCs w:val="24"/>
        </w:rPr>
        <w:lastRenderedPageBreak/>
        <w:t>insists on trainers having the requisite ILS to facilitate</w:t>
      </w:r>
      <w:r>
        <w:rPr>
          <w:rFonts w:ascii="Times New Roman" w:eastAsia="Times New Roman" w:hAnsi="Times New Roman" w:cs="Times New Roman"/>
          <w:sz w:val="24"/>
          <w:szCs w:val="24"/>
        </w:rPr>
        <w:t xml:space="preserve"> learning and instruction of ILS sessions inside discipline-based course units.</w:t>
      </w:r>
    </w:p>
    <w:p w14:paraId="154D40D3"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According to Freeman and Lynd-Balta (2010), the sessions are usually conducted by skilled librarians who provide information regarding circulation services, reference services, periodicals, catalog search criteria, classification schemes, information services, unique collections, and multimedia content. Furthermore, with ICT overtures and as demand grows and changes occur, both old and contemporary skills must be taught including web surfing, and OPAC access among others as advocated in both the content frame in Bruce’s six frames and the Sauce model’s higher thinking skills. </w:t>
      </w:r>
    </w:p>
    <w:p w14:paraId="4FBCA250"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To achieve this, librarians, academic staff, and information workers require comprehensive ILS skills and training to allow and aid them in satisfying their users’ information demands. Users must be trained on sources of information (books, publications, and digital media and formats, including internet-based resources). Staff must therefore, be able to: help and facilitate patrons to have access to information materials; embrace change and acclimatize to new situations; be imaginative and innovative; possess excellent interpersonal skills; and stay up to date on current advancements. Similarly, patrons should be able to recognize their information needs, comprehend the types of sources of information that are most suitable to their needs, and comprehend how to utilize them. This can only be achieved if staff possess the right ILS.</w:t>
      </w:r>
    </w:p>
    <w:p w14:paraId="12ABB1BB"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In a study conducted by Lwoga (2014) on the mapping of information literacy outcomes and learning experiences of health sciences among undergraduate students, revealed that students continue to apply learned skills during the ILS course both in </w:t>
      </w:r>
      <w:r>
        <w:rPr>
          <w:rFonts w:ascii="Times New Roman" w:hAnsi="Times New Roman" w:cs="Times New Roman"/>
          <w:sz w:val="24"/>
          <w:szCs w:val="24"/>
        </w:rPr>
        <w:lastRenderedPageBreak/>
        <w:t xml:space="preserve">class and for non-class activities. However, there was little use of scientific databases and the library catalog for both academic and extra-curricular pursuits. In addition, there was insufficient instruction on information searching techniques and assessment criteria of information materials. These results were corroborated by research on information literacy abilities among undergraduate students by Mbaabu et al. (2012), which found that most undergraduate students rely on Google, Yahoo Search, and social media sites including Facebook, Instagram, and Wikipedia, among others to seek information. This suggests that students are not getting the proper training in ILS development that they need to perform research with reliable and practical methods and resources. This leads students to choose the "fast" or "easy" approach to get information since they are more confident surfing the internet rather than using electronic databases. </w:t>
      </w:r>
    </w:p>
    <w:p w14:paraId="5FCDFE2A" w14:textId="4E532809"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In light of this scenario, a study by Bury (2010) found that faculty members believe that students develop ILS on their own or through shared experiences with peers. This indicates that faculty members are not actively engaged in training students on ILS. Equally, Baro </w:t>
      </w:r>
      <w:r w:rsidR="00825E11">
        <w:rPr>
          <w:rFonts w:ascii="Times New Roman" w:hAnsi="Times New Roman" w:cs="Times New Roman"/>
          <w:sz w:val="24"/>
          <w:szCs w:val="24"/>
        </w:rPr>
        <w:t>&amp;</w:t>
      </w:r>
      <w:r>
        <w:rPr>
          <w:rFonts w:ascii="Times New Roman" w:hAnsi="Times New Roman" w:cs="Times New Roman"/>
          <w:sz w:val="24"/>
          <w:szCs w:val="24"/>
        </w:rPr>
        <w:t xml:space="preserve"> Zuokemefa, (2011); Kanguha (2016) argue that the majority of lecturers and librarians have inadequate ILS competencies, which results in poor ILS teaching because they are not competent enough to teach learners.</w:t>
      </w:r>
    </w:p>
    <w:p w14:paraId="7C9C8A0A" w14:textId="77777777" w:rsidR="00B01D46" w:rsidRDefault="00B01D46">
      <w:pPr>
        <w:spacing w:after="0" w:line="240" w:lineRule="auto"/>
        <w:ind w:right="65"/>
        <w:jc w:val="both"/>
        <w:rPr>
          <w:rFonts w:ascii="Times New Roman" w:hAnsi="Times New Roman" w:cs="Times New Roman"/>
          <w:sz w:val="24"/>
          <w:szCs w:val="24"/>
        </w:rPr>
      </w:pPr>
    </w:p>
    <w:p w14:paraId="1C689A58" w14:textId="77777777" w:rsidR="00B01D46" w:rsidRDefault="0067013E">
      <w:pPr>
        <w:pStyle w:val="Heading2"/>
      </w:pPr>
      <w:bookmarkStart w:id="679" w:name="_Toc164664001"/>
      <w:bookmarkStart w:id="680" w:name="_Toc165365155"/>
      <w:bookmarkStart w:id="681" w:name="_Toc165973052"/>
      <w:bookmarkStart w:id="682" w:name="_Toc165975773"/>
      <w:bookmarkStart w:id="683" w:name="_Toc165368352"/>
      <w:bookmarkStart w:id="684" w:name="_Toc165367626"/>
      <w:bookmarkStart w:id="685" w:name="_Toc184272876"/>
      <w:bookmarkStart w:id="686" w:name="_Toc165369168"/>
      <w:bookmarkStart w:id="687" w:name="_Toc165364888"/>
      <w:bookmarkStart w:id="688" w:name="_Toc165898004"/>
      <w:r>
        <w:t>3.8 Integration of ICT and ILS</w:t>
      </w:r>
      <w:bookmarkEnd w:id="679"/>
      <w:bookmarkEnd w:id="680"/>
      <w:bookmarkEnd w:id="681"/>
      <w:bookmarkEnd w:id="682"/>
      <w:bookmarkEnd w:id="683"/>
      <w:bookmarkEnd w:id="684"/>
      <w:bookmarkEnd w:id="685"/>
      <w:bookmarkEnd w:id="686"/>
      <w:bookmarkEnd w:id="687"/>
      <w:bookmarkEnd w:id="688"/>
    </w:p>
    <w:p w14:paraId="73F5ED6B" w14:textId="7777777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Mwita (2017)</w:t>
      </w:r>
      <w:r>
        <w:rPr>
          <w:rFonts w:ascii="Times New Roman" w:hAnsi="Times New Roman" w:cs="Times New Roman"/>
          <w:sz w:val="24"/>
          <w:szCs w:val="24"/>
        </w:rPr>
        <w:t xml:space="preserve"> information and communication technology (ICT) refers to integrated communication and telecommunications computers, as well as the requisite business software, that allows clients to gain, reclaim, share, and exploit information. The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century is characterized among other factors by a knowledge-based society where its members have a high level of education and therefore depend </w:t>
      </w:r>
      <w:r>
        <w:rPr>
          <w:rFonts w:ascii="Times New Roman" w:hAnsi="Times New Roman" w:cs="Times New Roman"/>
          <w:sz w:val="24"/>
          <w:szCs w:val="24"/>
        </w:rPr>
        <w:lastRenderedPageBreak/>
        <w:t>on the ILS knowledge of its citizens to drive creativity and entrepreneurial activities. Amunga (2011) asserts that underdeveloped computer literacy among students and instructors is a major inhibition to ILS initiatives in Kenya. The ICT integration variable in the Sauce model supports the application and exploitation of various ICT technologies for ILS application, utilization, instruction, and learning (Bond, 2011). Similarly, Babu (2007) avers those developments in ICTs have greatly affected information delivery use and application. In support, Farrell (2007) asserts that ICT is the backbone of the delivery of quality ILS, it enhances the quality of instruction and learning.</w:t>
      </w:r>
    </w:p>
    <w:p w14:paraId="3CA21EB4"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Similarly, </w:t>
      </w:r>
      <w:r>
        <w:rPr>
          <w:rFonts w:ascii="Times New Roman" w:hAnsi="Times New Roman" w:cs="Times New Roman"/>
          <w:color w:val="222222"/>
          <w:sz w:val="24"/>
          <w:szCs w:val="24"/>
          <w:shd w:val="clear" w:color="auto" w:fill="FFFFFF"/>
        </w:rPr>
        <w:t>Mwita (2017)</w:t>
      </w:r>
      <w:r>
        <w:rPr>
          <w:rFonts w:ascii="Times New Roman" w:hAnsi="Times New Roman" w:cs="Times New Roman"/>
          <w:sz w:val="24"/>
          <w:szCs w:val="24"/>
        </w:rPr>
        <w:t xml:space="preserve"> assert that there is an increasing number of ICT efforts in developing nations. These efforts are often conducted because they are critical for social and economic growth. However, one hurdle to the effective use of ICT in underdeveloped nations is the inadequate degree of ILS (</w:t>
      </w:r>
      <w:r>
        <w:rPr>
          <w:rFonts w:ascii="Times New Roman" w:hAnsi="Times New Roman" w:cs="Times New Roman"/>
          <w:color w:val="222222"/>
          <w:sz w:val="24"/>
          <w:szCs w:val="24"/>
          <w:shd w:val="clear" w:color="auto" w:fill="FFFFFF"/>
        </w:rPr>
        <w:t>Mwita, 2017)</w:t>
      </w:r>
      <w:r>
        <w:rPr>
          <w:rFonts w:ascii="Times New Roman" w:hAnsi="Times New Roman" w:cs="Times New Roman"/>
          <w:sz w:val="24"/>
          <w:szCs w:val="24"/>
        </w:rPr>
        <w:t xml:space="preserve">. They argue that investments in ICT-for-development programs may fail if nations cannot efficiently utilize and manage information. </w:t>
      </w:r>
      <w:r>
        <w:rPr>
          <w:rFonts w:ascii="Times New Roman" w:hAnsi="Times New Roman" w:cs="Times New Roman"/>
          <w:color w:val="222222"/>
          <w:sz w:val="24"/>
          <w:szCs w:val="24"/>
          <w:shd w:val="clear" w:color="auto" w:fill="FFFFFF"/>
        </w:rPr>
        <w:t>Mwita (2017)</w:t>
      </w:r>
      <w:r>
        <w:rPr>
          <w:rFonts w:ascii="Times New Roman" w:hAnsi="Times New Roman" w:cs="Times New Roman"/>
          <w:sz w:val="24"/>
          <w:szCs w:val="24"/>
        </w:rPr>
        <w:t xml:space="preserve"> and Dewan et al (2005), agree that the digital gap between the wealthy and the poor has expanded due to the absence of ILS especially in third-world nations such as Kenya. Pejova, et al (2002) support these sentiments by stating that in the absence of ILS, developing states may continue to underutilize the technology that is provided and the result is a waste of resources with serious repercussions on their development. </w:t>
      </w:r>
    </w:p>
    <w:p w14:paraId="3280AA8B" w14:textId="6733C3F3" w:rsidR="00B01D46" w:rsidRDefault="0067013E">
      <w:pPr>
        <w:autoSpaceDE w:val="0"/>
        <w:autoSpaceDN w:val="0"/>
        <w:adjustRightInd w:val="0"/>
        <w:spacing w:before="120" w:after="0" w:line="480" w:lineRule="auto"/>
        <w:ind w:right="65"/>
        <w:jc w:val="both"/>
        <w:rPr>
          <w:rFonts w:ascii="Times New Roman" w:hAnsi="Times New Roman" w:cs="Times New Roman"/>
          <w:bCs/>
          <w:sz w:val="24"/>
          <w:szCs w:val="24"/>
        </w:rPr>
      </w:pPr>
      <w:r>
        <w:rPr>
          <w:rFonts w:ascii="Times New Roman" w:hAnsi="Times New Roman" w:cs="Times New Roman"/>
          <w:bCs/>
          <w:sz w:val="24"/>
          <w:szCs w:val="24"/>
        </w:rPr>
        <w:t xml:space="preserve">Makori, (2019) asserts that university libraries are presently functioning in a new technology setting and must adapt to technological innovations such as big data, artificial intelligence, and 5G among other innovations to deliver information services to patrons. According to Otike (2004), one of the most significant issues that libraries and the library profession often confront in the new millennium is coping </w:t>
      </w:r>
      <w:r>
        <w:rPr>
          <w:rFonts w:ascii="Times New Roman" w:hAnsi="Times New Roman" w:cs="Times New Roman"/>
          <w:bCs/>
          <w:sz w:val="24"/>
          <w:szCs w:val="24"/>
        </w:rPr>
        <w:lastRenderedPageBreak/>
        <w:t xml:space="preserve">with digitized and electronic content. According to Odero-Musakali and Mutula (2007), the capacity of universities to recognize and utilize the potential benefits of these technological advancements throughout all tiers of their corporate plans and operations is critical to their future. This adoption is only possible if there are dedicated ILS initiatives. Omoniwa (2021) predicted that in the 21st century, information globalization and information technology adoption will be the hallmarks of outstanding libraries and that academic libraries have little choice but to use ICT in their role. Interestingly, </w:t>
      </w:r>
      <w:r>
        <w:rPr>
          <w:rFonts w:ascii="Times New Roman" w:hAnsi="Times New Roman" w:cs="Times New Roman"/>
          <w:color w:val="222222"/>
          <w:sz w:val="24"/>
          <w:szCs w:val="24"/>
          <w:shd w:val="clear" w:color="auto" w:fill="FFFFFF"/>
        </w:rPr>
        <w:t xml:space="preserve">Adeleke </w:t>
      </w:r>
      <w:r w:rsidR="00825E11">
        <w:rPr>
          <w:rFonts w:ascii="Times New Roman" w:hAnsi="Times New Roman" w:cs="Times New Roman"/>
          <w:color w:val="222222"/>
          <w:sz w:val="24"/>
          <w:szCs w:val="24"/>
          <w:shd w:val="clear" w:color="auto" w:fill="FFFFFF"/>
        </w:rPr>
        <w:t>&amp;</w:t>
      </w:r>
      <w:r>
        <w:rPr>
          <w:rFonts w:ascii="Times New Roman" w:hAnsi="Times New Roman" w:cs="Times New Roman"/>
          <w:color w:val="222222"/>
          <w:sz w:val="24"/>
          <w:szCs w:val="24"/>
          <w:shd w:val="clear" w:color="auto" w:fill="FFFFFF"/>
        </w:rPr>
        <w:t xml:space="preserve"> Olorunsola (2010) </w:t>
      </w:r>
      <w:r>
        <w:rPr>
          <w:rFonts w:ascii="Times New Roman" w:hAnsi="Times New Roman" w:cs="Times New Roman"/>
          <w:bCs/>
          <w:sz w:val="24"/>
          <w:szCs w:val="24"/>
        </w:rPr>
        <w:t xml:space="preserve">suggests that if libraries are to survive in the present day, traditional methods or approaches must give way to ICTs and computer-driven settings. </w:t>
      </w:r>
    </w:p>
    <w:p w14:paraId="0D1B7775"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While new technologies have improved library services by offering new means of gathering, storing, retrieving, and distributing information, they have also brought up new challenges and made some of the previous concerns that libraries have faced worse (Emmanuel &amp; Sife, 2008). Ghuloum (2012) state that there are a variety of problems that might prevent ICT adoption, including budgetary limitations, technological barriers, human traits, and cultural effects. These have encompassed such problems as the absence of adequate funding to enable the procurement of ICT equipment, the absence of competent library professionals, the absence of desire and need amongst information professionals to integrate ICT in their everyday ILS activities (Ani, 2005; and Starr, 2001).</w:t>
      </w:r>
    </w:p>
    <w:p w14:paraId="71C278A0"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Ojedokun (2007), asserts that the advancement of technology together with the growth of the information age has necessitated the need for ILS training and instruction. Similarly, </w:t>
      </w:r>
      <w:r>
        <w:rPr>
          <w:rFonts w:ascii="Times New Roman" w:hAnsi="Times New Roman" w:cs="Times New Roman"/>
          <w:color w:val="222222"/>
          <w:sz w:val="24"/>
          <w:szCs w:val="24"/>
          <w:shd w:val="clear" w:color="auto" w:fill="FFFFFF"/>
        </w:rPr>
        <w:t>Ghavifekr</w:t>
      </w:r>
      <w:r>
        <w:rPr>
          <w:rFonts w:ascii="Times New Roman" w:hAnsi="Times New Roman" w:cs="Times New Roman"/>
          <w:sz w:val="24"/>
          <w:szCs w:val="24"/>
        </w:rPr>
        <w:t xml:space="preserve"> (2021) opines that ILS is imperative in the technology age because learners want to know how to utilize information ethically, and evaluate the authenticity and validness of the information that they are using. In </w:t>
      </w:r>
      <w:r>
        <w:rPr>
          <w:rFonts w:ascii="Times New Roman" w:hAnsi="Times New Roman" w:cs="Times New Roman"/>
          <w:sz w:val="24"/>
          <w:szCs w:val="24"/>
        </w:rPr>
        <w:lastRenderedPageBreak/>
        <w:t>addition, embracing technology helps to pass instructions to learners because it opens many avenues for passing information skills. On the contrary, Sife, 2008; Minishi-Majanja, 2007; Odero-Musakali &amp; Mutula, 2007) have highlighted a shortage of skilled personnel, librarians have minimal technological expertise, and the hostile mindset of university leadership toward ICT as significant obstacles impeding effective ICT implementation in university libraries.</w:t>
      </w:r>
    </w:p>
    <w:p w14:paraId="4C9A8A03"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Moreover, Waite (2004) conducted a study on teachers’ response to the use of ICT for literacy activities in the UK and discovered that ICTs were utilized to help students participate in innovative reading and writing styles, cooperative reading, e-communication, and improvement in oral presentation. The study further revealed that the convergence of computing technology and telecommunication technology played a key role in how trainers acquired ILS competencies and hence appropriately planned their teaching roles. </w:t>
      </w:r>
    </w:p>
    <w:p w14:paraId="5FAD608B" w14:textId="47F12395"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Baro </w:t>
      </w:r>
      <w:r w:rsidR="00825E11">
        <w:rPr>
          <w:rFonts w:ascii="Times New Roman" w:hAnsi="Times New Roman" w:cs="Times New Roman"/>
          <w:sz w:val="24"/>
          <w:szCs w:val="24"/>
        </w:rPr>
        <w:t>&amp;</w:t>
      </w:r>
      <w:r>
        <w:rPr>
          <w:rFonts w:ascii="Times New Roman" w:hAnsi="Times New Roman" w:cs="Times New Roman"/>
          <w:sz w:val="24"/>
          <w:szCs w:val="24"/>
        </w:rPr>
        <w:t xml:space="preserve"> Zuokemefa, (2011) allude that ILS and ICT are inseparable. ILS enables a student to comprehend and master how technology aids in information access and utilization. Similarly, Ghaznavi et al (2011) concur by stating that having appropriate ICT skills and understanding how technology works helps learners to effectively seek, evaluate, and utilize information in a technology-driven environment. These scholars further, assert that ICT skills assist a learner in using computer application software, operating computers, electronic information resources, internet to achieve work-related endeavors and academic goals.</w:t>
      </w:r>
    </w:p>
    <w:p w14:paraId="195D8AF7"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Furthermore, with the advent of the COVID-19 pandemic institutions of higher learning have shifted to blended learning, which is embracing both online teaching and physical teaching, this has necessitated the need to train learners with abilities to </w:t>
      </w:r>
      <w:r>
        <w:rPr>
          <w:rFonts w:ascii="Times New Roman" w:hAnsi="Times New Roman" w:cs="Times New Roman"/>
          <w:sz w:val="24"/>
          <w:szCs w:val="24"/>
        </w:rPr>
        <w:lastRenderedPageBreak/>
        <w:t>look for and assess information on the internet platforms. In addition, the learners need to be introduced to various aspects of ICTs, the prudent way to utilize it, and the influence that this utilization will have on them and the society they live in</w:t>
      </w:r>
    </w:p>
    <w:p w14:paraId="34A8F0BC"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However, Kavulya (2006) avers that ICTs give rise to a variety of problems in the instruction of ILS and LIS education. For starters, it has resulted in ''information overload,'' in which information has grown to be an agent of pollution and dissatisfaction (Mizrachi, 1998). This indicates that, in the middle of this ''information overload,'' a significant portion of the responsibility of information specialists is to help consumers identify what they want and help users get the most appropriate information. Wang (2003) asserts that LIS practitioners should be able to demonstrate to users’ ways to develop suitable search techniques that save time, decrease disorientation, and package and display information in a logical, worthwhile, and pertinent manner.</w:t>
      </w:r>
    </w:p>
    <w:p w14:paraId="50282F51"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Makori (2013) carried a study on the use of information communication technologies in the education and training of undergraduate library and information science students in two selected Kenyan universities and found out that graduates lacked preferred ICTs knowledge, competencies, and skills important in the modern information environment, as such, they were unable to appropriately search, retrieve, evaluate, use, and apply learned information to advance their learning. Kavulya (2006) examined the training of library and information science (LIS) professionals in Kenya and discovered that the absence of suitable ICT content in the courses, as well as courses that are unrelated to job markets, have impeded ICT training in Kenyan Universities. From the above discussion, it is apparent that there is an ICT skills gap which this study intended to explore to develop sustainable ICT training strategies to foster ILS training, curriculum development, and utilization.</w:t>
      </w:r>
    </w:p>
    <w:p w14:paraId="30AC1A28" w14:textId="77777777" w:rsidR="00B01D46" w:rsidRDefault="0067013E">
      <w:pPr>
        <w:pStyle w:val="Heading2"/>
      </w:pPr>
      <w:bookmarkStart w:id="689" w:name="_Toc165898005"/>
      <w:bookmarkStart w:id="690" w:name="_Toc184272877"/>
      <w:bookmarkStart w:id="691" w:name="_Toc165973053"/>
      <w:bookmarkStart w:id="692" w:name="_Toc165975774"/>
      <w:bookmarkStart w:id="693" w:name="_Toc165369169"/>
      <w:bookmarkStart w:id="694" w:name="_Toc165368353"/>
      <w:bookmarkStart w:id="695" w:name="_Toc165365156"/>
      <w:bookmarkStart w:id="696" w:name="_Toc165367627"/>
      <w:bookmarkStart w:id="697" w:name="_Toc164664002"/>
      <w:bookmarkStart w:id="698" w:name="_Toc165364889"/>
      <w:r>
        <w:lastRenderedPageBreak/>
        <w:t>3.9 Chapter Summary</w:t>
      </w:r>
      <w:bookmarkEnd w:id="689"/>
      <w:bookmarkEnd w:id="690"/>
      <w:bookmarkEnd w:id="691"/>
      <w:bookmarkEnd w:id="692"/>
      <w:r>
        <w:t xml:space="preserve"> </w:t>
      </w:r>
      <w:bookmarkEnd w:id="693"/>
      <w:bookmarkEnd w:id="694"/>
      <w:bookmarkEnd w:id="695"/>
      <w:bookmarkEnd w:id="696"/>
      <w:bookmarkEnd w:id="697"/>
      <w:bookmarkEnd w:id="698"/>
    </w:p>
    <w:p w14:paraId="5574414E" w14:textId="77777777" w:rsidR="00B01D46" w:rsidRDefault="0067013E">
      <w:pPr>
        <w:autoSpaceDE w:val="0"/>
        <w:autoSpaceDN w:val="0"/>
        <w:adjustRightInd w:val="0"/>
        <w:spacing w:after="0" w:line="480" w:lineRule="auto"/>
        <w:ind w:right="65"/>
        <w:jc w:val="both"/>
        <w:rPr>
          <w:rFonts w:ascii="Times New Roman" w:hAnsi="Times New Roman" w:cs="Times New Roman"/>
          <w:b/>
          <w:sz w:val="24"/>
          <w:szCs w:val="24"/>
        </w:rPr>
      </w:pPr>
      <w:r>
        <w:rPr>
          <w:rFonts w:ascii="Times New Roman" w:hAnsi="Times New Roman" w:cs="Times New Roman"/>
          <w:sz w:val="24"/>
          <w:szCs w:val="24"/>
        </w:rPr>
        <w:t>The evaluation of the literature revealed gaps that this study tries to fill in part. The analysis uncovered data from various research that looked into the status of ILS among students; ILS policy and curriculum; knowledge and skills of information trainers and providers; perception of students towards ILS learning and instruction and utilization of ICTs in instruction and learning of ILS and challenges faced in ILS instruction and learning. The bulk of reported research was conducted in affluent nations, offering a biased picture of ILS by ignoring the issues in third-world countries like Kenya. Furthermore, the majority of these studies were narrow in scope, covering only a few elements of ILS. There is hence, to conduct a study to delve into ILS adequacy, utilization, learning, and instruction among medical students in Kenya.</w:t>
      </w:r>
    </w:p>
    <w:p w14:paraId="67FA1FD4" w14:textId="77777777" w:rsidR="00B01D46" w:rsidRDefault="00B01D46">
      <w:pPr>
        <w:pStyle w:val="Caption"/>
        <w:sectPr w:rsidR="00B01D46">
          <w:headerReference w:type="default" r:id="rId21"/>
          <w:pgSz w:w="11909" w:h="16834"/>
          <w:pgMar w:top="1440" w:right="1584" w:bottom="1440" w:left="2160" w:header="708" w:footer="708" w:gutter="0"/>
          <w:pgNumType w:start="1"/>
          <w:cols w:space="708"/>
          <w:docGrid w:linePitch="360"/>
        </w:sectPr>
      </w:pPr>
      <w:bookmarkStart w:id="699" w:name="_Toc165898006"/>
      <w:bookmarkStart w:id="700" w:name="_Toc165975775"/>
      <w:bookmarkStart w:id="701" w:name="_Toc165973054"/>
    </w:p>
    <w:p w14:paraId="01A407B3" w14:textId="77777777" w:rsidR="00B01D46" w:rsidRDefault="0067013E">
      <w:pPr>
        <w:pStyle w:val="Caption"/>
      </w:pPr>
      <w:bookmarkStart w:id="702" w:name="_Toc184271979"/>
      <w:bookmarkStart w:id="703" w:name="_Toc184276889"/>
      <w:r>
        <w:lastRenderedPageBreak/>
        <w:t>Table 3.1: Gaps from Literature and how they are addressed through Research Questions</w:t>
      </w:r>
      <w:bookmarkEnd w:id="699"/>
      <w:bookmarkEnd w:id="700"/>
      <w:bookmarkEnd w:id="701"/>
      <w:bookmarkEnd w:id="702"/>
      <w:bookmarkEnd w:id="703"/>
    </w:p>
    <w:tbl>
      <w:tblPr>
        <w:tblW w:w="14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5"/>
        <w:gridCol w:w="3690"/>
        <w:gridCol w:w="4016"/>
      </w:tblGrid>
      <w:tr w:rsidR="00B01D46" w14:paraId="2CE0E519" w14:textId="77777777">
        <w:trPr>
          <w:trHeight w:val="20"/>
        </w:trPr>
        <w:tc>
          <w:tcPr>
            <w:tcW w:w="6295" w:type="dxa"/>
            <w:shd w:val="clear" w:color="auto" w:fill="auto"/>
          </w:tcPr>
          <w:p w14:paraId="0CC7FEED" w14:textId="77777777" w:rsidR="00B01D46" w:rsidRDefault="0067013E">
            <w:pPr>
              <w:spacing w:after="0" w:line="240" w:lineRule="auto"/>
              <w:ind w:right="65"/>
              <w:rPr>
                <w:rFonts w:ascii="Times New Roman" w:eastAsia="Calibri" w:hAnsi="Times New Roman" w:cs="Times New Roman"/>
                <w:b/>
                <w:szCs w:val="24"/>
              </w:rPr>
            </w:pPr>
            <w:r>
              <w:rPr>
                <w:rFonts w:ascii="Times New Roman" w:eastAsia="Calibri" w:hAnsi="Times New Roman" w:cs="Times New Roman"/>
                <w:b/>
                <w:szCs w:val="24"/>
              </w:rPr>
              <w:t>Research Gap</w:t>
            </w:r>
          </w:p>
        </w:tc>
        <w:tc>
          <w:tcPr>
            <w:tcW w:w="3690" w:type="dxa"/>
            <w:shd w:val="clear" w:color="auto" w:fill="auto"/>
          </w:tcPr>
          <w:p w14:paraId="6F8B739B" w14:textId="77777777" w:rsidR="00B01D46" w:rsidRDefault="0067013E">
            <w:pPr>
              <w:spacing w:after="0" w:line="240" w:lineRule="auto"/>
              <w:ind w:right="65"/>
              <w:rPr>
                <w:rFonts w:ascii="Times New Roman" w:eastAsia="Calibri" w:hAnsi="Times New Roman" w:cs="Times New Roman"/>
                <w:b/>
                <w:szCs w:val="24"/>
              </w:rPr>
            </w:pPr>
            <w:r>
              <w:rPr>
                <w:rFonts w:ascii="Times New Roman" w:eastAsia="Calibri" w:hAnsi="Times New Roman" w:cs="Times New Roman"/>
                <w:b/>
                <w:szCs w:val="24"/>
              </w:rPr>
              <w:t>How the gap will be addressed</w:t>
            </w:r>
          </w:p>
        </w:tc>
        <w:tc>
          <w:tcPr>
            <w:tcW w:w="4016" w:type="dxa"/>
            <w:shd w:val="clear" w:color="auto" w:fill="auto"/>
          </w:tcPr>
          <w:p w14:paraId="53DEFEC6" w14:textId="77777777" w:rsidR="00B01D46" w:rsidRDefault="0067013E">
            <w:pPr>
              <w:spacing w:after="0" w:line="240" w:lineRule="auto"/>
              <w:ind w:right="65"/>
              <w:rPr>
                <w:rFonts w:ascii="Times New Roman" w:eastAsia="Calibri" w:hAnsi="Times New Roman" w:cs="Times New Roman"/>
                <w:b/>
                <w:szCs w:val="24"/>
              </w:rPr>
            </w:pPr>
            <w:r>
              <w:rPr>
                <w:rFonts w:ascii="Times New Roman" w:eastAsia="Calibri" w:hAnsi="Times New Roman" w:cs="Times New Roman"/>
                <w:b/>
                <w:szCs w:val="24"/>
              </w:rPr>
              <w:t>Research Question</w:t>
            </w:r>
          </w:p>
        </w:tc>
      </w:tr>
      <w:tr w:rsidR="00B01D46" w14:paraId="1B07B3C4" w14:textId="77777777">
        <w:trPr>
          <w:trHeight w:val="20"/>
        </w:trPr>
        <w:tc>
          <w:tcPr>
            <w:tcW w:w="6295" w:type="dxa"/>
            <w:shd w:val="clear" w:color="auto" w:fill="auto"/>
          </w:tcPr>
          <w:p w14:paraId="4AC1AA87" w14:textId="08EEF0F6" w:rsidR="00B01D46" w:rsidRDefault="0067013E">
            <w:pPr>
              <w:spacing w:after="0" w:line="240" w:lineRule="auto"/>
              <w:ind w:right="65"/>
              <w:rPr>
                <w:rFonts w:ascii="Times New Roman" w:eastAsia="Calibri" w:hAnsi="Times New Roman" w:cs="Times New Roman"/>
                <w:szCs w:val="24"/>
              </w:rPr>
            </w:pPr>
            <w:r>
              <w:rPr>
                <w:rFonts w:ascii="Times New Roman" w:hAnsi="Times New Roman" w:cs="Times New Roman"/>
                <w:szCs w:val="24"/>
              </w:rPr>
              <w:t xml:space="preserve">Steinert (2014); Kanguha (2014); Kimani (2014); Shabi, Shabi, Akewukereke, &amp; Udofia (2011); Hurwitz </w:t>
            </w:r>
            <w:r w:rsidR="00163A93">
              <w:rPr>
                <w:rFonts w:ascii="Times New Roman" w:hAnsi="Times New Roman" w:cs="Times New Roman"/>
                <w:szCs w:val="24"/>
              </w:rPr>
              <w:t>&amp;</w:t>
            </w:r>
            <w:r>
              <w:rPr>
                <w:rFonts w:ascii="Times New Roman" w:hAnsi="Times New Roman" w:cs="Times New Roman"/>
                <w:szCs w:val="24"/>
              </w:rPr>
              <w:t xml:space="preserve"> Slawson (2010); Gatero, (2011); Lwehabura &amp; Stilwell (2008); Ajuwon (2006); Lau, (2006); Kavulya (2003) </w:t>
            </w:r>
            <w:r>
              <w:rPr>
                <w:rFonts w:ascii="Times New Roman" w:eastAsia="Calibri" w:hAnsi="Times New Roman" w:cs="Times New Roman"/>
                <w:szCs w:val="24"/>
              </w:rPr>
              <w:t>recommends that further investigation is needed on the</w:t>
            </w:r>
            <w:r>
              <w:rPr>
                <w:rFonts w:ascii="Times New Roman" w:hAnsi="Times New Roman" w:cs="Times New Roman"/>
                <w:szCs w:val="24"/>
              </w:rPr>
              <w:t xml:space="preserve"> ILS possessed by students because several undergraduate students are unable to adequately access, use, cite information resources due to lack of understanding the various information searching strategies and techniques.</w:t>
            </w:r>
          </w:p>
        </w:tc>
        <w:tc>
          <w:tcPr>
            <w:tcW w:w="3690" w:type="dxa"/>
            <w:shd w:val="clear" w:color="auto" w:fill="auto"/>
          </w:tcPr>
          <w:p w14:paraId="02B7CA99" w14:textId="77777777" w:rsidR="00B01D46" w:rsidRDefault="0067013E">
            <w:pPr>
              <w:spacing w:after="0" w:line="240" w:lineRule="auto"/>
              <w:ind w:right="65"/>
              <w:rPr>
                <w:rFonts w:ascii="Times New Roman" w:eastAsia="Calibri" w:hAnsi="Times New Roman" w:cs="Times New Roman"/>
                <w:szCs w:val="24"/>
              </w:rPr>
            </w:pPr>
            <w:r>
              <w:rPr>
                <w:rFonts w:ascii="Times New Roman" w:hAnsi="Times New Roman" w:cs="Times New Roman"/>
                <w:szCs w:val="24"/>
              </w:rPr>
              <w:t>The study assessed the status of information literacy skills of medical undergraduate students at Moi University and the University of Nairobi.</w:t>
            </w:r>
          </w:p>
        </w:tc>
        <w:tc>
          <w:tcPr>
            <w:tcW w:w="4016" w:type="dxa"/>
            <w:shd w:val="clear" w:color="auto" w:fill="auto"/>
          </w:tcPr>
          <w:p w14:paraId="5FE402FB" w14:textId="77777777" w:rsidR="00B01D46" w:rsidRDefault="0067013E">
            <w:pPr>
              <w:pStyle w:val="NormalWeb"/>
              <w:shd w:val="clear" w:color="auto" w:fill="FFFFFF"/>
              <w:tabs>
                <w:tab w:val="left" w:pos="360"/>
              </w:tabs>
              <w:autoSpaceDE w:val="0"/>
              <w:autoSpaceDN w:val="0"/>
              <w:adjustRightInd w:val="0"/>
              <w:spacing w:before="120" w:after="0" w:afterAutospacing="0"/>
              <w:ind w:right="65"/>
              <w:jc w:val="both"/>
              <w:rPr>
                <w:sz w:val="22"/>
              </w:rPr>
            </w:pPr>
            <w:r>
              <w:rPr>
                <w:rFonts w:eastAsia="Calibri"/>
                <w:sz w:val="22"/>
              </w:rPr>
              <w:t xml:space="preserve">What is the status of information literacy skills </w:t>
            </w:r>
            <w:r>
              <w:rPr>
                <w:sz w:val="22"/>
              </w:rPr>
              <w:t>among medical undergraduate students in Nairobi and Moi Universities?</w:t>
            </w:r>
          </w:p>
          <w:p w14:paraId="49534841" w14:textId="77777777" w:rsidR="00B01D46" w:rsidRDefault="00B01D46">
            <w:pPr>
              <w:pStyle w:val="ListParagraph"/>
              <w:spacing w:after="0" w:line="240" w:lineRule="auto"/>
              <w:ind w:left="0" w:right="65"/>
              <w:jc w:val="left"/>
              <w:rPr>
                <w:sz w:val="22"/>
                <w:szCs w:val="24"/>
              </w:rPr>
            </w:pPr>
          </w:p>
        </w:tc>
      </w:tr>
      <w:tr w:rsidR="00B01D46" w14:paraId="4E2C0AD6" w14:textId="77777777">
        <w:trPr>
          <w:trHeight w:val="20"/>
        </w:trPr>
        <w:tc>
          <w:tcPr>
            <w:tcW w:w="6295" w:type="dxa"/>
            <w:shd w:val="clear" w:color="auto" w:fill="auto"/>
          </w:tcPr>
          <w:p w14:paraId="11882AFE" w14:textId="77777777" w:rsidR="00B01D46" w:rsidRDefault="0067013E">
            <w:pPr>
              <w:spacing w:after="0" w:line="240" w:lineRule="auto"/>
              <w:ind w:right="65"/>
              <w:rPr>
                <w:rFonts w:ascii="Times New Roman" w:hAnsi="Times New Roman" w:cs="Times New Roman"/>
                <w:szCs w:val="24"/>
              </w:rPr>
            </w:pPr>
            <w:r>
              <w:rPr>
                <w:rFonts w:ascii="Times New Roman" w:eastAsiaTheme="majorEastAsia" w:hAnsi="Times New Roman" w:cs="Times New Roman"/>
                <w:szCs w:val="24"/>
              </w:rPr>
              <w:t xml:space="preserve">Carder </w:t>
            </w:r>
            <w:r>
              <w:rPr>
                <w:rFonts w:ascii="Times New Roman" w:eastAsiaTheme="majorEastAsia" w:hAnsi="Times New Roman" w:cs="Times New Roman"/>
                <w:i/>
                <w:iCs/>
                <w:szCs w:val="24"/>
              </w:rPr>
              <w:t>et al.</w:t>
            </w:r>
            <w:r>
              <w:rPr>
                <w:rFonts w:ascii="Times New Roman" w:eastAsiaTheme="majorEastAsia" w:hAnsi="Times New Roman" w:cs="Times New Roman"/>
                <w:szCs w:val="24"/>
              </w:rPr>
              <w:t>, (2001)</w:t>
            </w:r>
            <w:r>
              <w:rPr>
                <w:rFonts w:ascii="Times New Roman" w:hAnsi="Times New Roman" w:cs="Times New Roman"/>
                <w:szCs w:val="24"/>
              </w:rPr>
              <w:t xml:space="preserve">; </w:t>
            </w:r>
            <w:r>
              <w:rPr>
                <w:rFonts w:ascii="Times New Roman" w:eastAsiaTheme="majorEastAsia" w:hAnsi="Times New Roman" w:cs="Times New Roman"/>
                <w:szCs w:val="24"/>
              </w:rPr>
              <w:t>Cooney &amp; Hiris, (2003)</w:t>
            </w:r>
            <w:r>
              <w:rPr>
                <w:rFonts w:ascii="Times New Roman" w:hAnsi="Times New Roman" w:cs="Times New Roman"/>
                <w:szCs w:val="24"/>
              </w:rPr>
              <w:t xml:space="preserve">; </w:t>
            </w:r>
            <w:r>
              <w:rPr>
                <w:rFonts w:ascii="Times New Roman" w:eastAsiaTheme="majorEastAsia" w:hAnsi="Times New Roman" w:cs="Times New Roman"/>
                <w:szCs w:val="24"/>
              </w:rPr>
              <w:t>Dennis, (2001)</w:t>
            </w:r>
            <w:r>
              <w:rPr>
                <w:rFonts w:ascii="Times New Roman" w:hAnsi="Times New Roman" w:cs="Times New Roman"/>
                <w:szCs w:val="24"/>
              </w:rPr>
              <w:t xml:space="preserve">; Hiscock &amp; Marriott (2003); </w:t>
            </w:r>
            <w:r>
              <w:rPr>
                <w:rFonts w:ascii="Times New Roman" w:eastAsiaTheme="majorEastAsia" w:hAnsi="Times New Roman" w:cs="Times New Roman"/>
                <w:szCs w:val="24"/>
              </w:rPr>
              <w:t xml:space="preserve">MacDonald </w:t>
            </w:r>
            <w:r>
              <w:rPr>
                <w:rFonts w:ascii="Times New Roman" w:eastAsiaTheme="majorEastAsia" w:hAnsi="Times New Roman" w:cs="Times New Roman"/>
                <w:i/>
                <w:iCs/>
                <w:szCs w:val="24"/>
              </w:rPr>
              <w:t>et al.</w:t>
            </w:r>
            <w:r>
              <w:rPr>
                <w:rFonts w:ascii="Times New Roman" w:eastAsiaTheme="majorEastAsia" w:hAnsi="Times New Roman" w:cs="Times New Roman"/>
                <w:szCs w:val="24"/>
              </w:rPr>
              <w:t>, (2000</w:t>
            </w:r>
            <w:r>
              <w:rPr>
                <w:rFonts w:ascii="Times New Roman" w:hAnsi="Times New Roman" w:cs="Times New Roman"/>
                <w:szCs w:val="24"/>
              </w:rPr>
              <w:t xml:space="preserve">); Kingori (2015); Kanguha (2015) </w:t>
            </w:r>
            <w:r>
              <w:rPr>
                <w:rFonts w:ascii="Times New Roman" w:eastAsia="Calibri" w:hAnsi="Times New Roman" w:cs="Times New Roman"/>
                <w:szCs w:val="24"/>
              </w:rPr>
              <w:t xml:space="preserve">recommends that </w:t>
            </w:r>
            <w:r>
              <w:rPr>
                <w:rFonts w:ascii="Times New Roman" w:hAnsi="Times New Roman" w:cs="Times New Roman"/>
                <w:szCs w:val="24"/>
              </w:rPr>
              <w:t>there is need for a pedagogic framework for delivering effective information literacy programs to undergraduate students</w:t>
            </w:r>
          </w:p>
        </w:tc>
        <w:tc>
          <w:tcPr>
            <w:tcW w:w="3690" w:type="dxa"/>
            <w:shd w:val="clear" w:color="auto" w:fill="auto"/>
          </w:tcPr>
          <w:p w14:paraId="2FE5FC03" w14:textId="77777777" w:rsidR="00B01D46" w:rsidRDefault="0067013E">
            <w:pPr>
              <w:spacing w:after="0" w:line="240" w:lineRule="auto"/>
              <w:ind w:right="65"/>
              <w:rPr>
                <w:rFonts w:ascii="Times New Roman" w:hAnsi="Times New Roman" w:cs="Times New Roman"/>
                <w:szCs w:val="24"/>
              </w:rPr>
            </w:pPr>
            <w:r>
              <w:rPr>
                <w:rFonts w:ascii="Times New Roman" w:eastAsia="Calibri" w:hAnsi="Times New Roman" w:cs="Times New Roman"/>
                <w:szCs w:val="24"/>
              </w:rPr>
              <w:t xml:space="preserve">The study sought to </w:t>
            </w:r>
            <w:r>
              <w:rPr>
                <w:rFonts w:ascii="Times New Roman" w:hAnsi="Times New Roman" w:cs="Times New Roman"/>
                <w:szCs w:val="24"/>
              </w:rPr>
              <w:t xml:space="preserve">examine the information literacy skills curricula and policies supporting the delivery of   ILS to medical undergraduate students at the two universities </w:t>
            </w:r>
          </w:p>
        </w:tc>
        <w:tc>
          <w:tcPr>
            <w:tcW w:w="4016" w:type="dxa"/>
            <w:shd w:val="clear" w:color="auto" w:fill="auto"/>
          </w:tcPr>
          <w:p w14:paraId="2501B93C" w14:textId="77777777" w:rsidR="00B01D46" w:rsidRDefault="0067013E">
            <w:pPr>
              <w:pStyle w:val="Default"/>
              <w:ind w:right="65"/>
              <w:jc w:val="both"/>
              <w:rPr>
                <w:rFonts w:eastAsia="Calibri"/>
                <w:sz w:val="22"/>
              </w:rPr>
            </w:pPr>
            <w:r>
              <w:rPr>
                <w:sz w:val="22"/>
              </w:rPr>
              <w:t xml:space="preserve">What information literacy skills policy and curriculum are used in imparting ILS to medical, undergraduate students? </w:t>
            </w:r>
          </w:p>
        </w:tc>
      </w:tr>
      <w:tr w:rsidR="00B01D46" w14:paraId="0693CCBF" w14:textId="77777777">
        <w:trPr>
          <w:trHeight w:val="20"/>
        </w:trPr>
        <w:tc>
          <w:tcPr>
            <w:tcW w:w="6295" w:type="dxa"/>
            <w:shd w:val="clear" w:color="auto" w:fill="auto"/>
          </w:tcPr>
          <w:p w14:paraId="0AA89DFE" w14:textId="77777777" w:rsidR="00B01D46" w:rsidRDefault="0067013E">
            <w:pPr>
              <w:spacing w:after="0" w:line="240" w:lineRule="auto"/>
              <w:ind w:right="65"/>
              <w:rPr>
                <w:rFonts w:ascii="Times New Roman" w:eastAsia="Calibri" w:hAnsi="Times New Roman" w:cs="Times New Roman"/>
                <w:szCs w:val="24"/>
              </w:rPr>
            </w:pPr>
            <w:r>
              <w:rPr>
                <w:rFonts w:ascii="Times New Roman" w:hAnsi="Times New Roman" w:cs="Times New Roman"/>
                <w:szCs w:val="24"/>
              </w:rPr>
              <w:t xml:space="preserve">Baro &amp; Zuokemefa (2011), </w:t>
            </w:r>
            <w:r>
              <w:rPr>
                <w:rFonts w:ascii="Times New Roman" w:eastAsia="Times New Roman" w:hAnsi="Times New Roman" w:cs="Times New Roman"/>
                <w:szCs w:val="24"/>
              </w:rPr>
              <w:t>Tella &amp; Bashorun (2012)</w:t>
            </w:r>
            <w:r>
              <w:rPr>
                <w:rFonts w:ascii="Times New Roman" w:hAnsi="Times New Roman" w:cs="Times New Roman"/>
                <w:szCs w:val="24"/>
              </w:rPr>
              <w:t xml:space="preserve">, </w:t>
            </w:r>
            <w:r>
              <w:rPr>
                <w:rFonts w:ascii="Times New Roman" w:eastAsia="Times New Roman" w:hAnsi="Times New Roman" w:cs="Times New Roman"/>
                <w:szCs w:val="24"/>
              </w:rPr>
              <w:t xml:space="preserve">Adekunle et al. (2016),  Reetseng (2016), </w:t>
            </w:r>
            <w:r>
              <w:rPr>
                <w:rFonts w:ascii="Times New Roman" w:hAnsi="Times New Roman" w:cs="Times New Roman"/>
                <w:szCs w:val="24"/>
              </w:rPr>
              <w:t xml:space="preserve">Ondari-Okemwa (2016), Kanguha (2016); Baro (2011); Daugherty &amp; Rosso (2011); Mbaabu et al(2012); Lwoga (2014); Kanguha, (2015) &amp; ACRL (2016); states </w:t>
            </w:r>
            <w:r>
              <w:rPr>
                <w:rFonts w:ascii="Times New Roman" w:eastAsia="Times New Roman" w:hAnsi="Times New Roman" w:cs="Times New Roman"/>
                <w:szCs w:val="24"/>
              </w:rPr>
              <w:t xml:space="preserve"> that ILS understanding is one of the most important characteristics that has not been well addressed in many ILS related research, particularly in the African environment and Kenya in particular.</w:t>
            </w:r>
          </w:p>
        </w:tc>
        <w:tc>
          <w:tcPr>
            <w:tcW w:w="3690" w:type="dxa"/>
            <w:shd w:val="clear" w:color="auto" w:fill="auto"/>
          </w:tcPr>
          <w:p w14:paraId="01C1E27C" w14:textId="77777777" w:rsidR="00B01D46" w:rsidRDefault="0067013E">
            <w:pPr>
              <w:spacing w:after="0" w:line="240" w:lineRule="auto"/>
              <w:ind w:right="65"/>
              <w:rPr>
                <w:rFonts w:ascii="Times New Roman" w:hAnsi="Times New Roman" w:cs="Times New Roman"/>
                <w:szCs w:val="24"/>
              </w:rPr>
            </w:pPr>
            <w:r>
              <w:rPr>
                <w:rFonts w:ascii="Times New Roman" w:eastAsia="Calibri" w:hAnsi="Times New Roman" w:cs="Times New Roman"/>
                <w:szCs w:val="24"/>
              </w:rPr>
              <w:t xml:space="preserve">The study </w:t>
            </w:r>
            <w:r>
              <w:rPr>
                <w:rFonts w:ascii="Times New Roman" w:hAnsi="Times New Roman" w:cs="Times New Roman"/>
                <w:szCs w:val="24"/>
              </w:rPr>
              <w:t>examined the understanding of medical undergraduate students toward ILS</w:t>
            </w:r>
          </w:p>
          <w:p w14:paraId="061A4DEC" w14:textId="77777777" w:rsidR="00B01D46" w:rsidRDefault="00B01D46">
            <w:pPr>
              <w:pStyle w:val="Default"/>
              <w:spacing w:before="120"/>
              <w:ind w:right="65"/>
              <w:jc w:val="both"/>
              <w:rPr>
                <w:rFonts w:eastAsia="Calibri"/>
                <w:sz w:val="22"/>
              </w:rPr>
            </w:pPr>
          </w:p>
        </w:tc>
        <w:tc>
          <w:tcPr>
            <w:tcW w:w="4016" w:type="dxa"/>
            <w:shd w:val="clear" w:color="auto" w:fill="auto"/>
          </w:tcPr>
          <w:p w14:paraId="3A2C03EB" w14:textId="77777777" w:rsidR="00B01D46" w:rsidRDefault="0067013E">
            <w:pPr>
              <w:shd w:val="clear" w:color="auto" w:fill="FFFFFF"/>
              <w:tabs>
                <w:tab w:val="left" w:pos="360"/>
              </w:tabs>
              <w:autoSpaceDE w:val="0"/>
              <w:autoSpaceDN w:val="0"/>
              <w:adjustRightInd w:val="0"/>
              <w:spacing w:before="120" w:after="0" w:line="240" w:lineRule="auto"/>
              <w:ind w:right="65"/>
              <w:rPr>
                <w:rFonts w:ascii="Times New Roman" w:hAnsi="Times New Roman" w:cs="Times New Roman"/>
                <w:szCs w:val="24"/>
              </w:rPr>
            </w:pPr>
            <w:r>
              <w:rPr>
                <w:rFonts w:ascii="Times New Roman" w:eastAsia="Calibri" w:hAnsi="Times New Roman" w:cs="Times New Roman"/>
                <w:szCs w:val="24"/>
              </w:rPr>
              <w:t>What is the perception of medical undergraduate students towards ILS in Nairobi and Moi universities in Kenya?</w:t>
            </w:r>
          </w:p>
          <w:p w14:paraId="459F2D25" w14:textId="77777777" w:rsidR="00B01D46" w:rsidRDefault="00B01D46">
            <w:pPr>
              <w:pStyle w:val="NormalWeb"/>
              <w:shd w:val="clear" w:color="auto" w:fill="FFFFFF"/>
              <w:tabs>
                <w:tab w:val="left" w:pos="360"/>
              </w:tabs>
              <w:autoSpaceDE w:val="0"/>
              <w:autoSpaceDN w:val="0"/>
              <w:adjustRightInd w:val="0"/>
              <w:spacing w:before="120" w:beforeAutospacing="0" w:after="0" w:afterAutospacing="0"/>
              <w:ind w:right="65"/>
              <w:jc w:val="both"/>
              <w:rPr>
                <w:rFonts w:eastAsia="Calibri"/>
                <w:sz w:val="22"/>
              </w:rPr>
            </w:pPr>
          </w:p>
        </w:tc>
      </w:tr>
      <w:tr w:rsidR="00B01D46" w14:paraId="1CC9BD70" w14:textId="77777777">
        <w:trPr>
          <w:trHeight w:val="20"/>
        </w:trPr>
        <w:tc>
          <w:tcPr>
            <w:tcW w:w="6295" w:type="dxa"/>
            <w:shd w:val="clear" w:color="auto" w:fill="auto"/>
          </w:tcPr>
          <w:p w14:paraId="6F2268DE" w14:textId="77777777" w:rsidR="00B01D46" w:rsidRDefault="0067013E">
            <w:pPr>
              <w:spacing w:after="0" w:line="240" w:lineRule="auto"/>
              <w:ind w:right="65"/>
              <w:rPr>
                <w:rFonts w:ascii="Times New Roman" w:eastAsia="Calibri" w:hAnsi="Times New Roman" w:cs="Times New Roman"/>
                <w:szCs w:val="24"/>
              </w:rPr>
            </w:pPr>
            <w:r>
              <w:rPr>
                <w:rFonts w:ascii="Times New Roman" w:hAnsi="Times New Roman" w:cs="Times New Roman"/>
                <w:szCs w:val="24"/>
              </w:rPr>
              <w:t xml:space="preserve">Kavulya (2003); Nyamboga (2004); Mutula et al., (2004); Bury (2010); Baro &amp; Zuokemefa, (2011); Mbabu et al (2012); Lwoga (2014) </w:t>
            </w:r>
            <w:r>
              <w:rPr>
                <w:rFonts w:ascii="Times New Roman" w:eastAsia="Calibri" w:hAnsi="Times New Roman" w:cs="Times New Roman"/>
                <w:szCs w:val="24"/>
              </w:rPr>
              <w:t>suggests that there is need to re-look at the knowledge, skills of librarians.</w:t>
            </w:r>
          </w:p>
        </w:tc>
        <w:tc>
          <w:tcPr>
            <w:tcW w:w="3690" w:type="dxa"/>
            <w:shd w:val="clear" w:color="auto" w:fill="auto"/>
          </w:tcPr>
          <w:p w14:paraId="161DF04E" w14:textId="77777777" w:rsidR="00B01D46" w:rsidRDefault="0067013E">
            <w:pPr>
              <w:spacing w:after="0" w:line="240" w:lineRule="auto"/>
              <w:ind w:right="65"/>
              <w:rPr>
                <w:rFonts w:ascii="Times New Roman" w:eastAsia="Calibri" w:hAnsi="Times New Roman" w:cs="Times New Roman"/>
                <w:szCs w:val="24"/>
              </w:rPr>
            </w:pPr>
            <w:r>
              <w:rPr>
                <w:rFonts w:ascii="Times New Roman" w:eastAsia="Calibri" w:hAnsi="Times New Roman" w:cs="Times New Roman"/>
                <w:szCs w:val="24"/>
              </w:rPr>
              <w:t xml:space="preserve">The study </w:t>
            </w:r>
            <w:r>
              <w:rPr>
                <w:rFonts w:ascii="Times New Roman" w:hAnsi="Times New Roman" w:cs="Times New Roman"/>
                <w:szCs w:val="24"/>
              </w:rPr>
              <w:t xml:space="preserve">analyzed the knowledge and skills possessed by staff engaged in facilitating ILS among medical undergraduate students </w:t>
            </w:r>
          </w:p>
        </w:tc>
        <w:tc>
          <w:tcPr>
            <w:tcW w:w="4016" w:type="dxa"/>
            <w:shd w:val="clear" w:color="auto" w:fill="auto"/>
          </w:tcPr>
          <w:p w14:paraId="1598AA4B" w14:textId="77777777" w:rsidR="00B01D46" w:rsidRDefault="0067013E">
            <w:pPr>
              <w:shd w:val="clear" w:color="auto" w:fill="FFFFFF"/>
              <w:tabs>
                <w:tab w:val="left" w:pos="360"/>
              </w:tabs>
              <w:spacing w:before="120" w:after="0" w:line="240" w:lineRule="auto"/>
              <w:ind w:right="65"/>
              <w:rPr>
                <w:rFonts w:ascii="Times New Roman" w:eastAsia="Calibri" w:hAnsi="Times New Roman" w:cs="Times New Roman"/>
                <w:szCs w:val="24"/>
              </w:rPr>
            </w:pPr>
            <w:r>
              <w:rPr>
                <w:rFonts w:ascii="Times New Roman" w:eastAsia="Calibri" w:hAnsi="Times New Roman" w:cs="Times New Roman"/>
                <w:szCs w:val="24"/>
              </w:rPr>
              <w:t xml:space="preserve">What knowledge skills and training are possessed by staff in facilitating ILS among </w:t>
            </w:r>
            <w:r>
              <w:rPr>
                <w:rFonts w:ascii="Times New Roman" w:hAnsi="Times New Roman" w:cs="Times New Roman"/>
                <w:szCs w:val="24"/>
              </w:rPr>
              <w:t xml:space="preserve">medical undergraduate students </w:t>
            </w:r>
            <w:r>
              <w:rPr>
                <w:rFonts w:ascii="Times New Roman" w:eastAsia="Calibri" w:hAnsi="Times New Roman" w:cs="Times New Roman"/>
                <w:szCs w:val="24"/>
              </w:rPr>
              <w:t>of Nairobi and Moi universities?</w:t>
            </w:r>
          </w:p>
        </w:tc>
      </w:tr>
      <w:tr w:rsidR="00B01D46" w14:paraId="21E11ED6" w14:textId="77777777">
        <w:trPr>
          <w:trHeight w:val="20"/>
        </w:trPr>
        <w:tc>
          <w:tcPr>
            <w:tcW w:w="6295" w:type="dxa"/>
            <w:shd w:val="clear" w:color="auto" w:fill="auto"/>
          </w:tcPr>
          <w:p w14:paraId="02754264" w14:textId="77777777" w:rsidR="00B01D46" w:rsidRDefault="0067013E">
            <w:pPr>
              <w:spacing w:after="0" w:line="240" w:lineRule="auto"/>
              <w:ind w:right="65"/>
              <w:rPr>
                <w:rFonts w:ascii="Times New Roman" w:hAnsi="Times New Roman" w:cs="Times New Roman"/>
                <w:szCs w:val="24"/>
              </w:rPr>
            </w:pPr>
            <w:r>
              <w:rPr>
                <w:rFonts w:ascii="Times New Roman" w:hAnsi="Times New Roman" w:cs="Times New Roman"/>
                <w:szCs w:val="24"/>
              </w:rPr>
              <w:t xml:space="preserve">Pejova et al, (2002); Kavulya, 2003; Amunga, (2011); Adeyoyin, (2006); Farrell, (2007); Ganley, &amp; Kraemer, (2005); Tilvawala &amp; Myers (2009); concur that trainers and learners lack basic computer and ICT skills and this has derailed the utilization and application of information literacy skills in information access, search, evaluate and use in Kenya </w:t>
            </w:r>
          </w:p>
        </w:tc>
        <w:tc>
          <w:tcPr>
            <w:tcW w:w="3690" w:type="dxa"/>
            <w:shd w:val="clear" w:color="auto" w:fill="auto"/>
          </w:tcPr>
          <w:p w14:paraId="67809B7E" w14:textId="77777777" w:rsidR="00B01D46" w:rsidRDefault="0067013E">
            <w:pPr>
              <w:spacing w:after="0" w:line="240" w:lineRule="auto"/>
              <w:ind w:right="65"/>
              <w:rPr>
                <w:rFonts w:ascii="Times New Roman" w:hAnsi="Times New Roman" w:cs="Times New Roman"/>
                <w:szCs w:val="24"/>
              </w:rPr>
            </w:pPr>
            <w:r>
              <w:rPr>
                <w:rFonts w:ascii="Times New Roman" w:eastAsia="Calibri" w:hAnsi="Times New Roman" w:cs="Times New Roman"/>
                <w:szCs w:val="24"/>
              </w:rPr>
              <w:t xml:space="preserve">The study sought to </w:t>
            </w:r>
            <w:r>
              <w:rPr>
                <w:rFonts w:ascii="Times New Roman" w:hAnsi="Times New Roman" w:cs="Times New Roman"/>
                <w:szCs w:val="24"/>
              </w:rPr>
              <w:t>explore the role of ICT in facilitating and promoting information literacy skills among medical undergraduate students at the two universities</w:t>
            </w:r>
          </w:p>
          <w:p w14:paraId="4BDA0E36" w14:textId="77777777" w:rsidR="00B01D46" w:rsidRDefault="00B01D46">
            <w:pPr>
              <w:spacing w:after="0" w:line="240" w:lineRule="auto"/>
              <w:ind w:right="65"/>
              <w:rPr>
                <w:rFonts w:ascii="Times New Roman" w:eastAsia="Calibri" w:hAnsi="Times New Roman" w:cs="Times New Roman"/>
                <w:szCs w:val="24"/>
              </w:rPr>
            </w:pPr>
          </w:p>
        </w:tc>
        <w:tc>
          <w:tcPr>
            <w:tcW w:w="4016" w:type="dxa"/>
            <w:shd w:val="clear" w:color="auto" w:fill="auto"/>
          </w:tcPr>
          <w:p w14:paraId="07600B82" w14:textId="77777777" w:rsidR="00B01D46" w:rsidRDefault="0067013E">
            <w:pPr>
              <w:spacing w:after="0" w:line="240" w:lineRule="auto"/>
              <w:ind w:right="65"/>
              <w:rPr>
                <w:rFonts w:ascii="Times New Roman" w:hAnsi="Times New Roman" w:cs="Times New Roman"/>
                <w:szCs w:val="24"/>
              </w:rPr>
            </w:pPr>
            <w:r>
              <w:rPr>
                <w:rFonts w:ascii="Times New Roman" w:hAnsi="Times New Roman" w:cs="Times New Roman"/>
                <w:szCs w:val="24"/>
              </w:rPr>
              <w:t>What is the role of ICT in facilitating and promoting the learning of information literacy skills among medical undergraduate students at the University of Nairobi and Moi University?</w:t>
            </w:r>
          </w:p>
          <w:p w14:paraId="0AA61E32" w14:textId="77777777" w:rsidR="00B01D46" w:rsidRDefault="00B01D46">
            <w:pPr>
              <w:pStyle w:val="ListParagraph"/>
              <w:spacing w:after="0" w:line="240" w:lineRule="auto"/>
              <w:ind w:left="0" w:right="65"/>
              <w:jc w:val="left"/>
              <w:rPr>
                <w:sz w:val="22"/>
                <w:szCs w:val="24"/>
              </w:rPr>
            </w:pPr>
          </w:p>
        </w:tc>
      </w:tr>
    </w:tbl>
    <w:p w14:paraId="5468B3D5" w14:textId="77777777" w:rsidR="00B01D46" w:rsidRDefault="00B01D46">
      <w:pPr>
        <w:spacing w:line="240" w:lineRule="auto"/>
        <w:ind w:right="65"/>
        <w:rPr>
          <w:rFonts w:ascii="Times New Roman" w:hAnsi="Times New Roman" w:cs="Times New Roman"/>
          <w:sz w:val="24"/>
          <w:szCs w:val="24"/>
        </w:rPr>
        <w:sectPr w:rsidR="00B01D46">
          <w:pgSz w:w="16834" w:h="11909" w:orient="landscape"/>
          <w:pgMar w:top="1584" w:right="1440" w:bottom="1440" w:left="1440" w:header="706" w:footer="706" w:gutter="0"/>
          <w:cols w:space="708"/>
          <w:docGrid w:linePitch="360"/>
        </w:sectPr>
      </w:pPr>
    </w:p>
    <w:p w14:paraId="4FC7E624" w14:textId="77777777" w:rsidR="00B01D46" w:rsidRDefault="0067013E">
      <w:pPr>
        <w:pStyle w:val="Heading1"/>
      </w:pPr>
      <w:bookmarkStart w:id="704" w:name="_Toc165369171"/>
      <w:bookmarkStart w:id="705" w:name="_Toc165973055"/>
      <w:bookmarkStart w:id="706" w:name="_Toc165367629"/>
      <w:bookmarkStart w:id="707" w:name="_Toc165368355"/>
      <w:bookmarkStart w:id="708" w:name="_Toc184272878"/>
      <w:bookmarkStart w:id="709" w:name="_Toc165975776"/>
      <w:bookmarkStart w:id="710" w:name="_Toc165365157"/>
      <w:bookmarkStart w:id="711" w:name="_Toc164664003"/>
      <w:bookmarkStart w:id="712" w:name="_Toc165898007"/>
      <w:bookmarkStart w:id="713" w:name="_Hlk139628913"/>
      <w:r>
        <w:lastRenderedPageBreak/>
        <w:t>CHAPTER FOUR</w:t>
      </w:r>
      <w:bookmarkEnd w:id="704"/>
      <w:bookmarkEnd w:id="705"/>
      <w:bookmarkEnd w:id="706"/>
      <w:bookmarkEnd w:id="707"/>
      <w:bookmarkEnd w:id="708"/>
      <w:bookmarkEnd w:id="709"/>
      <w:bookmarkEnd w:id="710"/>
      <w:bookmarkEnd w:id="711"/>
      <w:bookmarkEnd w:id="712"/>
    </w:p>
    <w:p w14:paraId="42D4E545" w14:textId="77777777" w:rsidR="00B01D46" w:rsidRDefault="0067013E">
      <w:pPr>
        <w:pStyle w:val="Heading1"/>
      </w:pPr>
      <w:bookmarkStart w:id="714" w:name="_Toc165368356"/>
      <w:bookmarkStart w:id="715" w:name="_Toc165975777"/>
      <w:bookmarkStart w:id="716" w:name="_Toc165367630"/>
      <w:bookmarkStart w:id="717" w:name="_Toc184272879"/>
      <w:bookmarkStart w:id="718" w:name="_Toc164664004"/>
      <w:bookmarkStart w:id="719" w:name="_Toc165973056"/>
      <w:bookmarkStart w:id="720" w:name="_Toc165369172"/>
      <w:bookmarkStart w:id="721" w:name="_Toc165365158"/>
      <w:bookmarkStart w:id="722" w:name="_Toc165898008"/>
      <w:r>
        <w:t>RESEARCH METHODOLOGY</w:t>
      </w:r>
      <w:bookmarkEnd w:id="714"/>
      <w:bookmarkEnd w:id="715"/>
      <w:bookmarkEnd w:id="716"/>
      <w:bookmarkEnd w:id="717"/>
      <w:bookmarkEnd w:id="718"/>
      <w:bookmarkEnd w:id="719"/>
      <w:bookmarkEnd w:id="720"/>
      <w:bookmarkEnd w:id="721"/>
      <w:bookmarkEnd w:id="722"/>
    </w:p>
    <w:p w14:paraId="7C6C5B02" w14:textId="77777777" w:rsidR="00B01D46" w:rsidRDefault="0067013E">
      <w:pPr>
        <w:pStyle w:val="Heading2"/>
      </w:pPr>
      <w:bookmarkStart w:id="723" w:name="_Toc165368357"/>
      <w:bookmarkStart w:id="724" w:name="_Toc165973057"/>
      <w:bookmarkStart w:id="725" w:name="_Toc165975778"/>
      <w:bookmarkStart w:id="726" w:name="_Toc165365159"/>
      <w:bookmarkStart w:id="727" w:name="_Toc165369173"/>
      <w:bookmarkStart w:id="728" w:name="_Toc165367631"/>
      <w:bookmarkStart w:id="729" w:name="_Toc165898009"/>
      <w:bookmarkStart w:id="730" w:name="_Toc164664005"/>
      <w:bookmarkStart w:id="731" w:name="_Toc184272880"/>
      <w:r>
        <w:t>4.1 Introduction</w:t>
      </w:r>
      <w:bookmarkEnd w:id="723"/>
      <w:bookmarkEnd w:id="724"/>
      <w:bookmarkEnd w:id="725"/>
      <w:bookmarkEnd w:id="726"/>
      <w:bookmarkEnd w:id="727"/>
      <w:bookmarkEnd w:id="728"/>
      <w:bookmarkEnd w:id="729"/>
      <w:bookmarkEnd w:id="730"/>
      <w:bookmarkEnd w:id="731"/>
    </w:p>
    <w:p w14:paraId="63EC5ED9" w14:textId="519EBB13" w:rsidR="00B01D46" w:rsidRDefault="0067013E">
      <w:pPr>
        <w:spacing w:after="0" w:line="480" w:lineRule="auto"/>
        <w:ind w:right="65" w:hanging="14"/>
        <w:jc w:val="both"/>
        <w:rPr>
          <w:rFonts w:ascii="Times New Roman" w:hAnsi="Times New Roman" w:cs="Times New Roman"/>
          <w:sz w:val="24"/>
          <w:szCs w:val="24"/>
        </w:rPr>
      </w:pPr>
      <w:r>
        <w:rPr>
          <w:rFonts w:ascii="Times New Roman" w:hAnsi="Times New Roman" w:cs="Times New Roman"/>
          <w:sz w:val="24"/>
          <w:szCs w:val="24"/>
        </w:rPr>
        <w:t xml:space="preserve">This chapter discusses the research methodology for this study and it is organized into the following thematic sections: research paradigm; research approach; research design; population of the study; sampling procedure; data collection procedures; validity and reliability; pre-testing procedure; ethical considerations; and data analysis. Willis (2007) and Creswell (2013), posit that research methodology is the road that researchers must take to conduct their study and the procedure that researchers use to describe, explain, and anticipate events. Kothari (2004); Cohen </w:t>
      </w:r>
      <w:r w:rsidR="00163A93">
        <w:rPr>
          <w:rFonts w:ascii="Times New Roman" w:hAnsi="Times New Roman" w:cs="Times New Roman"/>
          <w:sz w:val="24"/>
          <w:szCs w:val="24"/>
        </w:rPr>
        <w:t>&amp;</w:t>
      </w:r>
      <w:r>
        <w:rPr>
          <w:rFonts w:ascii="Times New Roman" w:hAnsi="Times New Roman" w:cs="Times New Roman"/>
          <w:sz w:val="24"/>
          <w:szCs w:val="24"/>
        </w:rPr>
        <w:t>Manion (2017) describe research methodology as a method of meticulously unravelling the thinking and study questions regarding the steps taken by the investigator in examining the issue under investigation as well as why certain methods or techniques are used while others are not, so that the findings of the study can be assessed by the researcher or others.</w:t>
      </w:r>
    </w:p>
    <w:p w14:paraId="7DFFA63C" w14:textId="77777777" w:rsidR="00B01D46" w:rsidRDefault="00B01D46">
      <w:pPr>
        <w:spacing w:after="0" w:line="240" w:lineRule="auto"/>
        <w:ind w:right="65" w:hanging="11"/>
        <w:jc w:val="both"/>
        <w:rPr>
          <w:rFonts w:ascii="Times New Roman" w:hAnsi="Times New Roman" w:cs="Times New Roman"/>
          <w:sz w:val="24"/>
          <w:szCs w:val="24"/>
        </w:rPr>
      </w:pPr>
    </w:p>
    <w:p w14:paraId="53995238" w14:textId="77777777" w:rsidR="00B01D46" w:rsidRDefault="0067013E">
      <w:pPr>
        <w:pStyle w:val="Heading2"/>
      </w:pPr>
      <w:bookmarkStart w:id="732" w:name="_Toc165898010"/>
      <w:bookmarkStart w:id="733" w:name="_Toc165975779"/>
      <w:bookmarkStart w:id="734" w:name="_Toc164664006"/>
      <w:bookmarkStart w:id="735" w:name="_Toc165368358"/>
      <w:bookmarkStart w:id="736" w:name="_Toc165367632"/>
      <w:bookmarkStart w:id="737" w:name="_Toc184272881"/>
      <w:bookmarkStart w:id="738" w:name="_Toc165365160"/>
      <w:bookmarkStart w:id="739" w:name="_Toc165369174"/>
      <w:bookmarkStart w:id="740" w:name="_Toc165973058"/>
      <w:r>
        <w:t>4.2 Research Paradigm</w:t>
      </w:r>
      <w:bookmarkEnd w:id="732"/>
      <w:bookmarkEnd w:id="733"/>
      <w:bookmarkEnd w:id="734"/>
      <w:bookmarkEnd w:id="735"/>
      <w:bookmarkEnd w:id="736"/>
      <w:bookmarkEnd w:id="737"/>
      <w:bookmarkEnd w:id="738"/>
      <w:bookmarkEnd w:id="739"/>
      <w:bookmarkEnd w:id="740"/>
    </w:p>
    <w:p w14:paraId="3BF40317"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 term research paradigm was coined by Thomas Kuhn in 1962 to denote a set of views and demands in any form of scientific inquiry (Creswell et al, 2012).  Creswell (2012) states that a research paradigm is the whole conceptual framework under which information is created to better how things are done. A research paradigm enables the investigator to be innovative and imaginative in selecting and adapting approaches that they were unaware of. (Creswell, 2013; and Babbie, 2007).</w:t>
      </w:r>
    </w:p>
    <w:p w14:paraId="1B274D8B"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Kuhn (1970) argues that applying a research paradigm in a scientific inquiry is a sign of scientific maturity. In this regard, Hay (2002) point out the components of research </w:t>
      </w:r>
      <w:r>
        <w:rPr>
          <w:rFonts w:ascii="Times New Roman" w:hAnsi="Times New Roman" w:cs="Times New Roman"/>
          <w:sz w:val="24"/>
          <w:szCs w:val="24"/>
        </w:rPr>
        <w:lastRenderedPageBreak/>
        <w:t xml:space="preserve">paradigm to be ontology, epistemology, theory, methodology, methods, and sources. Further explanations of the components are as follows: </w:t>
      </w:r>
    </w:p>
    <w:p w14:paraId="4DD68C36" w14:textId="77777777" w:rsidR="00B01D46" w:rsidRDefault="0067013E">
      <w:pPr>
        <w:pStyle w:val="ListParagraph"/>
        <w:numPr>
          <w:ilvl w:val="0"/>
          <w:numId w:val="10"/>
        </w:numPr>
        <w:spacing w:before="120" w:after="0" w:line="480" w:lineRule="auto"/>
        <w:ind w:left="567" w:right="65" w:hanging="425"/>
        <w:contextualSpacing w:val="0"/>
        <w:rPr>
          <w:szCs w:val="24"/>
        </w:rPr>
      </w:pPr>
      <w:r>
        <w:rPr>
          <w:szCs w:val="24"/>
        </w:rPr>
        <w:t>Ontology: According to Richards (2003) ontology is a description of our beliefs about reality.</w:t>
      </w:r>
    </w:p>
    <w:p w14:paraId="3ACDCEBB" w14:textId="77777777" w:rsidR="00B01D46" w:rsidRDefault="0067013E">
      <w:pPr>
        <w:pStyle w:val="ListParagraph"/>
        <w:numPr>
          <w:ilvl w:val="0"/>
          <w:numId w:val="10"/>
        </w:numPr>
        <w:spacing w:before="120" w:after="0" w:line="480" w:lineRule="auto"/>
        <w:ind w:left="567" w:right="65" w:hanging="425"/>
        <w:contextualSpacing w:val="0"/>
        <w:rPr>
          <w:szCs w:val="24"/>
        </w:rPr>
      </w:pPr>
      <w:r>
        <w:rPr>
          <w:szCs w:val="24"/>
        </w:rPr>
        <w:t xml:space="preserve">Epistemology: </w:t>
      </w:r>
      <w:r>
        <w:rPr>
          <w:color w:val="222222"/>
          <w:szCs w:val="24"/>
          <w:shd w:val="clear" w:color="auto" w:fill="FFFFFF"/>
        </w:rPr>
        <w:t>Divayana, et al (2021)</w:t>
      </w:r>
      <w:r>
        <w:rPr>
          <w:szCs w:val="24"/>
        </w:rPr>
        <w:t xml:space="preserve"> posits that epistemology is knowledge and the procedure by which knowledge is learned and authenticated</w:t>
      </w:r>
    </w:p>
    <w:p w14:paraId="0480B0FB" w14:textId="77777777" w:rsidR="00B01D46" w:rsidRDefault="0067013E">
      <w:pPr>
        <w:pStyle w:val="ListParagraph"/>
        <w:numPr>
          <w:ilvl w:val="0"/>
          <w:numId w:val="10"/>
        </w:numPr>
        <w:spacing w:before="120" w:after="0" w:line="480" w:lineRule="auto"/>
        <w:ind w:left="567" w:right="65" w:hanging="425"/>
        <w:contextualSpacing w:val="0"/>
        <w:rPr>
          <w:szCs w:val="24"/>
        </w:rPr>
      </w:pPr>
      <w:r>
        <w:rPr>
          <w:szCs w:val="24"/>
        </w:rPr>
        <w:t>A theoretical perspective: These are realistic conventions that influence the inquiries we seek and the types of replies we receive as a consequence. In this sense, a theoretical viewpoint might be thought of as a lens through which we see, either focusing or distorting what we observe.</w:t>
      </w:r>
    </w:p>
    <w:p w14:paraId="581246E1" w14:textId="77777777" w:rsidR="00B01D46" w:rsidRDefault="0067013E">
      <w:pPr>
        <w:pStyle w:val="ListParagraph"/>
        <w:numPr>
          <w:ilvl w:val="0"/>
          <w:numId w:val="10"/>
        </w:numPr>
        <w:spacing w:before="120" w:after="0" w:line="480" w:lineRule="auto"/>
        <w:ind w:left="567" w:right="65" w:hanging="425"/>
        <w:contextualSpacing w:val="0"/>
        <w:rPr>
          <w:szCs w:val="24"/>
        </w:rPr>
      </w:pPr>
      <w:r>
        <w:rPr>
          <w:szCs w:val="24"/>
        </w:rPr>
        <w:t>Methodology: This is a process strategy for action, or plan, that guides the selection of research methods.</w:t>
      </w:r>
    </w:p>
    <w:p w14:paraId="5035FA55" w14:textId="77777777" w:rsidR="00B01D46" w:rsidRDefault="0067013E">
      <w:pPr>
        <w:pStyle w:val="ListParagraph"/>
        <w:numPr>
          <w:ilvl w:val="0"/>
          <w:numId w:val="10"/>
        </w:numPr>
        <w:autoSpaceDE w:val="0"/>
        <w:autoSpaceDN w:val="0"/>
        <w:adjustRightInd w:val="0"/>
        <w:spacing w:before="120" w:after="0" w:line="480" w:lineRule="auto"/>
        <w:ind w:left="567" w:right="65" w:hanging="425"/>
        <w:contextualSpacing w:val="0"/>
        <w:rPr>
          <w:szCs w:val="24"/>
        </w:rPr>
      </w:pPr>
      <w:r>
        <w:rPr>
          <w:szCs w:val="24"/>
        </w:rPr>
        <w:t>Methods: These are particular methods for gathering and analyzing data, such as interviews and surveys.</w:t>
      </w:r>
    </w:p>
    <w:p w14:paraId="41D16B7E" w14:textId="77777777" w:rsidR="00B01D46" w:rsidRDefault="0067013E">
      <w:pPr>
        <w:pStyle w:val="ListParagraph"/>
        <w:numPr>
          <w:ilvl w:val="0"/>
          <w:numId w:val="10"/>
        </w:numPr>
        <w:autoSpaceDE w:val="0"/>
        <w:autoSpaceDN w:val="0"/>
        <w:adjustRightInd w:val="0"/>
        <w:spacing w:before="120" w:after="0" w:line="480" w:lineRule="auto"/>
        <w:ind w:left="567" w:right="65" w:hanging="425"/>
        <w:contextualSpacing w:val="0"/>
        <w:rPr>
          <w:szCs w:val="24"/>
        </w:rPr>
      </w:pPr>
      <w:r>
        <w:rPr>
          <w:szCs w:val="24"/>
        </w:rPr>
        <w:t>Source: Defined as an individual, object, or location from which knowledge originates, arises, or is received</w:t>
      </w:r>
    </w:p>
    <w:p w14:paraId="1A1587BC"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Creswell (2003) and Cohen et al (2017) state that the type of paradigm selected stipulates the goal, enthusiasm, and anticipated results of a study. Creswell (2003); Cohen et al (2017); Saunders et al (2010), and Sakyi (2017) concur that research paradigms can be categorized into the following: </w:t>
      </w:r>
    </w:p>
    <w:p w14:paraId="4704EB4C" w14:textId="77777777" w:rsidR="00B01D46" w:rsidRDefault="0067013E">
      <w:pPr>
        <w:autoSpaceDE w:val="0"/>
        <w:autoSpaceDN w:val="0"/>
        <w:adjustRightInd w:val="0"/>
        <w:spacing w:before="120" w:after="0" w:line="480" w:lineRule="auto"/>
        <w:ind w:left="284" w:right="65" w:hanging="284"/>
        <w:jc w:val="both"/>
        <w:rPr>
          <w:rFonts w:ascii="Times New Roman" w:hAnsi="Times New Roman" w:cs="Times New Roman"/>
          <w:sz w:val="24"/>
          <w:szCs w:val="24"/>
        </w:rPr>
      </w:pPr>
      <w:r>
        <w:rPr>
          <w:rFonts w:ascii="Times New Roman" w:hAnsi="Times New Roman" w:cs="Times New Roman"/>
          <w:sz w:val="24"/>
          <w:szCs w:val="24"/>
        </w:rPr>
        <w:t xml:space="preserve"> 1) Positivist paradigm: This philosophical epoch is anchored on the belief that observation and reasoning may help people comprehend human conduct. This viewpoint is common in quantitative research. </w:t>
      </w:r>
    </w:p>
    <w:p w14:paraId="22C39EB3" w14:textId="77777777" w:rsidR="00B01D46" w:rsidRDefault="0067013E">
      <w:pPr>
        <w:autoSpaceDE w:val="0"/>
        <w:autoSpaceDN w:val="0"/>
        <w:adjustRightInd w:val="0"/>
        <w:spacing w:before="120" w:after="0" w:line="480" w:lineRule="auto"/>
        <w:ind w:left="284" w:right="65" w:hanging="284"/>
        <w:jc w:val="both"/>
        <w:rPr>
          <w:rFonts w:ascii="Times New Roman" w:hAnsi="Times New Roman" w:cs="Times New Roman"/>
          <w:sz w:val="24"/>
          <w:szCs w:val="24"/>
        </w:rPr>
      </w:pPr>
      <w:r>
        <w:rPr>
          <w:rFonts w:ascii="Times New Roman" w:hAnsi="Times New Roman" w:cs="Times New Roman"/>
          <w:sz w:val="24"/>
          <w:szCs w:val="24"/>
        </w:rPr>
        <w:lastRenderedPageBreak/>
        <w:t xml:space="preserve">2) Constructivist paradigm. According to the idea, persons build their grasp and understanding of the universe by engaging in activities and reflecting on their experiences. When we learn something new, we have to incorporate it into our prior opinions and observations, which may force us to adjust our views or disregard the new information as irrelevant. In any case, we have an active role in shaping our understanding. For this to be so, we need to pose questions, explore, and assess what we know. (Creswell &amp; Clark, 2011), </w:t>
      </w:r>
    </w:p>
    <w:p w14:paraId="45ABF592" w14:textId="517B9A19" w:rsidR="00B01D46" w:rsidRDefault="0067013E">
      <w:pPr>
        <w:autoSpaceDE w:val="0"/>
        <w:autoSpaceDN w:val="0"/>
        <w:adjustRightInd w:val="0"/>
        <w:spacing w:before="120" w:after="0" w:line="480" w:lineRule="auto"/>
        <w:ind w:left="284" w:right="65" w:hanging="284"/>
        <w:jc w:val="both"/>
        <w:rPr>
          <w:rFonts w:ascii="Times New Roman" w:hAnsi="Times New Roman" w:cs="Times New Roman"/>
          <w:sz w:val="24"/>
          <w:szCs w:val="24"/>
        </w:rPr>
      </w:pPr>
      <w:r>
        <w:rPr>
          <w:rFonts w:ascii="Times New Roman" w:hAnsi="Times New Roman" w:cs="Times New Roman"/>
          <w:sz w:val="24"/>
          <w:szCs w:val="24"/>
        </w:rPr>
        <w:t xml:space="preserve">3) </w:t>
      </w:r>
      <w:bookmarkStart w:id="741" w:name="_Hlk115695310"/>
      <w:r>
        <w:rPr>
          <w:rFonts w:ascii="Times New Roman" w:hAnsi="Times New Roman" w:cs="Times New Roman"/>
          <w:sz w:val="24"/>
          <w:szCs w:val="24"/>
        </w:rPr>
        <w:t xml:space="preserve">Pragmatic paradigm Creswell </w:t>
      </w:r>
      <w:r w:rsidR="00163A93">
        <w:rPr>
          <w:rFonts w:ascii="Times New Roman" w:hAnsi="Times New Roman" w:cs="Times New Roman"/>
          <w:sz w:val="24"/>
          <w:szCs w:val="24"/>
        </w:rPr>
        <w:t>&amp;</w:t>
      </w:r>
      <w:r>
        <w:rPr>
          <w:rFonts w:ascii="Times New Roman" w:hAnsi="Times New Roman" w:cs="Times New Roman"/>
          <w:sz w:val="24"/>
          <w:szCs w:val="24"/>
        </w:rPr>
        <w:t xml:space="preserve"> Clark, (2011), Creswell, (2009), and Badley, (2013) state that the pragmatic paradigm emphasizes that reality is actively cred by individuals’ ever-changing actions on earth. It permits researchers with freedom to apply available strategies and methods to solve a problem at hand</w:t>
      </w:r>
      <w:bookmarkEnd w:id="741"/>
      <w:r>
        <w:rPr>
          <w:rFonts w:ascii="Times New Roman" w:hAnsi="Times New Roman" w:cs="Times New Roman"/>
          <w:sz w:val="24"/>
          <w:szCs w:val="24"/>
        </w:rPr>
        <w:t xml:space="preserve">. </w:t>
      </w:r>
    </w:p>
    <w:p w14:paraId="70F8B2E2" w14:textId="77777777" w:rsidR="00B01D46" w:rsidRDefault="0067013E">
      <w:pPr>
        <w:autoSpaceDE w:val="0"/>
        <w:autoSpaceDN w:val="0"/>
        <w:adjustRightInd w:val="0"/>
        <w:spacing w:before="120" w:after="0" w:line="480" w:lineRule="auto"/>
        <w:ind w:left="284" w:right="65" w:hanging="284"/>
        <w:jc w:val="both"/>
        <w:rPr>
          <w:rFonts w:ascii="Times New Roman" w:hAnsi="Times New Roman" w:cs="Times New Roman"/>
          <w:sz w:val="24"/>
          <w:szCs w:val="24"/>
        </w:rPr>
      </w:pPr>
      <w:r>
        <w:rPr>
          <w:rFonts w:ascii="Times New Roman" w:hAnsi="Times New Roman" w:cs="Times New Roman"/>
          <w:sz w:val="24"/>
          <w:szCs w:val="24"/>
        </w:rPr>
        <w:t xml:space="preserve">4) Participatory approaches </w:t>
      </w:r>
      <w:r>
        <w:rPr>
          <w:rFonts w:ascii="Times New Roman" w:hAnsi="Times New Roman" w:cs="Times New Roman"/>
          <w:spacing w:val="8"/>
          <w:sz w:val="24"/>
          <w:szCs w:val="24"/>
          <w:shd w:val="clear" w:color="auto" w:fill="FFFFFF"/>
        </w:rPr>
        <w:t>ascertain that the persons in charge of solving a problem or designing an innovation are those people concerned with the study outcome</w:t>
      </w:r>
      <w:r>
        <w:rPr>
          <w:rFonts w:ascii="Times New Roman" w:hAnsi="Times New Roman" w:cs="Times New Roman"/>
          <w:sz w:val="24"/>
          <w:szCs w:val="24"/>
        </w:rPr>
        <w:t xml:space="preserve"> (Creswell, 2003; Rubin &amp; Babbie, 2008). </w:t>
      </w:r>
      <w:r>
        <w:rPr>
          <w:rFonts w:ascii="Times New Roman" w:hAnsi="Times New Roman" w:cs="Times New Roman"/>
          <w:spacing w:val="8"/>
          <w:sz w:val="24"/>
          <w:szCs w:val="24"/>
          <w:shd w:val="clear" w:color="auto" w:fill="FFFFFF"/>
        </w:rPr>
        <w:t xml:space="preserve">Problem-solving and innovation are thus conducted directly about the situation to be transformed. </w:t>
      </w:r>
    </w:p>
    <w:p w14:paraId="0FF387EF" w14:textId="77777777" w:rsidR="00B01D46" w:rsidRDefault="0067013E">
      <w:pPr>
        <w:autoSpaceDE w:val="0"/>
        <w:autoSpaceDN w:val="0"/>
        <w:adjustRightInd w:val="0"/>
        <w:spacing w:before="120" w:after="0" w:line="480" w:lineRule="auto"/>
        <w:ind w:left="284" w:right="65" w:hanging="284"/>
        <w:jc w:val="both"/>
        <w:rPr>
          <w:rFonts w:ascii="Times New Roman" w:hAnsi="Times New Roman" w:cs="Times New Roman"/>
          <w:sz w:val="24"/>
          <w:szCs w:val="24"/>
        </w:rPr>
      </w:pPr>
      <w:r>
        <w:rPr>
          <w:rFonts w:ascii="Times New Roman" w:hAnsi="Times New Roman" w:cs="Times New Roman"/>
          <w:sz w:val="24"/>
          <w:szCs w:val="24"/>
        </w:rPr>
        <w:t>The pragmatist paradigm underpinned this study as discussed below.</w:t>
      </w:r>
    </w:p>
    <w:p w14:paraId="0CB28ACF" w14:textId="77777777" w:rsidR="00B01D46" w:rsidRDefault="00B01D46">
      <w:pPr>
        <w:autoSpaceDE w:val="0"/>
        <w:autoSpaceDN w:val="0"/>
        <w:adjustRightInd w:val="0"/>
        <w:spacing w:after="0" w:line="240" w:lineRule="auto"/>
        <w:ind w:left="284" w:right="65" w:hanging="284"/>
        <w:jc w:val="both"/>
        <w:rPr>
          <w:rFonts w:ascii="Times New Roman" w:hAnsi="Times New Roman" w:cs="Times New Roman"/>
          <w:sz w:val="24"/>
          <w:szCs w:val="24"/>
        </w:rPr>
      </w:pPr>
    </w:p>
    <w:p w14:paraId="3883D668" w14:textId="77777777" w:rsidR="00B01D46" w:rsidRDefault="0067013E">
      <w:pPr>
        <w:pStyle w:val="Heading3"/>
      </w:pPr>
      <w:bookmarkStart w:id="742" w:name="_Toc164664007"/>
      <w:bookmarkStart w:id="743" w:name="_Toc165368359"/>
      <w:bookmarkStart w:id="744" w:name="_Toc165367633"/>
      <w:bookmarkStart w:id="745" w:name="_Toc165973059"/>
      <w:bookmarkStart w:id="746" w:name="_Toc165369175"/>
      <w:bookmarkStart w:id="747" w:name="_Toc165365161"/>
      <w:bookmarkStart w:id="748" w:name="_Toc165975780"/>
      <w:bookmarkStart w:id="749" w:name="_Toc165898011"/>
      <w:bookmarkStart w:id="750" w:name="_Toc184272882"/>
      <w:r>
        <w:t>4.2.1 Pragmatist Paradigm</w:t>
      </w:r>
      <w:bookmarkEnd w:id="742"/>
      <w:bookmarkEnd w:id="743"/>
      <w:bookmarkEnd w:id="744"/>
      <w:bookmarkEnd w:id="745"/>
      <w:bookmarkEnd w:id="746"/>
      <w:bookmarkEnd w:id="747"/>
      <w:bookmarkEnd w:id="748"/>
      <w:bookmarkEnd w:id="749"/>
      <w:bookmarkEnd w:id="750"/>
      <w:r>
        <w:t xml:space="preserve"> </w:t>
      </w:r>
    </w:p>
    <w:p w14:paraId="34C517E4" w14:textId="7777777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Pragmatism permits researchers with freedom to apply available strategies and methods to solve a problem at hand. Consequently, the paradigm emphasizes “what works” instead of what is viewed as unquestionably and factually “true” or “real”. Creswell (2008) argues that pragmatism emphasizes Decisions concerning which aims are most important and which tactics are most appropriate. Pragmatism's affinity with transformational, liberating, and collaborative study models allows for a more in-depth analysis of social issues. Furthermore, Badley (2003) and Creswell (2008) </w:t>
      </w:r>
      <w:r>
        <w:rPr>
          <w:rFonts w:ascii="Times New Roman" w:hAnsi="Times New Roman" w:cs="Times New Roman"/>
          <w:sz w:val="24"/>
          <w:szCs w:val="24"/>
        </w:rPr>
        <w:lastRenderedPageBreak/>
        <w:t xml:space="preserve">agree that pragmatism is a connection between actions and consequences and not descriptions of reality. The study adopted pragmatic paradigm because, in discussing pragmatism </w:t>
      </w:r>
      <w:r>
        <w:rPr>
          <w:rFonts w:ascii="Times New Roman" w:hAnsi="Times New Roman" w:cs="Times New Roman"/>
          <w:color w:val="222222"/>
          <w:sz w:val="24"/>
          <w:szCs w:val="24"/>
          <w:shd w:val="clear" w:color="auto" w:fill="FFFFFF"/>
        </w:rPr>
        <w:t xml:space="preserve">Shusterman (2016) avers that; </w:t>
      </w:r>
    </w:p>
    <w:p w14:paraId="083263F1" w14:textId="77777777" w:rsidR="00B01D46" w:rsidRDefault="0067013E">
      <w:pPr>
        <w:pStyle w:val="ListParagraph"/>
        <w:numPr>
          <w:ilvl w:val="0"/>
          <w:numId w:val="11"/>
        </w:numPr>
        <w:spacing w:after="0" w:line="480" w:lineRule="auto"/>
        <w:ind w:right="65"/>
        <w:rPr>
          <w:szCs w:val="24"/>
        </w:rPr>
      </w:pPr>
      <w:r>
        <w:rPr>
          <w:szCs w:val="24"/>
        </w:rPr>
        <w:t xml:space="preserve">Pragmatism does not adhere to a single philosophy or reality system: </w:t>
      </w:r>
    </w:p>
    <w:p w14:paraId="1030CD6D" w14:textId="77777777" w:rsidR="00B01D46" w:rsidRDefault="0067013E">
      <w:pPr>
        <w:pStyle w:val="ListParagraph"/>
        <w:numPr>
          <w:ilvl w:val="0"/>
          <w:numId w:val="11"/>
        </w:numPr>
        <w:spacing w:after="0" w:line="480" w:lineRule="auto"/>
        <w:ind w:right="65"/>
        <w:rPr>
          <w:szCs w:val="24"/>
        </w:rPr>
      </w:pPr>
      <w:r>
        <w:rPr>
          <w:szCs w:val="24"/>
        </w:rPr>
        <w:t xml:space="preserve">Individual researchers are free to choose; </w:t>
      </w:r>
    </w:p>
    <w:p w14:paraId="3B457CE7" w14:textId="77777777" w:rsidR="00B01D46" w:rsidRDefault="0067013E">
      <w:pPr>
        <w:pStyle w:val="ListParagraph"/>
        <w:numPr>
          <w:ilvl w:val="0"/>
          <w:numId w:val="11"/>
        </w:numPr>
        <w:spacing w:after="0" w:line="480" w:lineRule="auto"/>
        <w:ind w:right="65"/>
        <w:rPr>
          <w:szCs w:val="24"/>
        </w:rPr>
      </w:pPr>
      <w:r>
        <w:rPr>
          <w:szCs w:val="24"/>
        </w:rPr>
        <w:t xml:space="preserve">When conducting research, the investigators freely draw from both quantitative and qualitative assumptions. They are free to select the research methods, strategies, and procedures that best suit their requirements and goals; </w:t>
      </w:r>
    </w:p>
    <w:p w14:paraId="73D58D7F" w14:textId="77777777" w:rsidR="00B01D46" w:rsidRDefault="0067013E">
      <w:pPr>
        <w:pStyle w:val="ListParagraph"/>
        <w:numPr>
          <w:ilvl w:val="0"/>
          <w:numId w:val="11"/>
        </w:numPr>
        <w:spacing w:after="0" w:line="480" w:lineRule="auto"/>
        <w:ind w:right="65"/>
        <w:rPr>
          <w:szCs w:val="24"/>
        </w:rPr>
      </w:pPr>
      <w:r>
        <w:rPr>
          <w:szCs w:val="24"/>
        </w:rPr>
        <w:t xml:space="preserve">Pragmatists do not view the world as a single entity; rather, they consider a variety of ways to data collection and analysis rather than sticking to just one. </w:t>
      </w:r>
    </w:p>
    <w:p w14:paraId="62A22A56" w14:textId="77777777" w:rsidR="00B01D46" w:rsidRDefault="0067013E">
      <w:pPr>
        <w:spacing w:line="480" w:lineRule="auto"/>
        <w:ind w:right="65"/>
        <w:jc w:val="both"/>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zCs w:val="24"/>
        </w:rPr>
        <w:t>Additionally, the study embraced the pragmatic paradigm since it emphasizes the research problem and the application of heterogeneous methodologies to learn more about it (</w:t>
      </w:r>
      <w:r>
        <w:rPr>
          <w:rFonts w:ascii="Times New Roman" w:hAnsi="Times New Roman" w:cs="Times New Roman"/>
          <w:color w:val="222222"/>
          <w:sz w:val="24"/>
          <w:szCs w:val="24"/>
          <w:shd w:val="clear" w:color="auto" w:fill="FFFFFF"/>
        </w:rPr>
        <w:t>Stuhr, 2015). The study sought to assess the ILS among medical undergraduate students in two selected universities. </w:t>
      </w:r>
      <w:bookmarkStart w:id="751" w:name="_Hlk158377638"/>
    </w:p>
    <w:p w14:paraId="023EFFFC"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choice of paradigm was influenced by the fact that information literacy skills is influenced to a large extent socio-economic and technological context whose exploration would require an understanding and propping through pragmatic perspective. Some of the concepts in the study are based on unique opinions, personal experiences and expectations, traditions and cultures all experienced within certain social contexts that could differ from individual to individual or from group to group. These may not necessarily be able to be quantified or analysed quantitatively and each scenario needs to be described in its unique context. On the other hand, some of the concepts are purely quantitative or numerical and need to be handled as such to answer the research questions effectively. In conducting the study, the researcher </w:t>
      </w:r>
      <w:r>
        <w:rPr>
          <w:rFonts w:ascii="Times New Roman" w:hAnsi="Times New Roman" w:cs="Times New Roman"/>
          <w:sz w:val="24"/>
          <w:szCs w:val="24"/>
        </w:rPr>
        <w:lastRenderedPageBreak/>
        <w:t>sought to gain an in-depth description of experiences based on the pragmatism assumption that meaning is embedded in experiences, and therefore, in order to uncover meaning, one has to uncover experience (</w:t>
      </w:r>
      <w:r>
        <w:rPr>
          <w:rFonts w:ascii="Times New Roman" w:hAnsi="Times New Roman" w:cs="Times New Roman"/>
          <w:color w:val="222222"/>
          <w:sz w:val="24"/>
          <w:szCs w:val="24"/>
          <w:shd w:val="clear" w:color="auto" w:fill="FFFFFF"/>
        </w:rPr>
        <w:t xml:space="preserve">Morgan, 2014). </w:t>
      </w:r>
      <w:r>
        <w:rPr>
          <w:rFonts w:ascii="Times New Roman" w:hAnsi="Times New Roman" w:cs="Times New Roman"/>
          <w:sz w:val="24"/>
          <w:szCs w:val="24"/>
        </w:rPr>
        <w:t>In this study, some of the questions in the questionnaire (See Appendices 1 and 2) were closed-item questions (therefore quantitative) such as --Please indicate the information literacy skills you have gained that aid you in carrying out your studies ‘, and „ What skills does the ILS policy cover?” where respondents were asked to select answers from a given list. Other questions were open ended (therefore qualitative) such as „Please comment on other gains you have as a result of learning information literacy skills ‟ and „In your opinion, are the skills possessed by staff adequate in facilitating ILS instruction in your institution?” These questions required the respondents to give their personal experience and opinions in answer to the questions.</w:t>
      </w:r>
    </w:p>
    <w:p w14:paraId="45EF18C0"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researcher is in agreement with </w:t>
      </w:r>
      <w:r>
        <w:rPr>
          <w:rFonts w:ascii="Times New Roman" w:hAnsi="Times New Roman" w:cs="Times New Roman"/>
          <w:color w:val="222222"/>
          <w:sz w:val="24"/>
          <w:szCs w:val="24"/>
          <w:shd w:val="clear" w:color="auto" w:fill="FFFFFF"/>
        </w:rPr>
        <w:t>Simpson, (2018)</w:t>
      </w:r>
      <w:r>
        <w:rPr>
          <w:rFonts w:ascii="Times New Roman" w:hAnsi="Times New Roman" w:cs="Times New Roman"/>
          <w:sz w:val="24"/>
          <w:szCs w:val="24"/>
        </w:rPr>
        <w:t xml:space="preserve"> who opines that science requires precision, logical reasoning and attention to evidence but this is not confined to that which can be directly perceived. Evidence can be in inferable forms such as the self-reports inherent in interviews or questionnaires. Furthermore, the use of mixed methods in this study served to test consistency of findings from both quantitative and qualitative methods (i.e. corroboration). Mixing methods also enriched the study by revealing details that would otherwise be left out if just one method was employed. This is in line with the purposes of mixing methods in research, namely corroboration and elaboration, as proposed by Cohen et al, (2018).</w:t>
      </w:r>
    </w:p>
    <w:p w14:paraId="00954C0E" w14:textId="77777777" w:rsidR="00B01D46" w:rsidRDefault="0067013E">
      <w:pPr>
        <w:autoSpaceDE w:val="0"/>
        <w:autoSpaceDN w:val="0"/>
        <w:adjustRightInd w:val="0"/>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Again, in applying pragmatism to the current study the researcher understands that ILS among medicine, dentistry and nursing undergraduate students are not fixed and would vary from case to case, and would require different methods to institute them. Hence, pragmatist paradigm was found appropriate for this study because it provided </w:t>
      </w:r>
      <w:r>
        <w:rPr>
          <w:rFonts w:ascii="Times New Roman" w:hAnsi="Times New Roman" w:cs="Times New Roman"/>
          <w:sz w:val="24"/>
          <w:szCs w:val="24"/>
        </w:rPr>
        <w:lastRenderedPageBreak/>
        <w:t xml:space="preserve">the study with the litheness needed to select analytical techniques that satisfactorily addressed all the research questions. The triangulation that resulted from the combination of both qualitative and quantitative data helped the researcher in generalization of the study findings (Onwuegbuzie, 2009). This enabled the researcher to cross-check for consistency of data and facts on specific items, thus validating the data collected. </w:t>
      </w:r>
    </w:p>
    <w:p w14:paraId="7A937871"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Moreover, this study adopted the pragmatist paradigm since it provided a pathway to choose inquiry methodologies that best addressed the study research questions. As such, the mixed method strategy selected enabled the researcher to collect both qualitative and quantitative data. </w:t>
      </w:r>
    </w:p>
    <w:p w14:paraId="06809292" w14:textId="0DD394E4" w:rsidR="00B01D46" w:rsidRDefault="0067013E">
      <w:pPr>
        <w:spacing w:line="480" w:lineRule="auto"/>
        <w:ind w:right="65"/>
        <w:jc w:val="both"/>
        <w:rPr>
          <w:rFonts w:ascii="Times New Roman" w:eastAsia="Times New Roman" w:hAnsi="Times New Roman" w:cs="Times New Roman"/>
          <w:sz w:val="24"/>
          <w:szCs w:val="24"/>
        </w:rPr>
      </w:pPr>
      <w:r>
        <w:rPr>
          <w:rFonts w:ascii="Times New Roman" w:hAnsi="Times New Roman" w:cs="Times New Roman"/>
          <w:sz w:val="24"/>
          <w:szCs w:val="24"/>
        </w:rPr>
        <w:t xml:space="preserve">Morgan (2007); Tashakkori and Teddlie (2010); Creswell (2012), agree that pragmatic individuals support a sort of naturalism (the view that philosophy is concurrent with science rather than before it), making them suited for mixed-method research.  </w:t>
      </w:r>
      <w:r>
        <w:rPr>
          <w:rFonts w:ascii="Times New Roman" w:eastAsia="Times New Roman" w:hAnsi="Times New Roman" w:cs="Times New Roman"/>
          <w:sz w:val="24"/>
          <w:szCs w:val="24"/>
        </w:rPr>
        <w:t>In addition, t</w:t>
      </w:r>
      <w:r>
        <w:rPr>
          <w:rFonts w:ascii="Times New Roman" w:hAnsi="Times New Roman" w:cs="Times New Roman"/>
          <w:sz w:val="24"/>
          <w:szCs w:val="24"/>
        </w:rPr>
        <w:t xml:space="preserve">he consequence of integrating quantitative and qualitative results is the likelihood of realizing a wholesome scenario concerning the research topic (Johnson </w:t>
      </w:r>
      <w:r w:rsidR="00163A93">
        <w:rPr>
          <w:rFonts w:ascii="Times New Roman" w:hAnsi="Times New Roman" w:cs="Times New Roman"/>
          <w:sz w:val="24"/>
          <w:szCs w:val="24"/>
        </w:rPr>
        <w:t>&amp;</w:t>
      </w:r>
      <w:r>
        <w:rPr>
          <w:rFonts w:ascii="Times New Roman" w:hAnsi="Times New Roman" w:cs="Times New Roman"/>
          <w:sz w:val="24"/>
          <w:szCs w:val="24"/>
        </w:rPr>
        <w:t xml:space="preserve"> Onwuegbuzie, 2004). Furthermore, Onwuegbuzie (2009) allude that a research study that adopts mixed methods enables triangulation of quantitative and qualitative findings. </w:t>
      </w:r>
      <w:bookmarkEnd w:id="751"/>
    </w:p>
    <w:p w14:paraId="0D83B24D" w14:textId="77777777" w:rsidR="00B01D46" w:rsidRDefault="0067013E">
      <w:pPr>
        <w:pStyle w:val="Heading2"/>
      </w:pPr>
      <w:bookmarkStart w:id="752" w:name="_Toc165975781"/>
      <w:bookmarkStart w:id="753" w:name="_Toc165973060"/>
      <w:bookmarkStart w:id="754" w:name="_Toc165365162"/>
      <w:bookmarkStart w:id="755" w:name="_Toc184272883"/>
      <w:bookmarkStart w:id="756" w:name="_Toc165898012"/>
      <w:bookmarkStart w:id="757" w:name="_Toc165369176"/>
      <w:bookmarkStart w:id="758" w:name="_Toc164664008"/>
      <w:bookmarkStart w:id="759" w:name="_Toc165368360"/>
      <w:bookmarkStart w:id="760" w:name="_Toc165367634"/>
      <w:r>
        <w:t>4.3 Research Approaches</w:t>
      </w:r>
      <w:bookmarkEnd w:id="752"/>
      <w:bookmarkEnd w:id="753"/>
      <w:bookmarkEnd w:id="754"/>
      <w:bookmarkEnd w:id="755"/>
      <w:bookmarkEnd w:id="756"/>
      <w:bookmarkEnd w:id="757"/>
      <w:bookmarkEnd w:id="758"/>
      <w:bookmarkEnd w:id="759"/>
      <w:bookmarkEnd w:id="760"/>
    </w:p>
    <w:p w14:paraId="105BDD7C" w14:textId="6B25DFA0"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Komp </w:t>
      </w:r>
      <w:r w:rsidR="00163A93">
        <w:rPr>
          <w:rFonts w:ascii="Times New Roman" w:hAnsi="Times New Roman" w:cs="Times New Roman"/>
          <w:sz w:val="24"/>
          <w:szCs w:val="24"/>
        </w:rPr>
        <w:t>&amp;</w:t>
      </w:r>
      <w:r>
        <w:rPr>
          <w:rFonts w:ascii="Times New Roman" w:hAnsi="Times New Roman" w:cs="Times New Roman"/>
          <w:sz w:val="24"/>
          <w:szCs w:val="24"/>
        </w:rPr>
        <w:t xml:space="preserve">Tromp (1999); Creswell </w:t>
      </w:r>
      <w:r w:rsidR="00163A93">
        <w:rPr>
          <w:rFonts w:ascii="Times New Roman" w:hAnsi="Times New Roman" w:cs="Times New Roman"/>
          <w:sz w:val="24"/>
          <w:szCs w:val="24"/>
        </w:rPr>
        <w:t>&amp;</w:t>
      </w:r>
      <w:r>
        <w:rPr>
          <w:rFonts w:ascii="Times New Roman" w:hAnsi="Times New Roman" w:cs="Times New Roman"/>
          <w:sz w:val="24"/>
          <w:szCs w:val="24"/>
        </w:rPr>
        <w:t xml:space="preserve"> Plano, (2011); Kothari, (2014); Saunder et al (2014) argue that research methods or approaches are means used for data collection to facilitate understanding of a phenomenon under inquiry. Furthermore, Cohen (2017) emphasizes that study approaches are grouped into three categories, namely; </w:t>
      </w:r>
      <w:r>
        <w:rPr>
          <w:rFonts w:ascii="Times New Roman" w:hAnsi="Times New Roman" w:cs="Times New Roman"/>
          <w:sz w:val="24"/>
          <w:szCs w:val="24"/>
        </w:rPr>
        <w:lastRenderedPageBreak/>
        <w:t>qualitative, quantitative, and mixed-method. Richards and Morse (2013); Creswell (2012) explain the stated approaches as follows:</w:t>
      </w:r>
    </w:p>
    <w:p w14:paraId="2F4CA9A7" w14:textId="77777777" w:rsidR="00B01D46" w:rsidRDefault="0067013E">
      <w:pPr>
        <w:pStyle w:val="Default"/>
        <w:spacing w:before="120" w:line="480" w:lineRule="auto"/>
        <w:ind w:right="65"/>
        <w:jc w:val="both"/>
      </w:pPr>
      <w:r>
        <w:t xml:space="preserve">(a) The qualitative technique seeks to generate knowledge from data as the study progresses. Furthermore, Cozby et al (2005) claims that the qualitative technique focuses on individuals behaving naturally and reporting their surroundings on their terms. They are utilized to acquire detailed information on a small number of people or in a very specific situation. According to Newman et al (2003), qualitative researchers perform in-depth investigations of instances that develop naturally in the course of social interactions. The researcher is a "human instrument" because, during data collection, he or she asks questions, observes, describes, interprets, and records what he or she sees. </w:t>
      </w:r>
    </w:p>
    <w:p w14:paraId="2B1529B6" w14:textId="77777777" w:rsidR="00B01D46" w:rsidRDefault="0067013E">
      <w:pPr>
        <w:pStyle w:val="Default"/>
        <w:spacing w:before="120" w:line="480" w:lineRule="auto"/>
        <w:ind w:right="65"/>
        <w:jc w:val="both"/>
      </w:pPr>
      <w:r>
        <w:t>b) Quantitative method emphasis on statistical analyses of data. It concentrates on specific behaviors that can be quantified. Babbie, (2007); Cozby et al (2005) assert that the quantitative approach allows for empirical investigations ranging from basic averages to sophisticated formulae and mathematical frameworks, and it often incorporates bigger samples;</w:t>
      </w:r>
    </w:p>
    <w:p w14:paraId="65EDEDE0"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c) Mixed method. It employs inquiry strategies that incorporate data collecting, either concurrently or sequentially, to best understand the study topic using two methodologies. According to Flick (2009), a mix of quantitative and qualitative methodologies provides a more generic representation of the subject, since structural components are analyzed quantitatively and procedural factors qualitatively. </w:t>
      </w:r>
    </w:p>
    <w:p w14:paraId="73CBA481"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This study employed a mixed-method approach where both qualitative and quantitative methods were equally utilized in order to comprehensively collect data that could answer the research problem.</w:t>
      </w:r>
    </w:p>
    <w:p w14:paraId="6672EBE9" w14:textId="77777777" w:rsidR="00B01D46" w:rsidRDefault="0067013E">
      <w:pPr>
        <w:pStyle w:val="Heading3"/>
      </w:pPr>
      <w:bookmarkStart w:id="761" w:name="_Toc165975782"/>
      <w:bookmarkStart w:id="762" w:name="_Toc164664009"/>
      <w:bookmarkStart w:id="763" w:name="_Toc165973061"/>
      <w:bookmarkStart w:id="764" w:name="_Toc165367635"/>
      <w:bookmarkStart w:id="765" w:name="_Toc165898013"/>
      <w:bookmarkStart w:id="766" w:name="_Toc165368361"/>
      <w:bookmarkStart w:id="767" w:name="_Toc165365163"/>
      <w:bookmarkStart w:id="768" w:name="_Toc165369177"/>
      <w:bookmarkStart w:id="769" w:name="_Toc184272884"/>
      <w:r>
        <w:lastRenderedPageBreak/>
        <w:t>4.3.1 Mixed Method</w:t>
      </w:r>
      <w:bookmarkEnd w:id="761"/>
      <w:bookmarkEnd w:id="762"/>
      <w:bookmarkEnd w:id="763"/>
      <w:bookmarkEnd w:id="764"/>
      <w:bookmarkEnd w:id="765"/>
      <w:bookmarkEnd w:id="766"/>
      <w:bookmarkEnd w:id="767"/>
      <w:bookmarkEnd w:id="768"/>
      <w:bookmarkEnd w:id="769"/>
      <w:r>
        <w:t xml:space="preserve"> </w:t>
      </w:r>
    </w:p>
    <w:p w14:paraId="61D13E02" w14:textId="77777777" w:rsidR="00B01D46" w:rsidRDefault="0067013E">
      <w:pPr>
        <w:pStyle w:val="Default"/>
        <w:spacing w:line="480" w:lineRule="auto"/>
        <w:ind w:right="65"/>
        <w:jc w:val="both"/>
      </w:pPr>
      <w:r>
        <w:rPr>
          <w:color w:val="auto"/>
        </w:rPr>
        <w:t>In this technique, the researcher gathers, examines, and combines qualitative and quantitative data in a single study (Creswell 2012). Clark (2011) and Manion (2016) agree that the mixed method strategy promotes the systematic integration, or "mixing," of both qualitative and quantitative data within a single research or continuous program of inquiry. The fundamental concept of this technique is that such integration enables a more comprehensive and complementary use of data.</w:t>
      </w:r>
    </w:p>
    <w:p w14:paraId="3344AFF0"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Similarly, Creswell and Clark, (2011) and Saunders et al, (2013) agree that mixed-method strategy is using qualitative and quantitative methods to investigate the same phenomenon in a single study. The mixed-method approach helps a researcher to capitalize on the advantages of both qualitative and quantitative data because it brings out their complementary styles.</w:t>
      </w:r>
    </w:p>
    <w:p w14:paraId="6D1E6287"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Moreover, Greenstein, (2006); and </w:t>
      </w:r>
      <w:r>
        <w:rPr>
          <w:rFonts w:ascii="Times New Roman" w:hAnsi="Times New Roman" w:cs="Times New Roman"/>
          <w:color w:val="222222"/>
          <w:sz w:val="24"/>
          <w:szCs w:val="24"/>
          <w:shd w:val="clear" w:color="auto" w:fill="FFFFFF"/>
        </w:rPr>
        <w:t xml:space="preserve">Fossen (2018) </w:t>
      </w:r>
      <w:r>
        <w:rPr>
          <w:rFonts w:ascii="Times New Roman" w:hAnsi="Times New Roman" w:cs="Times New Roman"/>
          <w:sz w:val="24"/>
          <w:szCs w:val="24"/>
        </w:rPr>
        <w:t xml:space="preserve">acknowledged three distinctive usages of a mixed methods study: </w:t>
      </w:r>
    </w:p>
    <w:p w14:paraId="41B6B4CD" w14:textId="77777777" w:rsidR="00B01D46" w:rsidRDefault="0067013E">
      <w:pPr>
        <w:autoSpaceDE w:val="0"/>
        <w:autoSpaceDN w:val="0"/>
        <w:adjustRightInd w:val="0"/>
        <w:spacing w:before="120" w:after="0" w:line="480" w:lineRule="auto"/>
        <w:ind w:left="426" w:right="65" w:hanging="426"/>
        <w:jc w:val="both"/>
        <w:rPr>
          <w:rFonts w:ascii="Times New Roman" w:hAnsi="Times New Roman" w:cs="Times New Roman"/>
          <w:sz w:val="24"/>
          <w:szCs w:val="24"/>
        </w:rPr>
      </w:pPr>
      <w:r>
        <w:rPr>
          <w:rFonts w:ascii="Times New Roman" w:hAnsi="Times New Roman" w:cs="Times New Roman"/>
          <w:sz w:val="24"/>
          <w:szCs w:val="24"/>
        </w:rPr>
        <w:t xml:space="preserve">(1) Assessing the consistency of findings received from multiple measuring equipment; </w:t>
      </w:r>
    </w:p>
    <w:p w14:paraId="1942FBB6" w14:textId="77777777" w:rsidR="00B01D46" w:rsidRDefault="0067013E">
      <w:pPr>
        <w:autoSpaceDE w:val="0"/>
        <w:autoSpaceDN w:val="0"/>
        <w:adjustRightInd w:val="0"/>
        <w:spacing w:before="120" w:after="0" w:line="480" w:lineRule="auto"/>
        <w:ind w:left="426" w:right="65" w:hanging="426"/>
        <w:jc w:val="both"/>
        <w:rPr>
          <w:rFonts w:ascii="Times New Roman" w:hAnsi="Times New Roman" w:cs="Times New Roman"/>
          <w:sz w:val="24"/>
          <w:szCs w:val="24"/>
        </w:rPr>
      </w:pPr>
      <w:r>
        <w:rPr>
          <w:rFonts w:ascii="Times New Roman" w:hAnsi="Times New Roman" w:cs="Times New Roman"/>
          <w:sz w:val="24"/>
          <w:szCs w:val="24"/>
        </w:rPr>
        <w:t xml:space="preserve">(2) Outlining and expanding on the findings of one technique with another method; and </w:t>
      </w:r>
    </w:p>
    <w:p w14:paraId="39BF236C" w14:textId="77777777" w:rsidR="00B01D46" w:rsidRDefault="0067013E">
      <w:pPr>
        <w:autoSpaceDE w:val="0"/>
        <w:autoSpaceDN w:val="0"/>
        <w:adjustRightInd w:val="0"/>
        <w:spacing w:before="120" w:after="0" w:line="480" w:lineRule="auto"/>
        <w:ind w:left="426" w:right="65" w:hanging="426"/>
        <w:jc w:val="both"/>
        <w:rPr>
          <w:rFonts w:ascii="Times New Roman" w:hAnsi="Times New Roman" w:cs="Times New Roman"/>
          <w:sz w:val="24"/>
          <w:szCs w:val="24"/>
        </w:rPr>
      </w:pPr>
      <w:r>
        <w:rPr>
          <w:rFonts w:ascii="Times New Roman" w:hAnsi="Times New Roman" w:cs="Times New Roman"/>
          <w:sz w:val="24"/>
          <w:szCs w:val="24"/>
        </w:rPr>
        <w:t xml:space="preserve">(3) Showing how the findings of a particular approach might influence future methods or inferences taken from the results. </w:t>
      </w:r>
    </w:p>
    <w:p w14:paraId="74BEC9D0" w14:textId="77777777" w:rsidR="00B01D46" w:rsidRDefault="0067013E">
      <w:pPr>
        <w:spacing w:before="120" w:line="480" w:lineRule="auto"/>
        <w:ind w:right="65"/>
        <w:jc w:val="both"/>
        <w:rPr>
          <w:rFonts w:ascii="Times New Roman" w:hAnsi="Times New Roman" w:cs="Times New Roman"/>
          <w:sz w:val="24"/>
          <w:szCs w:val="24"/>
        </w:rPr>
      </w:pPr>
      <w:bookmarkStart w:id="770" w:name="_Hlk147910876"/>
      <w:r>
        <w:rPr>
          <w:rFonts w:ascii="Times New Roman" w:hAnsi="Times New Roman" w:cs="Times New Roman"/>
          <w:sz w:val="24"/>
          <w:szCs w:val="24"/>
        </w:rPr>
        <w:t xml:space="preserve">The mixed-method approach was thought suitable for this study because it permitted the study to use different research approaches to assess the ILS among medical undergraduate students. Further, mixed methods, enabled the researcher to collect both qualitative and quantitative data, to facilitate detailed knowledge of ILS status; </w:t>
      </w:r>
      <w:r>
        <w:rPr>
          <w:rFonts w:ascii="Times New Roman" w:hAnsi="Times New Roman" w:cs="Times New Roman"/>
          <w:sz w:val="24"/>
          <w:szCs w:val="24"/>
        </w:rPr>
        <w:lastRenderedPageBreak/>
        <w:t xml:space="preserve">ILS policy and curriculum; ILS understanding; ILS knowledge and skills possessed by staff in enhancing ILS among undergraduate students; and the role of ICT in enhancing ILS among medical undergraduate students. </w:t>
      </w:r>
    </w:p>
    <w:p w14:paraId="565119C3"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Furthermore, the researcher employed mixed methods research for the following reasons: Firstly, in order to seek convergence and corroboration of findings through the use of more than one method of gathering and analyzing data about information literacy skills among medical undergraduate students therefore eliminating the inherent biases associated with using only one method (Cohen et al, 2018). Second, mixed methods research allowed the researcher to gain broader perspective as a result of using the different methods as opposed to using the predominant method alone; third, so that results from one methodology would be enhanced by the results from the other methodology (Manion, 2016). In this case qualitative data from the university librarians, head medical librarians and HODs in some cases enhanced by quantitative data from the students and lecturers. Lastly, mixed methods research allowed the researcher to study different groups or levels. The qualitative methods were used to collect data that pertained to availability of ILS policy and curriculum, adequacy of ILS training, ILS competencies of medical undergraduate students, adequacy of skills possessed by staff facilitating ILS instruction, collaboration between faculty and librarians among others (see Appendices 3, 4 and 5), while the quantitative methods were used to collect statistical data from students and lectures (see Appendix 1 and 2). The strength of this approach is seen in its ability to enable the researcher to collect two types of data simultaneously therefore providing the advantages of both the qualitative and quantitative data. The researcher therefore gained different perspectives from the different types of data and from the different levels within the study.</w:t>
      </w:r>
    </w:p>
    <w:bookmarkEnd w:id="770"/>
    <w:p w14:paraId="00562895" w14:textId="2700FD2E"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lastRenderedPageBreak/>
        <w:t xml:space="preserve">Research scholars like Plano, (2013); Flick, (2007); Creswell </w:t>
      </w:r>
      <w:r w:rsidR="00163A93">
        <w:rPr>
          <w:rFonts w:ascii="Times New Roman" w:hAnsi="Times New Roman" w:cs="Times New Roman"/>
          <w:sz w:val="24"/>
          <w:szCs w:val="24"/>
        </w:rPr>
        <w:t>&amp;</w:t>
      </w:r>
      <w:r>
        <w:rPr>
          <w:rFonts w:ascii="Times New Roman" w:hAnsi="Times New Roman" w:cs="Times New Roman"/>
          <w:sz w:val="24"/>
          <w:szCs w:val="24"/>
        </w:rPr>
        <w:t xml:space="preserve"> Clark, (2007), assert that the various categories of mixed methods associated with pragmatic paradigm are; </w:t>
      </w:r>
    </w:p>
    <w:p w14:paraId="045F8E56" w14:textId="77777777" w:rsidR="00B01D46" w:rsidRDefault="0067013E">
      <w:pPr>
        <w:pStyle w:val="ListParagraph"/>
        <w:numPr>
          <w:ilvl w:val="0"/>
          <w:numId w:val="12"/>
        </w:numPr>
        <w:spacing w:before="120" w:after="0" w:line="480" w:lineRule="auto"/>
        <w:ind w:left="284" w:right="65" w:hanging="284"/>
        <w:contextualSpacing w:val="0"/>
        <w:rPr>
          <w:szCs w:val="24"/>
        </w:rPr>
      </w:pPr>
      <w:r>
        <w:rPr>
          <w:szCs w:val="24"/>
        </w:rPr>
        <w:t>Explanatory sequential mixed-method research entails collecting quantitative data, analyzing the data, producing results, and then expanding on the findings using qualitative research to elucidate the findings in detail.</w:t>
      </w:r>
    </w:p>
    <w:p w14:paraId="60E4212E" w14:textId="77777777" w:rsidR="00B01D46" w:rsidRDefault="0067013E">
      <w:pPr>
        <w:pStyle w:val="ListParagraph"/>
        <w:numPr>
          <w:ilvl w:val="0"/>
          <w:numId w:val="12"/>
        </w:numPr>
        <w:spacing w:before="120" w:after="0" w:line="480" w:lineRule="auto"/>
        <w:ind w:left="284" w:right="65" w:hanging="284"/>
        <w:contextualSpacing w:val="0"/>
        <w:rPr>
          <w:szCs w:val="24"/>
        </w:rPr>
      </w:pPr>
      <w:r>
        <w:rPr>
          <w:szCs w:val="24"/>
        </w:rPr>
        <w:t>Exploratory sequential approach - The researcher begins with a qualitative data collecting stage during which he or she analyses the viewpoints of respondents. The information obtained from the data is then used to design a second, quantitative data-gathering stage.</w:t>
      </w:r>
    </w:p>
    <w:p w14:paraId="2AD9C2CE" w14:textId="77777777" w:rsidR="00B01D46" w:rsidRDefault="0067013E">
      <w:pPr>
        <w:pStyle w:val="ListParagraph"/>
        <w:numPr>
          <w:ilvl w:val="0"/>
          <w:numId w:val="12"/>
        </w:numPr>
        <w:spacing w:before="120" w:after="0" w:line="480" w:lineRule="auto"/>
        <w:ind w:left="284" w:right="65" w:hanging="284"/>
        <w:contextualSpacing w:val="0"/>
        <w:rPr>
          <w:szCs w:val="24"/>
        </w:rPr>
      </w:pPr>
      <w:r>
        <w:rPr>
          <w:szCs w:val="24"/>
        </w:rPr>
        <w:t>Transformative sequential mixed methods is a strategy that incorporates cross-validation through a theoretic lens founded on equality that embraces both quantitative and qualitative data.</w:t>
      </w:r>
    </w:p>
    <w:p w14:paraId="7F132B67" w14:textId="77777777" w:rsidR="00B01D46" w:rsidRDefault="0067013E">
      <w:pPr>
        <w:pStyle w:val="ListParagraph"/>
        <w:numPr>
          <w:ilvl w:val="0"/>
          <w:numId w:val="12"/>
        </w:numPr>
        <w:spacing w:before="120" w:after="0" w:line="480" w:lineRule="auto"/>
        <w:ind w:left="284" w:right="65" w:hanging="284"/>
        <w:contextualSpacing w:val="0"/>
        <w:rPr>
          <w:szCs w:val="24"/>
        </w:rPr>
      </w:pPr>
      <w:r>
        <w:rPr>
          <w:szCs w:val="24"/>
        </w:rPr>
        <w:t>Concurrent triangulation- is to utilize both qualitative and quantitative data collected at the same time to describe relations between variables that are important more precisely</w:t>
      </w:r>
    </w:p>
    <w:p w14:paraId="1D751511" w14:textId="77777777" w:rsidR="00B01D46" w:rsidRDefault="0067013E">
      <w:pPr>
        <w:pStyle w:val="ListParagraph"/>
        <w:numPr>
          <w:ilvl w:val="0"/>
          <w:numId w:val="12"/>
        </w:numPr>
        <w:spacing w:before="120" w:after="0" w:line="480" w:lineRule="auto"/>
        <w:ind w:left="284" w:right="65" w:hanging="284"/>
        <w:contextualSpacing w:val="0"/>
        <w:rPr>
          <w:szCs w:val="24"/>
        </w:rPr>
      </w:pPr>
      <w:r>
        <w:rPr>
          <w:szCs w:val="24"/>
        </w:rPr>
        <w:t>Concurrent nested designs qualitative as well as quantitative data are gathered simultaneously and analyzed in the same phase; however, one type of data receives greater significance than the other.</w:t>
      </w:r>
    </w:p>
    <w:p w14:paraId="2FB5F063" w14:textId="77777777" w:rsidR="00B01D46" w:rsidRDefault="0067013E">
      <w:pPr>
        <w:pStyle w:val="ListParagraph"/>
        <w:numPr>
          <w:ilvl w:val="0"/>
          <w:numId w:val="12"/>
        </w:numPr>
        <w:spacing w:before="120" w:after="0" w:line="480" w:lineRule="auto"/>
        <w:ind w:left="284" w:right="65" w:hanging="284"/>
        <w:contextualSpacing w:val="0"/>
        <w:rPr>
          <w:szCs w:val="24"/>
        </w:rPr>
      </w:pPr>
      <w:r>
        <w:rPr>
          <w:color w:val="212121"/>
          <w:szCs w:val="24"/>
          <w:shd w:val="clear" w:color="auto" w:fill="FFFFFF"/>
        </w:rPr>
        <w:t xml:space="preserve">Concurrent transformative designs are theoretic and they focus on initialing societal change. It </w:t>
      </w:r>
      <w:r>
        <w:rPr>
          <w:szCs w:val="24"/>
        </w:rPr>
        <w:t>is popular in the assessment and program intervention domains</w:t>
      </w:r>
    </w:p>
    <w:p w14:paraId="71D3DD2E"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bookmarkStart w:id="771" w:name="_Hlk158377824"/>
      <w:r>
        <w:rPr>
          <w:rFonts w:ascii="Times New Roman" w:hAnsi="Times New Roman" w:cs="Times New Roman"/>
          <w:sz w:val="24"/>
          <w:szCs w:val="24"/>
        </w:rPr>
        <w:t xml:space="preserve">This research used concurrent triangulation. Data collection of both quantitative and qualitative done simultaneously, ensuring that the deficiencies of qualitative data were optimally countered by the advantages of quantitative data. In the blending of the findings, the two types of data were given equal significance. Quantitative and </w:t>
      </w:r>
      <w:r>
        <w:rPr>
          <w:rFonts w:ascii="Times New Roman" w:hAnsi="Times New Roman" w:cs="Times New Roman"/>
          <w:sz w:val="24"/>
          <w:szCs w:val="24"/>
        </w:rPr>
        <w:lastRenderedPageBreak/>
        <w:t>qualitative data were analyzed separately, and the conclusions were mixed. The concurrent triangulation technique guided the researcher to comprehensively examine the problem of the study by using the two types of data in interpreting the findings (</w:t>
      </w:r>
      <w:bookmarkStart w:id="772" w:name="_Hlk182121308"/>
      <w:r>
        <w:rPr>
          <w:rFonts w:ascii="Times New Roman" w:hAnsi="Times New Roman" w:cs="Times New Roman"/>
          <w:sz w:val="24"/>
          <w:szCs w:val="24"/>
        </w:rPr>
        <w:t>Cohen et al, 2017</w:t>
      </w:r>
      <w:bookmarkEnd w:id="772"/>
      <w:r>
        <w:rPr>
          <w:rFonts w:ascii="Times New Roman" w:hAnsi="Times New Roman" w:cs="Times New Roman"/>
          <w:sz w:val="24"/>
          <w:szCs w:val="24"/>
        </w:rPr>
        <w:t xml:space="preserve">). </w:t>
      </w:r>
      <w:bookmarkEnd w:id="771"/>
      <w:r>
        <w:rPr>
          <w:rFonts w:ascii="Times New Roman" w:hAnsi="Times New Roman" w:cs="Times New Roman"/>
          <w:sz w:val="24"/>
          <w:szCs w:val="24"/>
        </w:rPr>
        <w:t xml:space="preserve">That is, interviews with HODs in the departments of Medicine, Dentistry and Nursing, University librarians, and medical librarians were done at the same time as when students lecturers and students were answering the questionnaires. </w:t>
      </w:r>
    </w:p>
    <w:p w14:paraId="67D91808" w14:textId="77777777" w:rsidR="00B01D46" w:rsidRDefault="00B01D46">
      <w:pPr>
        <w:autoSpaceDE w:val="0"/>
        <w:autoSpaceDN w:val="0"/>
        <w:adjustRightInd w:val="0"/>
        <w:spacing w:after="0" w:line="240" w:lineRule="auto"/>
        <w:ind w:right="65"/>
        <w:jc w:val="both"/>
        <w:rPr>
          <w:rFonts w:ascii="Times New Roman" w:hAnsi="Times New Roman" w:cs="Times New Roman"/>
          <w:sz w:val="24"/>
          <w:szCs w:val="24"/>
        </w:rPr>
      </w:pPr>
    </w:p>
    <w:p w14:paraId="0E7BE185" w14:textId="77777777" w:rsidR="00B01D46" w:rsidRDefault="0067013E">
      <w:pPr>
        <w:pStyle w:val="Heading2"/>
      </w:pPr>
      <w:bookmarkStart w:id="773" w:name="_Toc165973062"/>
      <w:bookmarkStart w:id="774" w:name="_Toc165898014"/>
      <w:bookmarkStart w:id="775" w:name="_Toc165369178"/>
      <w:bookmarkStart w:id="776" w:name="_Toc165975783"/>
      <w:bookmarkStart w:id="777" w:name="_Toc164664010"/>
      <w:bookmarkStart w:id="778" w:name="_Toc165365164"/>
      <w:bookmarkStart w:id="779" w:name="_Toc165367636"/>
      <w:bookmarkStart w:id="780" w:name="_Toc165368362"/>
      <w:bookmarkStart w:id="781" w:name="_Toc184272885"/>
      <w:r>
        <w:t>4.4 Research Design</w:t>
      </w:r>
      <w:bookmarkEnd w:id="773"/>
      <w:bookmarkEnd w:id="774"/>
      <w:bookmarkEnd w:id="775"/>
      <w:bookmarkEnd w:id="776"/>
      <w:bookmarkEnd w:id="777"/>
      <w:bookmarkEnd w:id="778"/>
      <w:bookmarkEnd w:id="779"/>
      <w:bookmarkEnd w:id="780"/>
      <w:bookmarkEnd w:id="781"/>
    </w:p>
    <w:p w14:paraId="41877366"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 research design is a plan on how to collect, measure, and analyze the acquired data in an inquiry. According to Akhtar (2016), research design is the bond that links the research study together; it demonstrates how all of the primary components of the research study interact with one another. Similarly, Kothari (2004) suggests that a decent study design reduces prejudice and hence increases the dependability of collected data. According to Manheim (2021), study design not only predicts and postulates the infinite decisions associated with gathering, analyzing, and interpreting data, but it also provides a logical justification for these decisions. The design aids in making decisions regarding: </w:t>
      </w:r>
    </w:p>
    <w:p w14:paraId="0462DFDB" w14:textId="77777777" w:rsidR="00B01D46" w:rsidRDefault="0067013E">
      <w:pPr>
        <w:pStyle w:val="NoSpacing"/>
        <w:numPr>
          <w:ilvl w:val="0"/>
          <w:numId w:val="13"/>
        </w:numPr>
        <w:spacing w:line="480" w:lineRule="auto"/>
        <w:ind w:left="426" w:right="65" w:hanging="426"/>
        <w:rPr>
          <w:rFonts w:ascii="Times New Roman" w:hAnsi="Times New Roman" w:cs="Times New Roman"/>
          <w:sz w:val="24"/>
          <w:szCs w:val="24"/>
        </w:rPr>
      </w:pPr>
      <w:r>
        <w:rPr>
          <w:rFonts w:ascii="Times New Roman" w:hAnsi="Times New Roman" w:cs="Times New Roman"/>
          <w:sz w:val="24"/>
          <w:szCs w:val="24"/>
        </w:rPr>
        <w:t>The nature of data needed</w:t>
      </w:r>
    </w:p>
    <w:p w14:paraId="60329931" w14:textId="77777777" w:rsidR="00B01D46" w:rsidRDefault="0067013E">
      <w:pPr>
        <w:pStyle w:val="NoSpacing"/>
        <w:numPr>
          <w:ilvl w:val="0"/>
          <w:numId w:val="13"/>
        </w:numPr>
        <w:spacing w:line="480" w:lineRule="auto"/>
        <w:ind w:left="426" w:right="65" w:hanging="426"/>
        <w:rPr>
          <w:rFonts w:ascii="Times New Roman" w:hAnsi="Times New Roman" w:cs="Times New Roman"/>
          <w:sz w:val="24"/>
          <w:szCs w:val="24"/>
        </w:rPr>
      </w:pPr>
      <w:r>
        <w:rPr>
          <w:rFonts w:ascii="Times New Roman" w:hAnsi="Times New Roman" w:cs="Times New Roman"/>
          <w:sz w:val="24"/>
          <w:szCs w:val="24"/>
        </w:rPr>
        <w:t xml:space="preserve">The setting and period </w:t>
      </w:r>
    </w:p>
    <w:p w14:paraId="102BD554" w14:textId="77777777" w:rsidR="00B01D46" w:rsidRDefault="0067013E">
      <w:pPr>
        <w:pStyle w:val="NoSpacing"/>
        <w:numPr>
          <w:ilvl w:val="0"/>
          <w:numId w:val="13"/>
        </w:numPr>
        <w:spacing w:line="480" w:lineRule="auto"/>
        <w:ind w:left="426" w:right="65" w:hanging="426"/>
        <w:rPr>
          <w:rFonts w:ascii="Times New Roman" w:hAnsi="Times New Roman" w:cs="Times New Roman"/>
          <w:sz w:val="24"/>
          <w:szCs w:val="24"/>
        </w:rPr>
      </w:pPr>
      <w:r>
        <w:rPr>
          <w:rFonts w:ascii="Times New Roman" w:hAnsi="Times New Roman" w:cs="Times New Roman"/>
          <w:sz w:val="24"/>
          <w:szCs w:val="24"/>
        </w:rPr>
        <w:t>The respondents and sources</w:t>
      </w:r>
    </w:p>
    <w:p w14:paraId="7CA3B9E6" w14:textId="77777777" w:rsidR="00B01D46" w:rsidRDefault="0067013E">
      <w:pPr>
        <w:pStyle w:val="NoSpacing"/>
        <w:numPr>
          <w:ilvl w:val="0"/>
          <w:numId w:val="13"/>
        </w:numPr>
        <w:spacing w:line="480" w:lineRule="auto"/>
        <w:ind w:left="426" w:right="65" w:hanging="426"/>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color w:val="auto"/>
          <w:sz w:val="24"/>
          <w:szCs w:val="24"/>
        </w:rPr>
        <w:t xml:space="preserve">variables </w:t>
      </w:r>
    </w:p>
    <w:p w14:paraId="301FAA36" w14:textId="77777777" w:rsidR="00B01D46" w:rsidRDefault="0067013E">
      <w:pPr>
        <w:pStyle w:val="NoSpacing"/>
        <w:numPr>
          <w:ilvl w:val="0"/>
          <w:numId w:val="13"/>
        </w:numPr>
        <w:spacing w:line="480" w:lineRule="auto"/>
        <w:ind w:left="426" w:right="65" w:hanging="426"/>
        <w:rPr>
          <w:rFonts w:ascii="Times New Roman" w:hAnsi="Times New Roman" w:cs="Times New Roman"/>
          <w:sz w:val="24"/>
          <w:szCs w:val="24"/>
        </w:rPr>
      </w:pPr>
      <w:r>
        <w:rPr>
          <w:rFonts w:ascii="Times New Roman" w:hAnsi="Times New Roman" w:cs="Times New Roman"/>
          <w:sz w:val="24"/>
          <w:szCs w:val="24"/>
        </w:rPr>
        <w:t xml:space="preserve">Measurement and </w:t>
      </w:r>
    </w:p>
    <w:p w14:paraId="49D1A49F" w14:textId="77777777" w:rsidR="00B01D46" w:rsidRDefault="0067013E">
      <w:pPr>
        <w:pStyle w:val="NoSpacing"/>
        <w:numPr>
          <w:ilvl w:val="0"/>
          <w:numId w:val="13"/>
        </w:numPr>
        <w:spacing w:line="480" w:lineRule="auto"/>
        <w:ind w:left="426" w:right="65" w:hanging="426"/>
        <w:rPr>
          <w:rFonts w:ascii="Times New Roman" w:hAnsi="Times New Roman" w:cs="Times New Roman"/>
          <w:sz w:val="24"/>
          <w:szCs w:val="24"/>
        </w:rPr>
      </w:pPr>
      <w:r>
        <w:rPr>
          <w:rFonts w:ascii="Times New Roman" w:hAnsi="Times New Roman" w:cs="Times New Roman"/>
          <w:sz w:val="24"/>
          <w:szCs w:val="24"/>
        </w:rPr>
        <w:t xml:space="preserve">Analysis of data. </w:t>
      </w:r>
    </w:p>
    <w:p w14:paraId="0AA53AC9"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lastRenderedPageBreak/>
        <w:t>Further, Manheim (2021) argues that a research design defines the limits of a study and decides precisely what will be executed in an investigation. In addition, Babbie, (2001) and (Flick, 2007) opine that the choice of a research design is to a greater extent informed by its appropriateness in speaking to the research problem of the study.</w:t>
      </w:r>
    </w:p>
    <w:p w14:paraId="7FCCEE62" w14:textId="6BFD9185" w:rsidR="00B01D46" w:rsidRDefault="0067013E">
      <w:pPr>
        <w:autoSpaceDE w:val="0"/>
        <w:autoSpaceDN w:val="0"/>
        <w:adjustRightInd w:val="0"/>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Saunders, Lewis </w:t>
      </w:r>
      <w:r w:rsidR="00163A93">
        <w:rPr>
          <w:rFonts w:ascii="Times New Roman" w:hAnsi="Times New Roman" w:cs="Times New Roman"/>
          <w:sz w:val="24"/>
          <w:szCs w:val="24"/>
        </w:rPr>
        <w:t>&amp;</w:t>
      </w:r>
      <w:r>
        <w:rPr>
          <w:rFonts w:ascii="Times New Roman" w:hAnsi="Times New Roman" w:cs="Times New Roman"/>
          <w:sz w:val="24"/>
          <w:szCs w:val="24"/>
        </w:rPr>
        <w:t xml:space="preserve"> Thornhill (2012) emphasize the prudence of a researcher to use more than two designs in a study. This helped the researcher understand more clearly the research problem and enabled him to anchor on the strengths of each design. The study used descriptive survey design within a case study.</w:t>
      </w:r>
    </w:p>
    <w:p w14:paraId="73E21CBC" w14:textId="77777777" w:rsidR="00B01D46" w:rsidRDefault="0067013E">
      <w:pPr>
        <w:pStyle w:val="Heading3"/>
      </w:pPr>
      <w:bookmarkStart w:id="782" w:name="_Toc165975784"/>
      <w:bookmarkStart w:id="783" w:name="_Toc165365165"/>
      <w:bookmarkStart w:id="784" w:name="_Toc164664011"/>
      <w:bookmarkStart w:id="785" w:name="_Toc165369179"/>
      <w:bookmarkStart w:id="786" w:name="_Toc165367637"/>
      <w:bookmarkStart w:id="787" w:name="_Toc165368363"/>
      <w:bookmarkStart w:id="788" w:name="_Toc165898015"/>
      <w:bookmarkStart w:id="789" w:name="_Toc165973063"/>
      <w:bookmarkStart w:id="790" w:name="_Toc184272886"/>
      <w:r>
        <w:t>4.4.1 Case Study Research Design</w:t>
      </w:r>
      <w:bookmarkEnd w:id="782"/>
      <w:bookmarkEnd w:id="783"/>
      <w:bookmarkEnd w:id="784"/>
      <w:bookmarkEnd w:id="785"/>
      <w:bookmarkEnd w:id="786"/>
      <w:bookmarkEnd w:id="787"/>
      <w:bookmarkEnd w:id="788"/>
      <w:bookmarkEnd w:id="789"/>
      <w:bookmarkEnd w:id="790"/>
    </w:p>
    <w:p w14:paraId="4475514E"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A case study is a scientific approach used to analyze a current issue, concentrating on the case's distinctiveness within its real-life setting. (</w:t>
      </w:r>
      <w:r>
        <w:rPr>
          <w:rFonts w:ascii="Times New Roman" w:hAnsi="Times New Roman" w:cs="Times New Roman"/>
          <w:color w:val="222222"/>
          <w:sz w:val="24"/>
          <w:szCs w:val="24"/>
          <w:shd w:val="clear" w:color="auto" w:fill="FFFFFF"/>
        </w:rPr>
        <w:t>McKinney, 2014</w:t>
      </w:r>
      <w:r>
        <w:rPr>
          <w:rFonts w:ascii="Times New Roman" w:hAnsi="Times New Roman" w:cs="Times New Roman"/>
          <w:sz w:val="24"/>
          <w:szCs w:val="24"/>
        </w:rPr>
        <w:t xml:space="preserve">). Case studies could be exploratory, descriptive, or explanatory (Ruspini, 2002). </w:t>
      </w:r>
    </w:p>
    <w:p w14:paraId="63BD04A9"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According to Yazan (2015), a case study is a single event that is usually used to demonstrate a broader idea. Similarly, Tight (2010) describes a case study as a thorough assessment of a small sample. Similarly, Simons (2009) defines it as an in-depth examination of a single, actual situation, policy, organization, program, or structure from several angles to capture its intricate nature and distinctiveness.</w:t>
      </w:r>
    </w:p>
    <w:p w14:paraId="6568B3BD"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According to Ericson (2017), the case study research undertaken in behavioral sciences can be classified as: </w:t>
      </w:r>
    </w:p>
    <w:p w14:paraId="7CC44C86" w14:textId="77777777" w:rsidR="00B01D46" w:rsidRDefault="0067013E">
      <w:pPr>
        <w:autoSpaceDE w:val="0"/>
        <w:autoSpaceDN w:val="0"/>
        <w:adjustRightInd w:val="0"/>
        <w:spacing w:before="120" w:after="0" w:line="480" w:lineRule="auto"/>
        <w:ind w:left="284" w:right="65" w:hanging="284"/>
        <w:jc w:val="both"/>
        <w:rPr>
          <w:rFonts w:ascii="Times New Roman" w:hAnsi="Times New Roman" w:cs="Times New Roman"/>
          <w:sz w:val="24"/>
          <w:szCs w:val="24"/>
        </w:rPr>
      </w:pPr>
      <w:r>
        <w:rPr>
          <w:rFonts w:ascii="Times New Roman" w:hAnsi="Times New Roman" w:cs="Times New Roman"/>
          <w:sz w:val="24"/>
          <w:szCs w:val="24"/>
        </w:rPr>
        <w:t xml:space="preserve">1) Single case designs – they focus on a representative or a typical case. </w:t>
      </w:r>
    </w:p>
    <w:p w14:paraId="11B89BFB" w14:textId="77777777" w:rsidR="00B01D46" w:rsidRDefault="0067013E">
      <w:pPr>
        <w:autoSpaceDE w:val="0"/>
        <w:autoSpaceDN w:val="0"/>
        <w:adjustRightInd w:val="0"/>
        <w:spacing w:before="120" w:after="0" w:line="480" w:lineRule="auto"/>
        <w:ind w:left="284" w:right="65" w:hanging="284"/>
        <w:jc w:val="both"/>
        <w:rPr>
          <w:rFonts w:ascii="Times New Roman" w:hAnsi="Times New Roman" w:cs="Times New Roman"/>
          <w:sz w:val="24"/>
          <w:szCs w:val="24"/>
        </w:rPr>
      </w:pPr>
      <w:r>
        <w:rPr>
          <w:rFonts w:ascii="Times New Roman" w:hAnsi="Times New Roman" w:cs="Times New Roman"/>
          <w:sz w:val="24"/>
          <w:szCs w:val="24"/>
        </w:rPr>
        <w:t xml:space="preserve">2) Embedded single-case designs –several units of observation and analysis are incorporated within a single case. </w:t>
      </w:r>
    </w:p>
    <w:p w14:paraId="7244A3DA" w14:textId="77777777" w:rsidR="00B01D46" w:rsidRDefault="0067013E">
      <w:pPr>
        <w:autoSpaceDE w:val="0"/>
        <w:autoSpaceDN w:val="0"/>
        <w:adjustRightInd w:val="0"/>
        <w:spacing w:before="120" w:after="0" w:line="480" w:lineRule="auto"/>
        <w:ind w:left="284" w:right="65" w:hanging="284"/>
        <w:jc w:val="both"/>
        <w:rPr>
          <w:rFonts w:ascii="Times New Roman" w:hAnsi="Times New Roman" w:cs="Times New Roman"/>
          <w:sz w:val="24"/>
          <w:szCs w:val="24"/>
        </w:rPr>
      </w:pPr>
      <w:r>
        <w:rPr>
          <w:rFonts w:ascii="Times New Roman" w:hAnsi="Times New Roman" w:cs="Times New Roman"/>
          <w:sz w:val="24"/>
          <w:szCs w:val="24"/>
        </w:rPr>
        <w:lastRenderedPageBreak/>
        <w:t>3) Multiple-case designs - where a study has two case studies to compare which is far more helpful than gathering double the amount of data in a single instance of research.</w:t>
      </w:r>
    </w:p>
    <w:p w14:paraId="4E4EE0D3" w14:textId="77777777" w:rsidR="00B01D46" w:rsidRDefault="0067013E">
      <w:pPr>
        <w:autoSpaceDE w:val="0"/>
        <w:autoSpaceDN w:val="0"/>
        <w:adjustRightInd w:val="0"/>
        <w:spacing w:before="120" w:after="0" w:line="480" w:lineRule="auto"/>
        <w:ind w:left="284" w:right="65" w:hanging="284"/>
        <w:jc w:val="both"/>
        <w:rPr>
          <w:rFonts w:ascii="Times New Roman" w:hAnsi="Times New Roman" w:cs="Times New Roman"/>
          <w:sz w:val="24"/>
          <w:szCs w:val="24"/>
        </w:rPr>
      </w:pPr>
      <w:r>
        <w:rPr>
          <w:rFonts w:ascii="Times New Roman" w:hAnsi="Times New Roman" w:cs="Times New Roman"/>
          <w:sz w:val="24"/>
          <w:szCs w:val="24"/>
        </w:rPr>
        <w:t xml:space="preserve">4) Embedded multiple-case designs have distinct sub-units that comprise various cases, and a variety of data collection tools may be employed for each sub-unit, which is maintained independently from one another. </w:t>
      </w:r>
    </w:p>
    <w:p w14:paraId="4313D798" w14:textId="28AF0FB6" w:rsidR="00B01D46" w:rsidRDefault="0067013E">
      <w:pPr>
        <w:spacing w:line="480" w:lineRule="auto"/>
        <w:ind w:left="2" w:right="65"/>
        <w:jc w:val="both"/>
        <w:rPr>
          <w:rFonts w:ascii="Times New Roman" w:hAnsi="Times New Roman" w:cs="Times New Roman"/>
          <w:sz w:val="24"/>
          <w:szCs w:val="24"/>
        </w:rPr>
      </w:pPr>
      <w:r>
        <w:rPr>
          <w:rFonts w:ascii="Times New Roman" w:hAnsi="Times New Roman" w:cs="Times New Roman"/>
          <w:sz w:val="24"/>
          <w:szCs w:val="24"/>
        </w:rPr>
        <w:t xml:space="preserve">The present research used the multiple case design, with the two selected institutions considered as separate units </w:t>
      </w:r>
      <w:r w:rsidR="008E7F9A">
        <w:rPr>
          <w:rFonts w:ascii="Times New Roman" w:hAnsi="Times New Roman" w:cs="Times New Roman"/>
          <w:sz w:val="24"/>
          <w:szCs w:val="24"/>
        </w:rPr>
        <w:t>of analysis</w:t>
      </w:r>
      <w:r>
        <w:rPr>
          <w:rFonts w:ascii="Times New Roman" w:hAnsi="Times New Roman" w:cs="Times New Roman"/>
          <w:sz w:val="24"/>
          <w:szCs w:val="24"/>
        </w:rPr>
        <w:t xml:space="preserve">:  Moi University's College of Health Sciences and UON's College of Health Sciences. Similarly, the study used a descriptive research approach inside a multiple-case design. Multiple case studies involve more than one case and, like the single case approach, can be either holistic or embedded.  Holistic designs include single units of analysis, while embedded designs include more than one unit of analysis per case. Yin (2013) observes that multiple case designs have great possibility of direct replication, with conclusions from the cases being “more powerful than those coming from a single case.” Evidence from multiple cases is generally considered to have more weight, compared to that from a single case. The present study adopted the embedded multiple-case design comprising lecturers, heads of departments, university librarians and students as units of analysis in each case.  </w:t>
      </w:r>
    </w:p>
    <w:p w14:paraId="6B42ACFF" w14:textId="77777777" w:rsidR="00B01D46" w:rsidRDefault="0067013E">
      <w:pPr>
        <w:spacing w:line="480" w:lineRule="auto"/>
        <w:ind w:left="24" w:right="65"/>
        <w:jc w:val="both"/>
        <w:rPr>
          <w:rFonts w:ascii="Times New Roman" w:hAnsi="Times New Roman" w:cs="Times New Roman"/>
          <w:sz w:val="24"/>
          <w:szCs w:val="24"/>
        </w:rPr>
      </w:pPr>
      <w:r>
        <w:rPr>
          <w:rFonts w:ascii="Times New Roman" w:hAnsi="Times New Roman" w:cs="Times New Roman"/>
          <w:sz w:val="24"/>
          <w:szCs w:val="24"/>
        </w:rPr>
        <w:t xml:space="preserve">In the selection of the case study design, the present research was guided by, among others, the understanding that case studies are generally good in presenting the uniqueness of the object of an inquiry, which makes them best suited for in-depth investigation of the phenomenon (Simons, 2009; De Vos </w:t>
      </w:r>
      <w:r>
        <w:rPr>
          <w:rFonts w:ascii="Times New Roman" w:eastAsia="Times New Roman" w:hAnsi="Times New Roman" w:cs="Times New Roman"/>
          <w:i/>
          <w:sz w:val="24"/>
          <w:szCs w:val="24"/>
        </w:rPr>
        <w:t>et al.,</w:t>
      </w:r>
      <w:r>
        <w:rPr>
          <w:rFonts w:ascii="Times New Roman" w:hAnsi="Times New Roman" w:cs="Times New Roman"/>
          <w:sz w:val="24"/>
          <w:szCs w:val="24"/>
        </w:rPr>
        <w:t xml:space="preserve"> 2011). In addition to offering uniqueness, the case study is “a frame that offers the boundary to your research” (Thomas, 2011). It gives the demarcation for the study, stating the direction </w:t>
      </w:r>
      <w:r>
        <w:rPr>
          <w:rFonts w:ascii="Times New Roman" w:hAnsi="Times New Roman" w:cs="Times New Roman"/>
          <w:sz w:val="24"/>
          <w:szCs w:val="24"/>
        </w:rPr>
        <w:lastRenderedPageBreak/>
        <w:t xml:space="preserve">and extent you want your study to cover, irrespective of the methods used to do the study. A researcher is able to see the completeness of a phenomenon under inquiry in a case study, because it allows looking at the phenomenon from many different angles. In addition to the above advantages, De Vos </w:t>
      </w:r>
      <w:r>
        <w:rPr>
          <w:rFonts w:ascii="Times New Roman" w:eastAsia="Times New Roman" w:hAnsi="Times New Roman" w:cs="Times New Roman"/>
          <w:i/>
          <w:sz w:val="24"/>
          <w:szCs w:val="24"/>
        </w:rPr>
        <w:t>et al.,</w:t>
      </w:r>
      <w:r>
        <w:rPr>
          <w:rFonts w:ascii="Times New Roman" w:hAnsi="Times New Roman" w:cs="Times New Roman"/>
          <w:sz w:val="24"/>
          <w:szCs w:val="24"/>
        </w:rPr>
        <w:t xml:space="preserve"> 2011 (2005) observe that case studies also have potential for achieving high conceptual validity through their contextual approach and have the capacity to address casual complexities compared to other designs.   </w:t>
      </w:r>
    </w:p>
    <w:p w14:paraId="77F3971D" w14:textId="77777777" w:rsidR="00B01D46" w:rsidRDefault="0067013E">
      <w:pPr>
        <w:pStyle w:val="Heading3"/>
        <w:ind w:right="65"/>
        <w:rPr>
          <w:szCs w:val="24"/>
        </w:rPr>
      </w:pPr>
      <w:bookmarkStart w:id="791" w:name="_Toc165368364"/>
      <w:bookmarkStart w:id="792" w:name="_Toc165365166"/>
      <w:bookmarkStart w:id="793" w:name="_Toc165898016"/>
      <w:bookmarkStart w:id="794" w:name="_Toc165975785"/>
      <w:bookmarkStart w:id="795" w:name="_Toc184272887"/>
      <w:bookmarkStart w:id="796" w:name="_Toc165369180"/>
      <w:bookmarkStart w:id="797" w:name="_Toc164664012"/>
      <w:bookmarkStart w:id="798" w:name="_Toc165973064"/>
      <w:bookmarkStart w:id="799" w:name="_Toc165367638"/>
      <w:r>
        <w:rPr>
          <w:szCs w:val="24"/>
        </w:rPr>
        <w:t>4.4.2 Descriptive Survey Design</w:t>
      </w:r>
      <w:bookmarkEnd w:id="791"/>
      <w:bookmarkEnd w:id="792"/>
      <w:bookmarkEnd w:id="793"/>
      <w:bookmarkEnd w:id="794"/>
      <w:bookmarkEnd w:id="795"/>
      <w:bookmarkEnd w:id="796"/>
      <w:bookmarkEnd w:id="797"/>
      <w:bookmarkEnd w:id="798"/>
      <w:bookmarkEnd w:id="799"/>
    </w:p>
    <w:p w14:paraId="56F923B4"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Hollweck</w:t>
      </w:r>
      <w:r>
        <w:rPr>
          <w:rFonts w:ascii="Times New Roman" w:hAnsi="Times New Roman" w:cs="Times New Roman"/>
          <w:sz w:val="24"/>
          <w:szCs w:val="24"/>
        </w:rPr>
        <w:t xml:space="preserve"> (2014) postulate that descriptive survey design is a research design that enables the investigator to generalize the study outcomes and demonstrate significant demographic features of the population. The current study adopted descriptive survey design because the researcher tried to determine the characteristics of a population or a particular phenomenon by describing the status, understandings, attitudes, opinions, and characteristics regarding ILS delivery and enhancement among medical undergraduate students. Descriptive survey guided the research to identify patterns in the characteristics of the study respondents. In addition, descriptive survey enabled the study to acquire data that characterizes occurrences and then organizing, tabulating, depicting, and describing the information gathered (Kumar, 2011). Similarly, Stagnor (2011) emphasizes that when thorough narrative descriptions of a small number of instances are used, description is used as a tool to organize data into patterns that emerge during analysis. The patterns help the mind in understanding a qualitative study and its insinuations. Descriptive survey design facilitated the collection of data from the many respondents of the study.</w:t>
      </w:r>
    </w:p>
    <w:p w14:paraId="2EDB8716" w14:textId="77777777" w:rsidR="00B01D46" w:rsidRDefault="0067013E">
      <w:pPr>
        <w:pStyle w:val="Heading2"/>
      </w:pPr>
      <w:bookmarkStart w:id="800" w:name="_Toc165369181"/>
      <w:bookmarkStart w:id="801" w:name="_Toc165973065"/>
      <w:bookmarkStart w:id="802" w:name="_Toc165367639"/>
      <w:bookmarkStart w:id="803" w:name="_Toc184272888"/>
      <w:bookmarkStart w:id="804" w:name="_Toc165368365"/>
      <w:bookmarkStart w:id="805" w:name="_Toc165975786"/>
      <w:bookmarkStart w:id="806" w:name="_Toc165365167"/>
      <w:bookmarkStart w:id="807" w:name="_Toc164664013"/>
      <w:bookmarkStart w:id="808" w:name="_Toc165898017"/>
      <w:r>
        <w:lastRenderedPageBreak/>
        <w:t>4.5 Population of the Study</w:t>
      </w:r>
      <w:bookmarkEnd w:id="800"/>
      <w:bookmarkEnd w:id="801"/>
      <w:bookmarkEnd w:id="802"/>
      <w:bookmarkEnd w:id="803"/>
      <w:bookmarkEnd w:id="804"/>
      <w:bookmarkEnd w:id="805"/>
      <w:bookmarkEnd w:id="806"/>
      <w:bookmarkEnd w:id="807"/>
      <w:bookmarkEnd w:id="808"/>
    </w:p>
    <w:p w14:paraId="36DA108A" w14:textId="77777777" w:rsidR="00B01D46" w:rsidRDefault="0067013E">
      <w:pPr>
        <w:spacing w:after="0" w:line="480" w:lineRule="auto"/>
        <w:ind w:right="65"/>
        <w:jc w:val="both"/>
        <w:rPr>
          <w:rFonts w:ascii="Times New Roman" w:hAnsi="Times New Roman" w:cs="Times New Roman"/>
          <w:color w:val="222222"/>
          <w:sz w:val="24"/>
          <w:szCs w:val="24"/>
          <w:shd w:val="clear" w:color="auto" w:fill="FFFFFF"/>
        </w:rPr>
      </w:pPr>
      <w:bookmarkStart w:id="809" w:name="_Toc293065859"/>
      <w:bookmarkStart w:id="810" w:name="_Toc285122802"/>
      <w:bookmarkStart w:id="811" w:name="_Toc374800225"/>
      <w:bookmarkStart w:id="812" w:name="_Toc298597190"/>
      <w:bookmarkStart w:id="813" w:name="_Toc299356180"/>
      <w:bookmarkStart w:id="814" w:name="_Toc297552891"/>
      <w:bookmarkStart w:id="815" w:name="_Toc314155437"/>
      <w:bookmarkStart w:id="816" w:name="_Toc284943530"/>
      <w:bookmarkStart w:id="817" w:name="_Toc299365547"/>
      <w:bookmarkStart w:id="818" w:name="_Toc284940526"/>
      <w:bookmarkStart w:id="819" w:name="_Toc301965351"/>
      <w:bookmarkStart w:id="820" w:name="_Toc314156206"/>
      <w:bookmarkStart w:id="821" w:name="_Toc297557363"/>
      <w:bookmarkStart w:id="822" w:name="_Toc298595826"/>
      <w:bookmarkStart w:id="823" w:name="_Toc293066558"/>
      <w:bookmarkStart w:id="824" w:name="_Toc297553662"/>
      <w:bookmarkStart w:id="825" w:name="_Toc332823442"/>
      <w:bookmarkStart w:id="826" w:name="_Toc301964754"/>
      <w:bookmarkStart w:id="827" w:name="_Toc374802758"/>
      <w:bookmarkStart w:id="828" w:name="_Toc374802019"/>
      <w:bookmarkStart w:id="829" w:name="_Toc332823843"/>
      <w:bookmarkStart w:id="830" w:name="_Toc332822643"/>
      <w:bookmarkStart w:id="831" w:name="_Toc292804994"/>
      <w:bookmarkStart w:id="832" w:name="_Toc299372040"/>
      <w:bookmarkStart w:id="833" w:name="_Toc332821849"/>
      <w:bookmarkStart w:id="834" w:name="_Toc284939114"/>
      <w:r>
        <w:rPr>
          <w:rFonts w:ascii="Times New Roman" w:hAnsi="Times New Roman" w:cs="Times New Roman"/>
          <w:color w:val="222222"/>
          <w:sz w:val="24"/>
          <w:szCs w:val="24"/>
          <w:shd w:val="clear" w:color="auto" w:fill="FFFFFF"/>
        </w:rPr>
        <w:t xml:space="preserve">Walliman (2021) </w:t>
      </w:r>
      <w:r>
        <w:rPr>
          <w:rFonts w:ascii="Times New Roman" w:hAnsi="Times New Roman" w:cs="Times New Roman"/>
          <w:sz w:val="24"/>
          <w:szCs w:val="24"/>
        </w:rPr>
        <w:t xml:space="preserve">define population as events, people, or a group on which the researcher concludes. It’s generally defined to mean a group or set of elements that a researcher wants to know more information about. Likewise, Creswell (2012); Cohen and Manion, (2018) describe it as a group of items, individuals, or units of observation that share similar characteristics. Furthermore, Creswell (2012) avers that the study population is important because it enables the generalization of study findings with confidence in a cost-effective way. In research, according to </w:t>
      </w:r>
      <w:r>
        <w:rPr>
          <w:rFonts w:ascii="Times New Roman" w:hAnsi="Times New Roman" w:cs="Times New Roman"/>
          <w:color w:val="222222"/>
          <w:sz w:val="24"/>
          <w:szCs w:val="24"/>
          <w:shd w:val="clear" w:color="auto" w:fill="FFFFFF"/>
        </w:rPr>
        <w:t xml:space="preserve">Walliman (2021) </w:t>
      </w:r>
      <w:r>
        <w:rPr>
          <w:rFonts w:ascii="Times New Roman" w:hAnsi="Times New Roman" w:cs="Times New Roman"/>
          <w:sz w:val="24"/>
          <w:szCs w:val="24"/>
        </w:rPr>
        <w:t>refinement of the general population yields a target population which is termed as the collection of entities or participants with precise attributes of interest and relevance (</w:t>
      </w:r>
      <w:r>
        <w:rPr>
          <w:rFonts w:ascii="Times New Roman" w:hAnsi="Times New Roman" w:cs="Times New Roman"/>
          <w:color w:val="222222"/>
          <w:sz w:val="24"/>
          <w:szCs w:val="24"/>
          <w:shd w:val="clear" w:color="auto" w:fill="FFFFFF"/>
        </w:rPr>
        <w:t xml:space="preserve">Walliman (2021) </w:t>
      </w:r>
      <w:r>
        <w:rPr>
          <w:rFonts w:ascii="Times New Roman" w:hAnsi="Times New Roman" w:cs="Times New Roman"/>
          <w:sz w:val="24"/>
          <w:szCs w:val="24"/>
        </w:rPr>
        <w:t>and Creswell, 2013). According to Manion et al (2019),</w:t>
      </w:r>
      <w:r>
        <w:rPr>
          <w:rFonts w:ascii="Times New Roman" w:hAnsi="Times New Roman" w:cs="Times New Roman"/>
          <w:color w:val="222222"/>
          <w:sz w:val="24"/>
          <w:szCs w:val="24"/>
          <w:shd w:val="clear" w:color="auto" w:fill="FFFFFF"/>
        </w:rPr>
        <w:t xml:space="preserve"> the </w:t>
      </w:r>
      <w:r>
        <w:rPr>
          <w:rFonts w:ascii="Times New Roman" w:hAnsi="Times New Roman" w:cs="Times New Roman"/>
          <w:bCs/>
          <w:color w:val="222222"/>
          <w:sz w:val="24"/>
          <w:szCs w:val="24"/>
          <w:shd w:val="clear" w:color="auto" w:fill="FFFFFF"/>
        </w:rPr>
        <w:t>target population</w:t>
      </w:r>
      <w:r>
        <w:rPr>
          <w:rFonts w:ascii="Times New Roman" w:hAnsi="Times New Roman" w:cs="Times New Roman"/>
          <w:color w:val="222222"/>
          <w:sz w:val="24"/>
          <w:szCs w:val="24"/>
          <w:shd w:val="clear" w:color="auto" w:fill="FFFFFF"/>
        </w:rPr>
        <w:t> is </w:t>
      </w:r>
      <w:r>
        <w:rPr>
          <w:rFonts w:ascii="Times New Roman" w:hAnsi="Times New Roman" w:cs="Times New Roman"/>
          <w:bCs/>
          <w:color w:val="222222"/>
          <w:sz w:val="24"/>
          <w:szCs w:val="24"/>
          <w:shd w:val="clear" w:color="auto" w:fill="FFFFFF"/>
        </w:rPr>
        <w:t>important</w:t>
      </w:r>
      <w:r>
        <w:rPr>
          <w:rFonts w:ascii="Times New Roman" w:hAnsi="Times New Roman" w:cs="Times New Roman"/>
          <w:color w:val="222222"/>
          <w:sz w:val="24"/>
          <w:szCs w:val="24"/>
          <w:shd w:val="clear" w:color="auto" w:fill="FFFFFF"/>
        </w:rPr>
        <w:t> because it sets clear a path on the scope and objective of the research and data types, defines the characteristic variables of the individuals who qualify for the study, and provides the scope of the total </w:t>
      </w:r>
      <w:r>
        <w:rPr>
          <w:rFonts w:ascii="Times New Roman" w:hAnsi="Times New Roman" w:cs="Times New Roman"/>
          <w:bCs/>
          <w:color w:val="222222"/>
          <w:sz w:val="24"/>
          <w:szCs w:val="24"/>
          <w:shd w:val="clear" w:color="auto" w:fill="FFFFFF"/>
        </w:rPr>
        <w:t>population</w:t>
      </w:r>
      <w:r>
        <w:rPr>
          <w:rFonts w:ascii="Times New Roman" w:hAnsi="Times New Roman" w:cs="Times New Roman"/>
          <w:color w:val="222222"/>
          <w:sz w:val="24"/>
          <w:szCs w:val="24"/>
          <w:shd w:val="clear" w:color="auto" w:fill="FFFFFF"/>
        </w:rPr>
        <w:t> or universe for determining sample size.</w:t>
      </w:r>
    </w:p>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14:paraId="66B944CA" w14:textId="77777777" w:rsidR="00B01D46" w:rsidRDefault="0067013E">
      <w:pPr>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study population comprised </w:t>
      </w:r>
      <w:bookmarkStart w:id="835" w:name="_Hlk132692066"/>
      <w:r>
        <w:rPr>
          <w:rFonts w:ascii="Times New Roman" w:hAnsi="Times New Roman" w:cs="Times New Roman"/>
          <w:sz w:val="24"/>
          <w:szCs w:val="24"/>
        </w:rPr>
        <w:t xml:space="preserve">medicine, dentistry, and nursing </w:t>
      </w:r>
      <w:bookmarkEnd w:id="835"/>
      <w:r>
        <w:rPr>
          <w:rFonts w:ascii="Times New Roman" w:hAnsi="Times New Roman" w:cs="Times New Roman"/>
          <w:sz w:val="24"/>
          <w:szCs w:val="24"/>
        </w:rPr>
        <w:t>students, University librarians, medical librarians, lecturers, and departmental heads in the two colleges of health sciences of the University of Nairobi and Moi University as discussed below;</w:t>
      </w:r>
    </w:p>
    <w:p w14:paraId="6C90DE3C" w14:textId="77777777" w:rsidR="00B01D46" w:rsidRDefault="0067013E">
      <w:pPr>
        <w:pStyle w:val="Heading3"/>
        <w:ind w:right="65"/>
        <w:rPr>
          <w:szCs w:val="24"/>
        </w:rPr>
      </w:pPr>
      <w:bookmarkStart w:id="836" w:name="_Toc165975787"/>
      <w:bookmarkStart w:id="837" w:name="_Toc165369182"/>
      <w:bookmarkStart w:id="838" w:name="_Toc165368366"/>
      <w:bookmarkStart w:id="839" w:name="_Toc165898018"/>
      <w:bookmarkStart w:id="840" w:name="_Toc165365168"/>
      <w:bookmarkStart w:id="841" w:name="_Toc165367640"/>
      <w:bookmarkStart w:id="842" w:name="_Toc165973066"/>
      <w:bookmarkStart w:id="843" w:name="_Toc184272889"/>
      <w:r>
        <w:rPr>
          <w:szCs w:val="24"/>
        </w:rPr>
        <w:t>4.5.1 Medicine, Dentistry, and Nursing Undergraduate Students</w:t>
      </w:r>
      <w:bookmarkEnd w:id="836"/>
      <w:bookmarkEnd w:id="837"/>
      <w:bookmarkEnd w:id="838"/>
      <w:bookmarkEnd w:id="839"/>
      <w:bookmarkEnd w:id="840"/>
      <w:bookmarkEnd w:id="841"/>
      <w:bookmarkEnd w:id="842"/>
      <w:bookmarkEnd w:id="843"/>
    </w:p>
    <w:p w14:paraId="0CAA905F"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The first category of the study population was a total of 2118 medicine, dentistry, and nursing undergraduate students from the University of Nairobi’s Faculty of Health Sciences and Moi University’s colleges of Health Sciences as shown in Table 4.1. Student participants in this study were proportionately from each university’s college of health science because they vary in size and population. The study targeted 6th-</w:t>
      </w:r>
      <w:r>
        <w:rPr>
          <w:rFonts w:ascii="Times New Roman" w:hAnsi="Times New Roman" w:cs="Times New Roman"/>
          <w:sz w:val="24"/>
          <w:szCs w:val="24"/>
        </w:rPr>
        <w:lastRenderedPageBreak/>
        <w:t>year students in Medicine, 5th-year students in Dentistry, and 4</w:t>
      </w:r>
      <w:r>
        <w:rPr>
          <w:rFonts w:ascii="Times New Roman" w:hAnsi="Times New Roman" w:cs="Times New Roman"/>
          <w:sz w:val="24"/>
          <w:szCs w:val="24"/>
          <w:vertAlign w:val="superscript"/>
        </w:rPr>
        <w:t>th</w:t>
      </w:r>
      <w:r>
        <w:rPr>
          <w:rFonts w:ascii="Times New Roman" w:hAnsi="Times New Roman" w:cs="Times New Roman"/>
          <w:sz w:val="24"/>
          <w:szCs w:val="24"/>
        </w:rPr>
        <w:t>-year students in Nursing from both institutions. The reason for choosing this cadre of population was that these students were at advanced/ final levels in their studies hence understood how ILS affect their studies and can best describe ILS experiences, perception, attitudes and notions. In addition, the students were at a stage of applying the theory learned into practical scenarios in search of information to carry out their studies.</w:t>
      </w:r>
    </w:p>
    <w:tbl>
      <w:tblPr>
        <w:tblpPr w:leftFromText="180" w:rightFromText="180" w:vertAnchor="text" w:horzAnchor="margin" w:tblpY="735"/>
        <w:tblW w:w="8139" w:type="dxa"/>
        <w:tblLayout w:type="fixed"/>
        <w:tblLook w:val="04A0" w:firstRow="1" w:lastRow="0" w:firstColumn="1" w:lastColumn="0" w:noHBand="0" w:noVBand="1"/>
      </w:tblPr>
      <w:tblGrid>
        <w:gridCol w:w="2163"/>
        <w:gridCol w:w="1167"/>
        <w:gridCol w:w="1260"/>
        <w:gridCol w:w="1295"/>
        <w:gridCol w:w="1107"/>
        <w:gridCol w:w="1147"/>
      </w:tblGrid>
      <w:tr w:rsidR="00B01D46" w14:paraId="3FB86651" w14:textId="77777777">
        <w:trPr>
          <w:trHeight w:val="434"/>
        </w:trPr>
        <w:tc>
          <w:tcPr>
            <w:tcW w:w="2163" w:type="dxa"/>
            <w:tcBorders>
              <w:top w:val="single" w:sz="4" w:space="0" w:color="auto"/>
              <w:bottom w:val="single" w:sz="4" w:space="0" w:color="auto"/>
            </w:tcBorders>
          </w:tcPr>
          <w:p w14:paraId="067147A2" w14:textId="77777777" w:rsidR="00B01D46" w:rsidRDefault="0067013E">
            <w:pPr>
              <w:tabs>
                <w:tab w:val="left" w:pos="3960"/>
              </w:tabs>
              <w:spacing w:after="0" w:line="240" w:lineRule="auto"/>
              <w:ind w:right="65"/>
              <w:rPr>
                <w:rFonts w:ascii="Times New Roman" w:hAnsi="Times New Roman" w:cs="Times New Roman"/>
                <w:b/>
                <w:sz w:val="24"/>
                <w:szCs w:val="24"/>
              </w:rPr>
            </w:pPr>
            <w:bookmarkStart w:id="844" w:name="_Toc165973067"/>
            <w:bookmarkStart w:id="845" w:name="_Toc165898019"/>
            <w:bookmarkStart w:id="846" w:name="_Toc165975788"/>
            <w:r>
              <w:rPr>
                <w:rFonts w:ascii="Times New Roman" w:hAnsi="Times New Roman" w:cs="Times New Roman"/>
                <w:b/>
                <w:sz w:val="24"/>
                <w:szCs w:val="24"/>
              </w:rPr>
              <w:t>University</w:t>
            </w:r>
          </w:p>
        </w:tc>
        <w:tc>
          <w:tcPr>
            <w:tcW w:w="1167" w:type="dxa"/>
            <w:tcBorders>
              <w:top w:val="single" w:sz="4" w:space="0" w:color="auto"/>
              <w:bottom w:val="single" w:sz="4" w:space="0" w:color="auto"/>
            </w:tcBorders>
          </w:tcPr>
          <w:p w14:paraId="42D5D164" w14:textId="77777777" w:rsidR="00B01D46" w:rsidRDefault="0067013E">
            <w:pPr>
              <w:tabs>
                <w:tab w:val="left" w:pos="3960"/>
              </w:tabs>
              <w:spacing w:after="0" w:line="240" w:lineRule="auto"/>
              <w:ind w:right="65"/>
              <w:rPr>
                <w:rFonts w:ascii="Times New Roman" w:hAnsi="Times New Roman" w:cs="Times New Roman"/>
                <w:b/>
                <w:sz w:val="24"/>
                <w:szCs w:val="24"/>
              </w:rPr>
            </w:pPr>
            <w:r>
              <w:rPr>
                <w:rFonts w:ascii="Times New Roman" w:hAnsi="Times New Roman" w:cs="Times New Roman"/>
                <w:b/>
                <w:sz w:val="24"/>
                <w:szCs w:val="24"/>
              </w:rPr>
              <w:t>Year of Study</w:t>
            </w:r>
          </w:p>
        </w:tc>
        <w:tc>
          <w:tcPr>
            <w:tcW w:w="1260" w:type="dxa"/>
            <w:tcBorders>
              <w:top w:val="single" w:sz="4" w:space="0" w:color="auto"/>
              <w:bottom w:val="single" w:sz="4" w:space="0" w:color="auto"/>
            </w:tcBorders>
          </w:tcPr>
          <w:p w14:paraId="1FCEC45E" w14:textId="77777777" w:rsidR="00B01D46" w:rsidRDefault="0067013E">
            <w:pPr>
              <w:tabs>
                <w:tab w:val="left" w:pos="3960"/>
              </w:tabs>
              <w:spacing w:after="0" w:line="240" w:lineRule="auto"/>
              <w:ind w:right="65"/>
              <w:rPr>
                <w:rFonts w:ascii="Times New Roman" w:hAnsi="Times New Roman" w:cs="Times New Roman"/>
                <w:b/>
                <w:sz w:val="24"/>
                <w:szCs w:val="24"/>
              </w:rPr>
            </w:pPr>
            <w:r>
              <w:rPr>
                <w:rFonts w:ascii="Times New Roman" w:hAnsi="Times New Roman" w:cs="Times New Roman"/>
                <w:b/>
                <w:sz w:val="24"/>
                <w:szCs w:val="24"/>
              </w:rPr>
              <w:t>Medicine</w:t>
            </w:r>
          </w:p>
          <w:p w14:paraId="5A501839" w14:textId="77777777" w:rsidR="00B01D46" w:rsidRDefault="00B01D46">
            <w:pPr>
              <w:tabs>
                <w:tab w:val="left" w:pos="3960"/>
              </w:tabs>
              <w:spacing w:after="0" w:line="240" w:lineRule="auto"/>
              <w:ind w:right="65"/>
              <w:rPr>
                <w:rFonts w:ascii="Times New Roman" w:hAnsi="Times New Roman" w:cs="Times New Roman"/>
                <w:b/>
                <w:sz w:val="24"/>
                <w:szCs w:val="24"/>
              </w:rPr>
            </w:pPr>
          </w:p>
        </w:tc>
        <w:tc>
          <w:tcPr>
            <w:tcW w:w="1295" w:type="dxa"/>
            <w:tcBorders>
              <w:top w:val="single" w:sz="4" w:space="0" w:color="auto"/>
              <w:bottom w:val="single" w:sz="4" w:space="0" w:color="auto"/>
            </w:tcBorders>
          </w:tcPr>
          <w:p w14:paraId="4DBE26E3" w14:textId="77777777" w:rsidR="00B01D46" w:rsidRDefault="0067013E">
            <w:pPr>
              <w:tabs>
                <w:tab w:val="left" w:pos="3960"/>
              </w:tabs>
              <w:spacing w:after="0" w:line="240" w:lineRule="auto"/>
              <w:ind w:right="65"/>
              <w:rPr>
                <w:rFonts w:ascii="Times New Roman" w:hAnsi="Times New Roman" w:cs="Times New Roman"/>
                <w:b/>
                <w:sz w:val="24"/>
                <w:szCs w:val="24"/>
              </w:rPr>
            </w:pPr>
            <w:r>
              <w:rPr>
                <w:rFonts w:ascii="Times New Roman" w:hAnsi="Times New Roman" w:cs="Times New Roman"/>
                <w:b/>
                <w:sz w:val="24"/>
                <w:szCs w:val="24"/>
              </w:rPr>
              <w:t>Dentistry</w:t>
            </w:r>
          </w:p>
        </w:tc>
        <w:tc>
          <w:tcPr>
            <w:tcW w:w="1107" w:type="dxa"/>
            <w:tcBorders>
              <w:top w:val="single" w:sz="4" w:space="0" w:color="auto"/>
              <w:bottom w:val="single" w:sz="4" w:space="0" w:color="auto"/>
            </w:tcBorders>
          </w:tcPr>
          <w:p w14:paraId="12E6A6B0" w14:textId="77777777" w:rsidR="00B01D46" w:rsidRDefault="0067013E">
            <w:pPr>
              <w:tabs>
                <w:tab w:val="left" w:pos="3960"/>
              </w:tabs>
              <w:spacing w:after="0" w:line="240" w:lineRule="auto"/>
              <w:rPr>
                <w:rFonts w:ascii="Times New Roman" w:hAnsi="Times New Roman" w:cs="Times New Roman"/>
                <w:b/>
                <w:sz w:val="24"/>
                <w:szCs w:val="24"/>
              </w:rPr>
            </w:pPr>
            <w:r>
              <w:rPr>
                <w:rFonts w:ascii="Times New Roman" w:hAnsi="Times New Roman" w:cs="Times New Roman"/>
                <w:b/>
                <w:sz w:val="24"/>
                <w:szCs w:val="24"/>
              </w:rPr>
              <w:t>Nursing</w:t>
            </w:r>
          </w:p>
        </w:tc>
        <w:tc>
          <w:tcPr>
            <w:tcW w:w="1147" w:type="dxa"/>
            <w:tcBorders>
              <w:top w:val="single" w:sz="4" w:space="0" w:color="auto"/>
              <w:bottom w:val="single" w:sz="4" w:space="0" w:color="auto"/>
            </w:tcBorders>
          </w:tcPr>
          <w:p w14:paraId="359567B5" w14:textId="77777777" w:rsidR="00B01D46" w:rsidRDefault="0067013E">
            <w:pPr>
              <w:tabs>
                <w:tab w:val="left" w:pos="3960"/>
              </w:tabs>
              <w:spacing w:after="0" w:line="240" w:lineRule="auto"/>
              <w:ind w:right="65"/>
              <w:rPr>
                <w:rFonts w:ascii="Times New Roman" w:hAnsi="Times New Roman" w:cs="Times New Roman"/>
                <w:b/>
                <w:sz w:val="24"/>
                <w:szCs w:val="24"/>
              </w:rPr>
            </w:pPr>
            <w:r>
              <w:rPr>
                <w:rFonts w:ascii="Times New Roman" w:hAnsi="Times New Roman" w:cs="Times New Roman"/>
                <w:b/>
                <w:sz w:val="24"/>
                <w:szCs w:val="24"/>
              </w:rPr>
              <w:t>Total</w:t>
            </w:r>
          </w:p>
        </w:tc>
      </w:tr>
      <w:tr w:rsidR="00B01D46" w14:paraId="4F169933" w14:textId="77777777">
        <w:trPr>
          <w:trHeight w:val="294"/>
        </w:trPr>
        <w:tc>
          <w:tcPr>
            <w:tcW w:w="2163" w:type="dxa"/>
            <w:vMerge w:val="restart"/>
            <w:tcBorders>
              <w:top w:val="single" w:sz="4" w:space="0" w:color="auto"/>
            </w:tcBorders>
          </w:tcPr>
          <w:p w14:paraId="203A09EB" w14:textId="77777777" w:rsidR="00B01D46" w:rsidRDefault="0067013E">
            <w:pPr>
              <w:tabs>
                <w:tab w:val="left" w:pos="3960"/>
              </w:tabs>
              <w:spacing w:after="0" w:line="240" w:lineRule="auto"/>
              <w:ind w:right="65"/>
              <w:rPr>
                <w:rFonts w:ascii="Times New Roman" w:hAnsi="Times New Roman" w:cs="Times New Roman"/>
                <w:b/>
                <w:sz w:val="24"/>
                <w:szCs w:val="24"/>
              </w:rPr>
            </w:pPr>
            <w:r>
              <w:rPr>
                <w:rFonts w:ascii="Times New Roman" w:hAnsi="Times New Roman" w:cs="Times New Roman"/>
                <w:b/>
                <w:sz w:val="24"/>
                <w:szCs w:val="24"/>
              </w:rPr>
              <w:t>University of Nairobi</w:t>
            </w:r>
          </w:p>
        </w:tc>
        <w:tc>
          <w:tcPr>
            <w:tcW w:w="1167" w:type="dxa"/>
            <w:tcBorders>
              <w:top w:val="single" w:sz="4" w:space="0" w:color="auto"/>
            </w:tcBorders>
          </w:tcPr>
          <w:p w14:paraId="6D9B43B3"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st</w:t>
            </w:r>
          </w:p>
        </w:tc>
        <w:tc>
          <w:tcPr>
            <w:tcW w:w="1260" w:type="dxa"/>
            <w:tcBorders>
              <w:top w:val="single" w:sz="4" w:space="0" w:color="auto"/>
            </w:tcBorders>
          </w:tcPr>
          <w:p w14:paraId="7881273B"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121</w:t>
            </w:r>
          </w:p>
        </w:tc>
        <w:tc>
          <w:tcPr>
            <w:tcW w:w="1295" w:type="dxa"/>
            <w:tcBorders>
              <w:top w:val="single" w:sz="4" w:space="0" w:color="auto"/>
            </w:tcBorders>
          </w:tcPr>
          <w:p w14:paraId="0DCAF05B"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25</w:t>
            </w:r>
          </w:p>
        </w:tc>
        <w:tc>
          <w:tcPr>
            <w:tcW w:w="1107" w:type="dxa"/>
            <w:tcBorders>
              <w:top w:val="single" w:sz="4" w:space="0" w:color="auto"/>
            </w:tcBorders>
          </w:tcPr>
          <w:p w14:paraId="3D739885"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146</w:t>
            </w:r>
          </w:p>
        </w:tc>
        <w:tc>
          <w:tcPr>
            <w:tcW w:w="1147" w:type="dxa"/>
            <w:tcBorders>
              <w:top w:val="single" w:sz="4" w:space="0" w:color="auto"/>
            </w:tcBorders>
          </w:tcPr>
          <w:p w14:paraId="16AEE868"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292</w:t>
            </w:r>
          </w:p>
        </w:tc>
      </w:tr>
      <w:tr w:rsidR="00B01D46" w14:paraId="1BB96FD1" w14:textId="77777777">
        <w:trPr>
          <w:trHeight w:val="113"/>
        </w:trPr>
        <w:tc>
          <w:tcPr>
            <w:tcW w:w="2163" w:type="dxa"/>
            <w:vMerge/>
          </w:tcPr>
          <w:p w14:paraId="310014F1" w14:textId="77777777" w:rsidR="00B01D46" w:rsidRDefault="00B01D46">
            <w:pPr>
              <w:tabs>
                <w:tab w:val="left" w:pos="3960"/>
              </w:tabs>
              <w:spacing w:before="120" w:after="0" w:line="240" w:lineRule="auto"/>
              <w:ind w:right="65"/>
              <w:rPr>
                <w:rFonts w:ascii="Times New Roman" w:hAnsi="Times New Roman" w:cs="Times New Roman"/>
                <w:b/>
                <w:sz w:val="24"/>
                <w:szCs w:val="24"/>
              </w:rPr>
            </w:pPr>
          </w:p>
        </w:tc>
        <w:tc>
          <w:tcPr>
            <w:tcW w:w="1167" w:type="dxa"/>
          </w:tcPr>
          <w:p w14:paraId="6B302C1A"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vertAlign w:val="superscript"/>
              </w:rPr>
              <w:t>nd</w:t>
            </w:r>
          </w:p>
        </w:tc>
        <w:tc>
          <w:tcPr>
            <w:tcW w:w="1260" w:type="dxa"/>
          </w:tcPr>
          <w:p w14:paraId="3218D762"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114</w:t>
            </w:r>
          </w:p>
        </w:tc>
        <w:tc>
          <w:tcPr>
            <w:tcW w:w="1295" w:type="dxa"/>
          </w:tcPr>
          <w:p w14:paraId="7E0BA0D7"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22</w:t>
            </w:r>
          </w:p>
        </w:tc>
        <w:tc>
          <w:tcPr>
            <w:tcW w:w="1107" w:type="dxa"/>
          </w:tcPr>
          <w:p w14:paraId="1F265AEF"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138</w:t>
            </w:r>
          </w:p>
        </w:tc>
        <w:tc>
          <w:tcPr>
            <w:tcW w:w="1147" w:type="dxa"/>
          </w:tcPr>
          <w:p w14:paraId="1D7B3BFF"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274</w:t>
            </w:r>
          </w:p>
        </w:tc>
      </w:tr>
      <w:tr w:rsidR="00B01D46" w14:paraId="5DB21B7C" w14:textId="77777777">
        <w:trPr>
          <w:trHeight w:val="113"/>
        </w:trPr>
        <w:tc>
          <w:tcPr>
            <w:tcW w:w="2163" w:type="dxa"/>
            <w:vMerge/>
          </w:tcPr>
          <w:p w14:paraId="34037806" w14:textId="77777777" w:rsidR="00B01D46" w:rsidRDefault="00B01D46">
            <w:pPr>
              <w:tabs>
                <w:tab w:val="left" w:pos="3960"/>
              </w:tabs>
              <w:spacing w:before="120" w:after="0" w:line="240" w:lineRule="auto"/>
              <w:ind w:right="65"/>
              <w:rPr>
                <w:rFonts w:ascii="Times New Roman" w:hAnsi="Times New Roman" w:cs="Times New Roman"/>
                <w:b/>
                <w:sz w:val="24"/>
                <w:szCs w:val="24"/>
              </w:rPr>
            </w:pPr>
          </w:p>
        </w:tc>
        <w:tc>
          <w:tcPr>
            <w:tcW w:w="1167" w:type="dxa"/>
          </w:tcPr>
          <w:p w14:paraId="04204285"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vertAlign w:val="superscript"/>
              </w:rPr>
              <w:t>rd</w:t>
            </w:r>
          </w:p>
        </w:tc>
        <w:tc>
          <w:tcPr>
            <w:tcW w:w="1260" w:type="dxa"/>
          </w:tcPr>
          <w:p w14:paraId="64A48E9A"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137</w:t>
            </w:r>
          </w:p>
        </w:tc>
        <w:tc>
          <w:tcPr>
            <w:tcW w:w="1295" w:type="dxa"/>
          </w:tcPr>
          <w:p w14:paraId="17FFA32F"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34</w:t>
            </w:r>
          </w:p>
        </w:tc>
        <w:tc>
          <w:tcPr>
            <w:tcW w:w="1107" w:type="dxa"/>
          </w:tcPr>
          <w:p w14:paraId="4523F181"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155</w:t>
            </w:r>
          </w:p>
        </w:tc>
        <w:tc>
          <w:tcPr>
            <w:tcW w:w="1147" w:type="dxa"/>
          </w:tcPr>
          <w:p w14:paraId="0EF4BAE2"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326</w:t>
            </w:r>
          </w:p>
        </w:tc>
      </w:tr>
      <w:tr w:rsidR="00B01D46" w14:paraId="55EAD0DA" w14:textId="77777777">
        <w:trPr>
          <w:trHeight w:val="113"/>
        </w:trPr>
        <w:tc>
          <w:tcPr>
            <w:tcW w:w="2163" w:type="dxa"/>
            <w:vMerge/>
          </w:tcPr>
          <w:p w14:paraId="14D54468" w14:textId="77777777" w:rsidR="00B01D46" w:rsidRDefault="00B01D46">
            <w:pPr>
              <w:tabs>
                <w:tab w:val="left" w:pos="3960"/>
              </w:tabs>
              <w:spacing w:before="120" w:after="0" w:line="240" w:lineRule="auto"/>
              <w:ind w:right="65"/>
              <w:rPr>
                <w:rFonts w:ascii="Times New Roman" w:hAnsi="Times New Roman" w:cs="Times New Roman"/>
                <w:b/>
                <w:sz w:val="24"/>
                <w:szCs w:val="24"/>
              </w:rPr>
            </w:pPr>
          </w:p>
        </w:tc>
        <w:tc>
          <w:tcPr>
            <w:tcW w:w="1167" w:type="dxa"/>
          </w:tcPr>
          <w:p w14:paraId="54AE13E2"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vertAlign w:val="superscript"/>
              </w:rPr>
              <w:t>th</w:t>
            </w:r>
          </w:p>
        </w:tc>
        <w:tc>
          <w:tcPr>
            <w:tcW w:w="1260" w:type="dxa"/>
          </w:tcPr>
          <w:p w14:paraId="353DB798"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120</w:t>
            </w:r>
          </w:p>
        </w:tc>
        <w:tc>
          <w:tcPr>
            <w:tcW w:w="1295" w:type="dxa"/>
          </w:tcPr>
          <w:p w14:paraId="1BB90AAD"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28</w:t>
            </w:r>
          </w:p>
        </w:tc>
        <w:tc>
          <w:tcPr>
            <w:tcW w:w="1107" w:type="dxa"/>
          </w:tcPr>
          <w:p w14:paraId="24DB5B20"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117</w:t>
            </w:r>
          </w:p>
        </w:tc>
        <w:tc>
          <w:tcPr>
            <w:tcW w:w="1147" w:type="dxa"/>
          </w:tcPr>
          <w:p w14:paraId="0E43B105"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265</w:t>
            </w:r>
          </w:p>
        </w:tc>
      </w:tr>
      <w:tr w:rsidR="00B01D46" w14:paraId="4C916090" w14:textId="77777777">
        <w:trPr>
          <w:trHeight w:val="113"/>
        </w:trPr>
        <w:tc>
          <w:tcPr>
            <w:tcW w:w="2163" w:type="dxa"/>
            <w:vMerge/>
          </w:tcPr>
          <w:p w14:paraId="2C5B1257" w14:textId="77777777" w:rsidR="00B01D46" w:rsidRDefault="00B01D46">
            <w:pPr>
              <w:tabs>
                <w:tab w:val="left" w:pos="3960"/>
              </w:tabs>
              <w:spacing w:before="120" w:after="0" w:line="240" w:lineRule="auto"/>
              <w:ind w:right="65"/>
              <w:rPr>
                <w:rFonts w:ascii="Times New Roman" w:hAnsi="Times New Roman" w:cs="Times New Roman"/>
                <w:b/>
                <w:sz w:val="24"/>
                <w:szCs w:val="24"/>
              </w:rPr>
            </w:pPr>
          </w:p>
        </w:tc>
        <w:tc>
          <w:tcPr>
            <w:tcW w:w="1167" w:type="dxa"/>
          </w:tcPr>
          <w:p w14:paraId="3CDB5099"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vertAlign w:val="superscript"/>
              </w:rPr>
              <w:t>th</w:t>
            </w:r>
          </w:p>
        </w:tc>
        <w:tc>
          <w:tcPr>
            <w:tcW w:w="1260" w:type="dxa"/>
          </w:tcPr>
          <w:p w14:paraId="44AFD1E0"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109</w:t>
            </w:r>
          </w:p>
        </w:tc>
        <w:tc>
          <w:tcPr>
            <w:tcW w:w="1295" w:type="dxa"/>
          </w:tcPr>
          <w:p w14:paraId="2813657A"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38</w:t>
            </w:r>
          </w:p>
        </w:tc>
        <w:tc>
          <w:tcPr>
            <w:tcW w:w="1107" w:type="dxa"/>
          </w:tcPr>
          <w:p w14:paraId="0B28D0C4" w14:textId="77777777" w:rsidR="00B01D46" w:rsidRDefault="00B01D46">
            <w:pPr>
              <w:spacing w:before="120" w:after="0" w:line="240" w:lineRule="auto"/>
              <w:ind w:right="65"/>
              <w:jc w:val="center"/>
              <w:rPr>
                <w:rFonts w:ascii="Times New Roman" w:hAnsi="Times New Roman" w:cs="Times New Roman"/>
                <w:sz w:val="24"/>
                <w:szCs w:val="24"/>
              </w:rPr>
            </w:pPr>
          </w:p>
        </w:tc>
        <w:tc>
          <w:tcPr>
            <w:tcW w:w="1147" w:type="dxa"/>
          </w:tcPr>
          <w:p w14:paraId="37DDA1B5"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147</w:t>
            </w:r>
          </w:p>
        </w:tc>
      </w:tr>
      <w:tr w:rsidR="00B01D46" w14:paraId="6EB35F69" w14:textId="77777777">
        <w:trPr>
          <w:trHeight w:val="113"/>
        </w:trPr>
        <w:tc>
          <w:tcPr>
            <w:tcW w:w="2163" w:type="dxa"/>
            <w:vMerge/>
          </w:tcPr>
          <w:p w14:paraId="00325CEB" w14:textId="77777777" w:rsidR="00B01D46" w:rsidRDefault="00B01D46">
            <w:pPr>
              <w:tabs>
                <w:tab w:val="left" w:pos="3960"/>
              </w:tabs>
              <w:spacing w:before="120" w:after="0" w:line="240" w:lineRule="auto"/>
              <w:ind w:right="65"/>
              <w:rPr>
                <w:rFonts w:ascii="Times New Roman" w:hAnsi="Times New Roman" w:cs="Times New Roman"/>
                <w:b/>
                <w:sz w:val="24"/>
                <w:szCs w:val="24"/>
              </w:rPr>
            </w:pPr>
          </w:p>
        </w:tc>
        <w:tc>
          <w:tcPr>
            <w:tcW w:w="1167" w:type="dxa"/>
          </w:tcPr>
          <w:p w14:paraId="2723465D"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vertAlign w:val="superscript"/>
              </w:rPr>
              <w:t>th</w:t>
            </w:r>
          </w:p>
        </w:tc>
        <w:tc>
          <w:tcPr>
            <w:tcW w:w="1260" w:type="dxa"/>
          </w:tcPr>
          <w:p w14:paraId="0F4F30F6"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110</w:t>
            </w:r>
          </w:p>
        </w:tc>
        <w:tc>
          <w:tcPr>
            <w:tcW w:w="1295" w:type="dxa"/>
          </w:tcPr>
          <w:p w14:paraId="6C1600B1" w14:textId="77777777" w:rsidR="00B01D46" w:rsidRDefault="00B01D46">
            <w:pPr>
              <w:tabs>
                <w:tab w:val="left" w:pos="3960"/>
              </w:tabs>
              <w:spacing w:before="120" w:after="0" w:line="240" w:lineRule="auto"/>
              <w:ind w:right="65"/>
              <w:jc w:val="center"/>
              <w:rPr>
                <w:rFonts w:ascii="Times New Roman" w:hAnsi="Times New Roman" w:cs="Times New Roman"/>
                <w:sz w:val="24"/>
                <w:szCs w:val="24"/>
              </w:rPr>
            </w:pPr>
          </w:p>
        </w:tc>
        <w:tc>
          <w:tcPr>
            <w:tcW w:w="1107" w:type="dxa"/>
          </w:tcPr>
          <w:p w14:paraId="23257067" w14:textId="77777777" w:rsidR="00B01D46" w:rsidRDefault="00B01D46">
            <w:pPr>
              <w:spacing w:before="120" w:after="0" w:line="240" w:lineRule="auto"/>
              <w:ind w:right="65"/>
              <w:jc w:val="center"/>
              <w:rPr>
                <w:rFonts w:ascii="Times New Roman" w:hAnsi="Times New Roman" w:cs="Times New Roman"/>
                <w:sz w:val="24"/>
                <w:szCs w:val="24"/>
              </w:rPr>
            </w:pPr>
          </w:p>
        </w:tc>
        <w:tc>
          <w:tcPr>
            <w:tcW w:w="1147" w:type="dxa"/>
          </w:tcPr>
          <w:p w14:paraId="6E55DAAF"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110</w:t>
            </w:r>
          </w:p>
        </w:tc>
      </w:tr>
      <w:tr w:rsidR="00B01D46" w14:paraId="76CCE434" w14:textId="77777777">
        <w:trPr>
          <w:trHeight w:val="113"/>
        </w:trPr>
        <w:tc>
          <w:tcPr>
            <w:tcW w:w="2163" w:type="dxa"/>
            <w:vMerge/>
          </w:tcPr>
          <w:p w14:paraId="72603873" w14:textId="77777777" w:rsidR="00B01D46" w:rsidRDefault="00B01D46">
            <w:pPr>
              <w:tabs>
                <w:tab w:val="left" w:pos="3960"/>
              </w:tabs>
              <w:spacing w:before="120" w:after="0" w:line="240" w:lineRule="auto"/>
              <w:ind w:right="65"/>
              <w:rPr>
                <w:rFonts w:ascii="Times New Roman" w:hAnsi="Times New Roman" w:cs="Times New Roman"/>
                <w:b/>
                <w:sz w:val="24"/>
                <w:szCs w:val="24"/>
              </w:rPr>
            </w:pPr>
          </w:p>
        </w:tc>
        <w:tc>
          <w:tcPr>
            <w:tcW w:w="1167" w:type="dxa"/>
          </w:tcPr>
          <w:p w14:paraId="706296F9" w14:textId="77777777" w:rsidR="00B01D46" w:rsidRDefault="0067013E">
            <w:pPr>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Total</w:t>
            </w:r>
          </w:p>
        </w:tc>
        <w:tc>
          <w:tcPr>
            <w:tcW w:w="1260" w:type="dxa"/>
          </w:tcPr>
          <w:p w14:paraId="1146D0C3" w14:textId="77777777" w:rsidR="00B01D46" w:rsidRDefault="0067013E">
            <w:pPr>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711</w:t>
            </w:r>
          </w:p>
        </w:tc>
        <w:tc>
          <w:tcPr>
            <w:tcW w:w="1295" w:type="dxa"/>
          </w:tcPr>
          <w:p w14:paraId="64C37785" w14:textId="77777777" w:rsidR="00B01D46" w:rsidRDefault="0067013E">
            <w:pPr>
              <w:tabs>
                <w:tab w:val="left" w:pos="3960"/>
              </w:tabs>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147</w:t>
            </w:r>
          </w:p>
        </w:tc>
        <w:tc>
          <w:tcPr>
            <w:tcW w:w="1107" w:type="dxa"/>
          </w:tcPr>
          <w:p w14:paraId="39CD0960" w14:textId="77777777" w:rsidR="00B01D46" w:rsidRDefault="0067013E">
            <w:pPr>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556</w:t>
            </w:r>
          </w:p>
        </w:tc>
        <w:tc>
          <w:tcPr>
            <w:tcW w:w="1147" w:type="dxa"/>
          </w:tcPr>
          <w:p w14:paraId="09ED7C79" w14:textId="77777777" w:rsidR="00B01D46" w:rsidRDefault="0067013E">
            <w:pPr>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1414</w:t>
            </w:r>
          </w:p>
        </w:tc>
      </w:tr>
      <w:tr w:rsidR="00B01D46" w14:paraId="727A2D92" w14:textId="77777777">
        <w:trPr>
          <w:trHeight w:val="317"/>
        </w:trPr>
        <w:tc>
          <w:tcPr>
            <w:tcW w:w="2163" w:type="dxa"/>
            <w:vMerge w:val="restart"/>
          </w:tcPr>
          <w:p w14:paraId="2D5B8C36" w14:textId="77777777" w:rsidR="00B01D46" w:rsidRDefault="0067013E">
            <w:pPr>
              <w:tabs>
                <w:tab w:val="left" w:pos="3960"/>
              </w:tabs>
              <w:spacing w:line="240" w:lineRule="auto"/>
              <w:ind w:right="65"/>
              <w:rPr>
                <w:rFonts w:ascii="Times New Roman" w:hAnsi="Times New Roman" w:cs="Times New Roman"/>
                <w:b/>
                <w:sz w:val="24"/>
                <w:szCs w:val="24"/>
              </w:rPr>
            </w:pPr>
            <w:r>
              <w:rPr>
                <w:rFonts w:ascii="Times New Roman" w:hAnsi="Times New Roman" w:cs="Times New Roman"/>
                <w:b/>
                <w:sz w:val="24"/>
                <w:szCs w:val="24"/>
              </w:rPr>
              <w:t>Moi University</w:t>
            </w:r>
          </w:p>
        </w:tc>
        <w:tc>
          <w:tcPr>
            <w:tcW w:w="1167" w:type="dxa"/>
          </w:tcPr>
          <w:p w14:paraId="2C1ECE0F" w14:textId="77777777" w:rsidR="00B01D46" w:rsidRDefault="0067013E">
            <w:pPr>
              <w:spacing w:line="240" w:lineRule="auto"/>
              <w:ind w:right="65"/>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vertAlign w:val="superscript"/>
              </w:rPr>
              <w:t>st</w:t>
            </w:r>
          </w:p>
        </w:tc>
        <w:tc>
          <w:tcPr>
            <w:tcW w:w="1260" w:type="dxa"/>
          </w:tcPr>
          <w:p w14:paraId="34D3D224" w14:textId="77777777" w:rsidR="00B01D46" w:rsidRDefault="0067013E">
            <w:pPr>
              <w:spacing w:line="240" w:lineRule="auto"/>
              <w:ind w:right="65"/>
              <w:jc w:val="center"/>
              <w:rPr>
                <w:rFonts w:ascii="Times New Roman" w:hAnsi="Times New Roman" w:cs="Times New Roman"/>
                <w:sz w:val="24"/>
                <w:szCs w:val="24"/>
              </w:rPr>
            </w:pPr>
            <w:r>
              <w:rPr>
                <w:rFonts w:ascii="Times New Roman" w:hAnsi="Times New Roman" w:cs="Times New Roman"/>
                <w:sz w:val="24"/>
                <w:szCs w:val="24"/>
              </w:rPr>
              <w:t>71</w:t>
            </w:r>
          </w:p>
        </w:tc>
        <w:tc>
          <w:tcPr>
            <w:tcW w:w="1295" w:type="dxa"/>
          </w:tcPr>
          <w:p w14:paraId="3D318DDD" w14:textId="77777777" w:rsidR="00B01D46" w:rsidRDefault="0067013E">
            <w:pPr>
              <w:tabs>
                <w:tab w:val="left" w:pos="3960"/>
              </w:tabs>
              <w:spacing w:line="240" w:lineRule="auto"/>
              <w:ind w:right="65"/>
              <w:jc w:val="center"/>
              <w:rPr>
                <w:rFonts w:ascii="Times New Roman" w:hAnsi="Times New Roman" w:cs="Times New Roman"/>
                <w:sz w:val="24"/>
                <w:szCs w:val="24"/>
              </w:rPr>
            </w:pPr>
            <w:r>
              <w:rPr>
                <w:rFonts w:ascii="Times New Roman" w:hAnsi="Times New Roman" w:cs="Times New Roman"/>
                <w:sz w:val="24"/>
                <w:szCs w:val="24"/>
              </w:rPr>
              <w:t>30</w:t>
            </w:r>
          </w:p>
        </w:tc>
        <w:tc>
          <w:tcPr>
            <w:tcW w:w="1107" w:type="dxa"/>
          </w:tcPr>
          <w:p w14:paraId="311C2882" w14:textId="77777777" w:rsidR="00B01D46" w:rsidRDefault="0067013E">
            <w:pPr>
              <w:spacing w:line="240" w:lineRule="auto"/>
              <w:ind w:right="65"/>
              <w:jc w:val="center"/>
              <w:rPr>
                <w:rFonts w:ascii="Times New Roman" w:hAnsi="Times New Roman" w:cs="Times New Roman"/>
                <w:sz w:val="24"/>
                <w:szCs w:val="24"/>
              </w:rPr>
            </w:pPr>
            <w:r>
              <w:rPr>
                <w:rFonts w:ascii="Times New Roman" w:hAnsi="Times New Roman" w:cs="Times New Roman"/>
                <w:sz w:val="24"/>
                <w:szCs w:val="24"/>
              </w:rPr>
              <w:t>40</w:t>
            </w:r>
          </w:p>
        </w:tc>
        <w:tc>
          <w:tcPr>
            <w:tcW w:w="1147" w:type="dxa"/>
          </w:tcPr>
          <w:p w14:paraId="204AD92C" w14:textId="77777777" w:rsidR="00B01D46" w:rsidRDefault="0067013E">
            <w:pPr>
              <w:spacing w:line="240" w:lineRule="auto"/>
              <w:ind w:right="65"/>
              <w:jc w:val="center"/>
              <w:rPr>
                <w:rFonts w:ascii="Times New Roman" w:hAnsi="Times New Roman" w:cs="Times New Roman"/>
                <w:sz w:val="24"/>
                <w:szCs w:val="24"/>
              </w:rPr>
            </w:pPr>
            <w:r>
              <w:rPr>
                <w:rFonts w:ascii="Times New Roman" w:hAnsi="Times New Roman" w:cs="Times New Roman"/>
                <w:sz w:val="24"/>
                <w:szCs w:val="24"/>
              </w:rPr>
              <w:t>141</w:t>
            </w:r>
          </w:p>
        </w:tc>
      </w:tr>
      <w:tr w:rsidR="00B01D46" w14:paraId="2716B989" w14:textId="77777777">
        <w:trPr>
          <w:trHeight w:val="113"/>
        </w:trPr>
        <w:tc>
          <w:tcPr>
            <w:tcW w:w="2163" w:type="dxa"/>
            <w:vMerge/>
          </w:tcPr>
          <w:p w14:paraId="543329E8" w14:textId="77777777" w:rsidR="00B01D46" w:rsidRDefault="00B01D46">
            <w:pPr>
              <w:tabs>
                <w:tab w:val="left" w:pos="3960"/>
              </w:tabs>
              <w:spacing w:before="120" w:after="0" w:line="240" w:lineRule="auto"/>
              <w:ind w:right="65"/>
              <w:jc w:val="center"/>
              <w:rPr>
                <w:rFonts w:ascii="Times New Roman" w:hAnsi="Times New Roman" w:cs="Times New Roman"/>
                <w:b/>
                <w:sz w:val="24"/>
                <w:szCs w:val="24"/>
              </w:rPr>
            </w:pPr>
          </w:p>
        </w:tc>
        <w:tc>
          <w:tcPr>
            <w:tcW w:w="1167" w:type="dxa"/>
          </w:tcPr>
          <w:p w14:paraId="49DB8A77"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vertAlign w:val="superscript"/>
              </w:rPr>
              <w:t>nd</w:t>
            </w:r>
          </w:p>
        </w:tc>
        <w:tc>
          <w:tcPr>
            <w:tcW w:w="1260" w:type="dxa"/>
          </w:tcPr>
          <w:p w14:paraId="065BC143"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67</w:t>
            </w:r>
          </w:p>
        </w:tc>
        <w:tc>
          <w:tcPr>
            <w:tcW w:w="1295" w:type="dxa"/>
          </w:tcPr>
          <w:p w14:paraId="0911EC81"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28</w:t>
            </w:r>
          </w:p>
        </w:tc>
        <w:tc>
          <w:tcPr>
            <w:tcW w:w="1107" w:type="dxa"/>
          </w:tcPr>
          <w:p w14:paraId="0FAAB714"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37</w:t>
            </w:r>
          </w:p>
        </w:tc>
        <w:tc>
          <w:tcPr>
            <w:tcW w:w="1147" w:type="dxa"/>
          </w:tcPr>
          <w:p w14:paraId="233E462C"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132</w:t>
            </w:r>
          </w:p>
        </w:tc>
      </w:tr>
      <w:tr w:rsidR="00B01D46" w14:paraId="7E187B01" w14:textId="77777777">
        <w:trPr>
          <w:trHeight w:val="113"/>
        </w:trPr>
        <w:tc>
          <w:tcPr>
            <w:tcW w:w="2163" w:type="dxa"/>
            <w:vMerge/>
          </w:tcPr>
          <w:p w14:paraId="2DD89569" w14:textId="77777777" w:rsidR="00B01D46" w:rsidRDefault="00B01D46">
            <w:pPr>
              <w:tabs>
                <w:tab w:val="left" w:pos="3960"/>
              </w:tabs>
              <w:spacing w:before="120" w:after="0" w:line="240" w:lineRule="auto"/>
              <w:ind w:right="65"/>
              <w:jc w:val="center"/>
              <w:rPr>
                <w:rFonts w:ascii="Times New Roman" w:hAnsi="Times New Roman" w:cs="Times New Roman"/>
                <w:b/>
                <w:sz w:val="24"/>
                <w:szCs w:val="24"/>
              </w:rPr>
            </w:pPr>
          </w:p>
        </w:tc>
        <w:tc>
          <w:tcPr>
            <w:tcW w:w="1167" w:type="dxa"/>
          </w:tcPr>
          <w:p w14:paraId="68E8B269"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vertAlign w:val="superscript"/>
              </w:rPr>
              <w:t>rd</w:t>
            </w:r>
          </w:p>
        </w:tc>
        <w:tc>
          <w:tcPr>
            <w:tcW w:w="1260" w:type="dxa"/>
          </w:tcPr>
          <w:p w14:paraId="42115B1C"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59</w:t>
            </w:r>
          </w:p>
        </w:tc>
        <w:tc>
          <w:tcPr>
            <w:tcW w:w="1295" w:type="dxa"/>
          </w:tcPr>
          <w:p w14:paraId="2EE10967"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46</w:t>
            </w:r>
          </w:p>
        </w:tc>
        <w:tc>
          <w:tcPr>
            <w:tcW w:w="1107" w:type="dxa"/>
          </w:tcPr>
          <w:p w14:paraId="0A329228"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41</w:t>
            </w:r>
          </w:p>
        </w:tc>
        <w:tc>
          <w:tcPr>
            <w:tcW w:w="1147" w:type="dxa"/>
          </w:tcPr>
          <w:p w14:paraId="511DC4EC" w14:textId="77777777" w:rsidR="00B01D46" w:rsidRDefault="0067013E">
            <w:pPr>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146</w:t>
            </w:r>
          </w:p>
        </w:tc>
      </w:tr>
      <w:tr w:rsidR="00B01D46" w14:paraId="7640839F" w14:textId="77777777">
        <w:trPr>
          <w:trHeight w:val="113"/>
        </w:trPr>
        <w:tc>
          <w:tcPr>
            <w:tcW w:w="2163" w:type="dxa"/>
            <w:vMerge/>
          </w:tcPr>
          <w:p w14:paraId="0C33DD70" w14:textId="77777777" w:rsidR="00B01D46" w:rsidRDefault="00B01D46">
            <w:pPr>
              <w:tabs>
                <w:tab w:val="left" w:pos="3960"/>
              </w:tabs>
              <w:spacing w:before="120" w:after="0" w:line="240" w:lineRule="auto"/>
              <w:ind w:right="65"/>
              <w:jc w:val="center"/>
              <w:rPr>
                <w:rFonts w:ascii="Times New Roman" w:hAnsi="Times New Roman" w:cs="Times New Roman"/>
                <w:b/>
                <w:sz w:val="24"/>
                <w:szCs w:val="24"/>
              </w:rPr>
            </w:pPr>
          </w:p>
        </w:tc>
        <w:tc>
          <w:tcPr>
            <w:tcW w:w="1167" w:type="dxa"/>
          </w:tcPr>
          <w:p w14:paraId="3CC2BFC5"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vertAlign w:val="superscript"/>
              </w:rPr>
              <w:t>th</w:t>
            </w:r>
          </w:p>
        </w:tc>
        <w:tc>
          <w:tcPr>
            <w:tcW w:w="1260" w:type="dxa"/>
          </w:tcPr>
          <w:p w14:paraId="1643B73E"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68</w:t>
            </w:r>
          </w:p>
        </w:tc>
        <w:tc>
          <w:tcPr>
            <w:tcW w:w="1295" w:type="dxa"/>
          </w:tcPr>
          <w:p w14:paraId="3ED994B9"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33</w:t>
            </w:r>
          </w:p>
        </w:tc>
        <w:tc>
          <w:tcPr>
            <w:tcW w:w="1107" w:type="dxa"/>
          </w:tcPr>
          <w:p w14:paraId="3C2B56D2"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34</w:t>
            </w:r>
          </w:p>
        </w:tc>
        <w:tc>
          <w:tcPr>
            <w:tcW w:w="1147" w:type="dxa"/>
          </w:tcPr>
          <w:p w14:paraId="65AE996B"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135</w:t>
            </w:r>
          </w:p>
        </w:tc>
      </w:tr>
      <w:tr w:rsidR="00B01D46" w14:paraId="5A4DD304" w14:textId="77777777">
        <w:trPr>
          <w:trHeight w:val="113"/>
        </w:trPr>
        <w:tc>
          <w:tcPr>
            <w:tcW w:w="2163" w:type="dxa"/>
            <w:vMerge/>
          </w:tcPr>
          <w:p w14:paraId="24065E3A" w14:textId="77777777" w:rsidR="00B01D46" w:rsidRDefault="00B01D46">
            <w:pPr>
              <w:tabs>
                <w:tab w:val="left" w:pos="3960"/>
              </w:tabs>
              <w:spacing w:before="120" w:after="0" w:line="240" w:lineRule="auto"/>
              <w:ind w:right="65"/>
              <w:jc w:val="center"/>
              <w:rPr>
                <w:rFonts w:ascii="Times New Roman" w:hAnsi="Times New Roman" w:cs="Times New Roman"/>
                <w:b/>
                <w:sz w:val="24"/>
                <w:szCs w:val="24"/>
              </w:rPr>
            </w:pPr>
          </w:p>
        </w:tc>
        <w:tc>
          <w:tcPr>
            <w:tcW w:w="1167" w:type="dxa"/>
          </w:tcPr>
          <w:p w14:paraId="2359AD77"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vertAlign w:val="superscript"/>
              </w:rPr>
              <w:t>th</w:t>
            </w:r>
          </w:p>
        </w:tc>
        <w:tc>
          <w:tcPr>
            <w:tcW w:w="1260" w:type="dxa"/>
          </w:tcPr>
          <w:p w14:paraId="42607244"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52</w:t>
            </w:r>
          </w:p>
        </w:tc>
        <w:tc>
          <w:tcPr>
            <w:tcW w:w="1295" w:type="dxa"/>
          </w:tcPr>
          <w:p w14:paraId="090C71D9"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35</w:t>
            </w:r>
          </w:p>
        </w:tc>
        <w:tc>
          <w:tcPr>
            <w:tcW w:w="1107" w:type="dxa"/>
          </w:tcPr>
          <w:p w14:paraId="3D784ED3" w14:textId="77777777" w:rsidR="00B01D46" w:rsidRDefault="00B01D46">
            <w:pPr>
              <w:tabs>
                <w:tab w:val="left" w:pos="3960"/>
              </w:tabs>
              <w:spacing w:before="120" w:after="0" w:line="240" w:lineRule="auto"/>
              <w:ind w:right="65"/>
              <w:jc w:val="center"/>
              <w:rPr>
                <w:rFonts w:ascii="Times New Roman" w:hAnsi="Times New Roman" w:cs="Times New Roman"/>
                <w:sz w:val="24"/>
                <w:szCs w:val="24"/>
              </w:rPr>
            </w:pPr>
          </w:p>
        </w:tc>
        <w:tc>
          <w:tcPr>
            <w:tcW w:w="1147" w:type="dxa"/>
          </w:tcPr>
          <w:p w14:paraId="4B74C8F2"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87</w:t>
            </w:r>
          </w:p>
        </w:tc>
      </w:tr>
      <w:tr w:rsidR="00B01D46" w14:paraId="7EF0335D" w14:textId="77777777">
        <w:trPr>
          <w:trHeight w:val="113"/>
        </w:trPr>
        <w:tc>
          <w:tcPr>
            <w:tcW w:w="2163" w:type="dxa"/>
            <w:vMerge/>
          </w:tcPr>
          <w:p w14:paraId="76A517E4" w14:textId="77777777" w:rsidR="00B01D46" w:rsidRDefault="00B01D46">
            <w:pPr>
              <w:tabs>
                <w:tab w:val="left" w:pos="3960"/>
              </w:tabs>
              <w:spacing w:before="120" w:after="0" w:line="240" w:lineRule="auto"/>
              <w:ind w:right="65"/>
              <w:jc w:val="center"/>
              <w:rPr>
                <w:rFonts w:ascii="Times New Roman" w:hAnsi="Times New Roman" w:cs="Times New Roman"/>
                <w:b/>
                <w:sz w:val="24"/>
                <w:szCs w:val="24"/>
              </w:rPr>
            </w:pPr>
          </w:p>
        </w:tc>
        <w:tc>
          <w:tcPr>
            <w:tcW w:w="1167" w:type="dxa"/>
          </w:tcPr>
          <w:p w14:paraId="3692850F"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vertAlign w:val="superscript"/>
              </w:rPr>
              <w:t>th</w:t>
            </w:r>
          </w:p>
        </w:tc>
        <w:tc>
          <w:tcPr>
            <w:tcW w:w="1260" w:type="dxa"/>
          </w:tcPr>
          <w:p w14:paraId="2E075469"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63</w:t>
            </w:r>
          </w:p>
        </w:tc>
        <w:tc>
          <w:tcPr>
            <w:tcW w:w="1295" w:type="dxa"/>
          </w:tcPr>
          <w:p w14:paraId="6A3E1051" w14:textId="77777777" w:rsidR="00B01D46" w:rsidRDefault="00B01D46">
            <w:pPr>
              <w:tabs>
                <w:tab w:val="left" w:pos="3960"/>
              </w:tabs>
              <w:spacing w:before="120" w:after="0" w:line="240" w:lineRule="auto"/>
              <w:ind w:right="65"/>
              <w:jc w:val="center"/>
              <w:rPr>
                <w:rFonts w:ascii="Times New Roman" w:hAnsi="Times New Roman" w:cs="Times New Roman"/>
                <w:sz w:val="24"/>
                <w:szCs w:val="24"/>
              </w:rPr>
            </w:pPr>
          </w:p>
        </w:tc>
        <w:tc>
          <w:tcPr>
            <w:tcW w:w="1107" w:type="dxa"/>
          </w:tcPr>
          <w:p w14:paraId="6A04DAE6" w14:textId="77777777" w:rsidR="00B01D46" w:rsidRDefault="00B01D46">
            <w:pPr>
              <w:tabs>
                <w:tab w:val="left" w:pos="3960"/>
              </w:tabs>
              <w:spacing w:before="120" w:after="0" w:line="240" w:lineRule="auto"/>
              <w:ind w:right="65"/>
              <w:jc w:val="center"/>
              <w:rPr>
                <w:rFonts w:ascii="Times New Roman" w:hAnsi="Times New Roman" w:cs="Times New Roman"/>
                <w:sz w:val="24"/>
                <w:szCs w:val="24"/>
              </w:rPr>
            </w:pPr>
          </w:p>
        </w:tc>
        <w:tc>
          <w:tcPr>
            <w:tcW w:w="1147" w:type="dxa"/>
          </w:tcPr>
          <w:p w14:paraId="574EA3D6" w14:textId="77777777" w:rsidR="00B01D46" w:rsidRDefault="0067013E">
            <w:pPr>
              <w:tabs>
                <w:tab w:val="left" w:pos="3960"/>
              </w:tabs>
              <w:spacing w:before="120" w:after="0" w:line="240" w:lineRule="auto"/>
              <w:ind w:right="65"/>
              <w:jc w:val="center"/>
              <w:rPr>
                <w:rFonts w:ascii="Times New Roman" w:hAnsi="Times New Roman" w:cs="Times New Roman"/>
                <w:sz w:val="24"/>
                <w:szCs w:val="24"/>
              </w:rPr>
            </w:pPr>
            <w:r>
              <w:rPr>
                <w:rFonts w:ascii="Times New Roman" w:hAnsi="Times New Roman" w:cs="Times New Roman"/>
                <w:sz w:val="24"/>
                <w:szCs w:val="24"/>
              </w:rPr>
              <w:t>63</w:t>
            </w:r>
          </w:p>
        </w:tc>
      </w:tr>
      <w:tr w:rsidR="00B01D46" w14:paraId="4AEB73B2" w14:textId="77777777">
        <w:trPr>
          <w:trHeight w:val="113"/>
        </w:trPr>
        <w:tc>
          <w:tcPr>
            <w:tcW w:w="2163" w:type="dxa"/>
            <w:vMerge/>
            <w:tcBorders>
              <w:bottom w:val="single" w:sz="4" w:space="0" w:color="auto"/>
            </w:tcBorders>
          </w:tcPr>
          <w:p w14:paraId="5FEF62D5" w14:textId="77777777" w:rsidR="00B01D46" w:rsidRDefault="00B01D46">
            <w:pPr>
              <w:tabs>
                <w:tab w:val="left" w:pos="3960"/>
              </w:tabs>
              <w:spacing w:before="120" w:after="0" w:line="240" w:lineRule="auto"/>
              <w:ind w:right="65"/>
              <w:jc w:val="center"/>
              <w:rPr>
                <w:rFonts w:ascii="Times New Roman" w:hAnsi="Times New Roman" w:cs="Times New Roman"/>
                <w:b/>
                <w:sz w:val="24"/>
                <w:szCs w:val="24"/>
              </w:rPr>
            </w:pPr>
          </w:p>
        </w:tc>
        <w:tc>
          <w:tcPr>
            <w:tcW w:w="1167" w:type="dxa"/>
            <w:tcBorders>
              <w:bottom w:val="single" w:sz="4" w:space="0" w:color="auto"/>
            </w:tcBorders>
          </w:tcPr>
          <w:p w14:paraId="7DAF5C84" w14:textId="77777777" w:rsidR="00B01D46" w:rsidRDefault="0067013E">
            <w:pPr>
              <w:tabs>
                <w:tab w:val="left" w:pos="3960"/>
              </w:tabs>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Total</w:t>
            </w:r>
          </w:p>
        </w:tc>
        <w:tc>
          <w:tcPr>
            <w:tcW w:w="1260" w:type="dxa"/>
            <w:tcBorders>
              <w:bottom w:val="single" w:sz="4" w:space="0" w:color="auto"/>
            </w:tcBorders>
          </w:tcPr>
          <w:p w14:paraId="4B7D3DAC" w14:textId="77777777" w:rsidR="00B01D46" w:rsidRDefault="0067013E">
            <w:pPr>
              <w:tabs>
                <w:tab w:val="left" w:pos="3960"/>
              </w:tabs>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380</w:t>
            </w:r>
          </w:p>
        </w:tc>
        <w:tc>
          <w:tcPr>
            <w:tcW w:w="1295" w:type="dxa"/>
            <w:tcBorders>
              <w:bottom w:val="single" w:sz="4" w:space="0" w:color="auto"/>
            </w:tcBorders>
          </w:tcPr>
          <w:p w14:paraId="1EB3C3EE" w14:textId="77777777" w:rsidR="00B01D46" w:rsidRDefault="0067013E">
            <w:pPr>
              <w:tabs>
                <w:tab w:val="left" w:pos="3960"/>
              </w:tabs>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172</w:t>
            </w:r>
          </w:p>
        </w:tc>
        <w:tc>
          <w:tcPr>
            <w:tcW w:w="1107" w:type="dxa"/>
            <w:tcBorders>
              <w:bottom w:val="single" w:sz="4" w:space="0" w:color="auto"/>
            </w:tcBorders>
          </w:tcPr>
          <w:p w14:paraId="71705022" w14:textId="77777777" w:rsidR="00B01D46" w:rsidRDefault="0067013E">
            <w:pPr>
              <w:tabs>
                <w:tab w:val="left" w:pos="3960"/>
              </w:tabs>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152</w:t>
            </w:r>
          </w:p>
        </w:tc>
        <w:tc>
          <w:tcPr>
            <w:tcW w:w="1147" w:type="dxa"/>
            <w:tcBorders>
              <w:bottom w:val="single" w:sz="4" w:space="0" w:color="auto"/>
            </w:tcBorders>
          </w:tcPr>
          <w:p w14:paraId="7CBF1DE9" w14:textId="77777777" w:rsidR="00B01D46" w:rsidRDefault="0067013E">
            <w:pPr>
              <w:tabs>
                <w:tab w:val="left" w:pos="3960"/>
              </w:tabs>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704</w:t>
            </w:r>
          </w:p>
        </w:tc>
      </w:tr>
      <w:tr w:rsidR="00B01D46" w14:paraId="3A760B84" w14:textId="77777777">
        <w:trPr>
          <w:trHeight w:val="274"/>
        </w:trPr>
        <w:tc>
          <w:tcPr>
            <w:tcW w:w="2163" w:type="dxa"/>
            <w:tcBorders>
              <w:top w:val="single" w:sz="4" w:space="0" w:color="auto"/>
              <w:bottom w:val="single" w:sz="4" w:space="0" w:color="auto"/>
            </w:tcBorders>
          </w:tcPr>
          <w:p w14:paraId="45C25DD6" w14:textId="77777777" w:rsidR="00B01D46" w:rsidRDefault="0067013E">
            <w:pPr>
              <w:tabs>
                <w:tab w:val="left" w:pos="3960"/>
              </w:tabs>
              <w:spacing w:line="240" w:lineRule="auto"/>
              <w:ind w:right="65"/>
              <w:jc w:val="both"/>
              <w:rPr>
                <w:rFonts w:ascii="Times New Roman" w:hAnsi="Times New Roman" w:cs="Times New Roman"/>
                <w:b/>
                <w:sz w:val="24"/>
                <w:szCs w:val="24"/>
              </w:rPr>
            </w:pPr>
            <w:r>
              <w:rPr>
                <w:rFonts w:ascii="Times New Roman" w:hAnsi="Times New Roman" w:cs="Times New Roman"/>
                <w:b/>
                <w:sz w:val="24"/>
                <w:szCs w:val="24"/>
              </w:rPr>
              <w:t>TOTAL</w:t>
            </w:r>
          </w:p>
        </w:tc>
        <w:tc>
          <w:tcPr>
            <w:tcW w:w="1167" w:type="dxa"/>
            <w:tcBorders>
              <w:top w:val="single" w:sz="4" w:space="0" w:color="auto"/>
              <w:bottom w:val="single" w:sz="4" w:space="0" w:color="auto"/>
            </w:tcBorders>
          </w:tcPr>
          <w:p w14:paraId="4C96C357" w14:textId="77777777" w:rsidR="00B01D46" w:rsidRDefault="00B01D46">
            <w:pPr>
              <w:tabs>
                <w:tab w:val="left" w:pos="3960"/>
              </w:tabs>
              <w:spacing w:line="240" w:lineRule="auto"/>
              <w:ind w:right="65"/>
              <w:jc w:val="both"/>
              <w:rPr>
                <w:rFonts w:ascii="Times New Roman" w:hAnsi="Times New Roman" w:cs="Times New Roman"/>
                <w:b/>
                <w:sz w:val="24"/>
                <w:szCs w:val="24"/>
              </w:rPr>
            </w:pPr>
          </w:p>
        </w:tc>
        <w:tc>
          <w:tcPr>
            <w:tcW w:w="1260" w:type="dxa"/>
            <w:tcBorders>
              <w:top w:val="single" w:sz="4" w:space="0" w:color="auto"/>
              <w:bottom w:val="single" w:sz="4" w:space="0" w:color="auto"/>
            </w:tcBorders>
          </w:tcPr>
          <w:p w14:paraId="4ED0D053" w14:textId="77777777" w:rsidR="00B01D46" w:rsidRDefault="0067013E">
            <w:pPr>
              <w:tabs>
                <w:tab w:val="left" w:pos="3960"/>
              </w:tabs>
              <w:spacing w:line="240" w:lineRule="auto"/>
              <w:ind w:right="65"/>
              <w:jc w:val="both"/>
              <w:rPr>
                <w:rFonts w:ascii="Times New Roman" w:hAnsi="Times New Roman" w:cs="Times New Roman"/>
                <w:b/>
                <w:sz w:val="24"/>
                <w:szCs w:val="24"/>
              </w:rPr>
            </w:pPr>
            <w:r>
              <w:rPr>
                <w:rFonts w:ascii="Times New Roman" w:hAnsi="Times New Roman" w:cs="Times New Roman"/>
                <w:b/>
                <w:sz w:val="24"/>
                <w:szCs w:val="24"/>
              </w:rPr>
              <w:t>1091</w:t>
            </w:r>
          </w:p>
        </w:tc>
        <w:tc>
          <w:tcPr>
            <w:tcW w:w="1295" w:type="dxa"/>
            <w:tcBorders>
              <w:top w:val="single" w:sz="4" w:space="0" w:color="auto"/>
              <w:bottom w:val="single" w:sz="4" w:space="0" w:color="auto"/>
            </w:tcBorders>
          </w:tcPr>
          <w:p w14:paraId="3BD4D353" w14:textId="77777777" w:rsidR="00B01D46" w:rsidRDefault="0067013E">
            <w:pPr>
              <w:spacing w:line="240" w:lineRule="auto"/>
              <w:ind w:right="65"/>
              <w:jc w:val="both"/>
              <w:rPr>
                <w:rFonts w:ascii="Times New Roman" w:hAnsi="Times New Roman" w:cs="Times New Roman"/>
                <w:b/>
                <w:sz w:val="24"/>
                <w:szCs w:val="24"/>
              </w:rPr>
            </w:pPr>
            <w:r>
              <w:rPr>
                <w:rFonts w:ascii="Times New Roman" w:hAnsi="Times New Roman" w:cs="Times New Roman"/>
                <w:b/>
                <w:sz w:val="24"/>
                <w:szCs w:val="24"/>
              </w:rPr>
              <w:t>319</w:t>
            </w:r>
          </w:p>
        </w:tc>
        <w:tc>
          <w:tcPr>
            <w:tcW w:w="1107" w:type="dxa"/>
            <w:tcBorders>
              <w:top w:val="single" w:sz="4" w:space="0" w:color="auto"/>
              <w:bottom w:val="single" w:sz="4" w:space="0" w:color="auto"/>
            </w:tcBorders>
          </w:tcPr>
          <w:p w14:paraId="6EBBE274" w14:textId="77777777" w:rsidR="00B01D46" w:rsidRDefault="0067013E">
            <w:pPr>
              <w:tabs>
                <w:tab w:val="left" w:pos="3960"/>
              </w:tabs>
              <w:spacing w:line="240" w:lineRule="auto"/>
              <w:ind w:right="65"/>
              <w:jc w:val="both"/>
              <w:rPr>
                <w:rFonts w:ascii="Times New Roman" w:hAnsi="Times New Roman" w:cs="Times New Roman"/>
                <w:b/>
                <w:sz w:val="24"/>
                <w:szCs w:val="24"/>
              </w:rPr>
            </w:pPr>
            <w:r>
              <w:rPr>
                <w:rFonts w:ascii="Times New Roman" w:hAnsi="Times New Roman" w:cs="Times New Roman"/>
                <w:b/>
                <w:sz w:val="24"/>
                <w:szCs w:val="24"/>
              </w:rPr>
              <w:t>708</w:t>
            </w:r>
          </w:p>
        </w:tc>
        <w:tc>
          <w:tcPr>
            <w:tcW w:w="1147" w:type="dxa"/>
            <w:tcBorders>
              <w:top w:val="single" w:sz="4" w:space="0" w:color="auto"/>
              <w:bottom w:val="single" w:sz="4" w:space="0" w:color="auto"/>
            </w:tcBorders>
          </w:tcPr>
          <w:p w14:paraId="38EB6B09" w14:textId="77777777" w:rsidR="00B01D46" w:rsidRDefault="0067013E">
            <w:pPr>
              <w:tabs>
                <w:tab w:val="left" w:pos="3960"/>
              </w:tabs>
              <w:spacing w:line="240" w:lineRule="auto"/>
              <w:ind w:right="65"/>
              <w:jc w:val="both"/>
              <w:rPr>
                <w:rFonts w:ascii="Times New Roman" w:hAnsi="Times New Roman" w:cs="Times New Roman"/>
                <w:b/>
                <w:sz w:val="24"/>
                <w:szCs w:val="24"/>
              </w:rPr>
            </w:pPr>
            <w:r>
              <w:rPr>
                <w:rFonts w:ascii="Times New Roman" w:hAnsi="Times New Roman" w:cs="Times New Roman"/>
                <w:b/>
                <w:sz w:val="24"/>
                <w:szCs w:val="24"/>
              </w:rPr>
              <w:t>2118</w:t>
            </w:r>
          </w:p>
        </w:tc>
      </w:tr>
    </w:tbl>
    <w:p w14:paraId="5DA49939" w14:textId="77777777" w:rsidR="00B01D46" w:rsidRDefault="0067013E">
      <w:pPr>
        <w:pStyle w:val="Caption"/>
      </w:pPr>
      <w:r>
        <w:t xml:space="preserve"> </w:t>
      </w:r>
      <w:bookmarkStart w:id="847" w:name="_Toc184271980"/>
      <w:bookmarkStart w:id="848" w:name="_Toc184276890"/>
      <w:r>
        <w:t>Table 4.1: Target Population of Medicine, Dentistry and Nursing Undergraduate Students</w:t>
      </w:r>
      <w:bookmarkEnd w:id="844"/>
      <w:bookmarkEnd w:id="845"/>
      <w:bookmarkEnd w:id="846"/>
      <w:bookmarkEnd w:id="847"/>
      <w:bookmarkEnd w:id="848"/>
    </w:p>
    <w:p w14:paraId="0E970A7C" w14:textId="77777777" w:rsidR="00B01D46" w:rsidRDefault="0067013E">
      <w:pPr>
        <w:spacing w:line="240" w:lineRule="auto"/>
        <w:ind w:right="65"/>
        <w:jc w:val="both"/>
        <w:rPr>
          <w:rFonts w:ascii="Times New Roman" w:hAnsi="Times New Roman" w:cs="Times New Roman"/>
          <w:b/>
          <w:i/>
          <w:sz w:val="24"/>
          <w:szCs w:val="24"/>
        </w:rPr>
      </w:pPr>
      <w:r>
        <w:rPr>
          <w:rFonts w:ascii="Times New Roman" w:hAnsi="Times New Roman" w:cs="Times New Roman"/>
          <w:b/>
          <w:i/>
          <w:sz w:val="24"/>
          <w:szCs w:val="24"/>
        </w:rPr>
        <w:t>Source: Commission for University Education 2019 &amp; Statistics from Individual Universities (year; 2020)</w:t>
      </w:r>
    </w:p>
    <w:p w14:paraId="5379E44D" w14:textId="77777777" w:rsidR="00B01D46" w:rsidRDefault="00B01D46">
      <w:pPr>
        <w:spacing w:line="240" w:lineRule="auto"/>
        <w:ind w:right="65"/>
        <w:jc w:val="both"/>
        <w:rPr>
          <w:rFonts w:ascii="Times New Roman" w:hAnsi="Times New Roman" w:cs="Times New Roman"/>
          <w:b/>
          <w:i/>
          <w:sz w:val="24"/>
          <w:szCs w:val="24"/>
        </w:rPr>
      </w:pPr>
    </w:p>
    <w:p w14:paraId="06385317" w14:textId="77777777" w:rsidR="00B01D46" w:rsidRDefault="0067013E">
      <w:pPr>
        <w:pStyle w:val="Heading3"/>
      </w:pPr>
      <w:bookmarkStart w:id="849" w:name="_Toc165973068"/>
      <w:bookmarkStart w:id="850" w:name="_Toc165368368"/>
      <w:bookmarkStart w:id="851" w:name="_Toc165898020"/>
      <w:bookmarkStart w:id="852" w:name="_Toc165365169"/>
      <w:bookmarkStart w:id="853" w:name="_Toc165975789"/>
      <w:bookmarkStart w:id="854" w:name="_Toc165367642"/>
      <w:bookmarkStart w:id="855" w:name="_Toc184272890"/>
      <w:bookmarkStart w:id="856" w:name="_Toc165369184"/>
      <w:r>
        <w:t>4.5.2 Heads of Departments and Lecturers</w:t>
      </w:r>
      <w:bookmarkEnd w:id="849"/>
      <w:bookmarkEnd w:id="850"/>
      <w:bookmarkEnd w:id="851"/>
      <w:bookmarkEnd w:id="852"/>
      <w:bookmarkEnd w:id="853"/>
      <w:bookmarkEnd w:id="854"/>
      <w:bookmarkEnd w:id="855"/>
      <w:bookmarkEnd w:id="856"/>
      <w:r>
        <w:t xml:space="preserve"> </w:t>
      </w:r>
    </w:p>
    <w:p w14:paraId="39D84929" w14:textId="7777777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second category was the heads of departments and lecturers teaching various course units in the six departments, that is 3 departments from each of the two </w:t>
      </w:r>
      <w:r>
        <w:rPr>
          <w:rFonts w:ascii="Times New Roman" w:hAnsi="Times New Roman" w:cs="Times New Roman"/>
          <w:sz w:val="24"/>
          <w:szCs w:val="24"/>
        </w:rPr>
        <w:lastRenderedPageBreak/>
        <w:t>selected institution. Six departmental heads that is three each from the University of Nairobi and Moi University as shown in table 4.2. HODs provided information about ILS program/ curriculum and whether it’s meeting the required competency level in as far as imparting ILS is concern because they are in charge of ILS curriculum development and ILS policy formulation. Equally, Lecturers teach students on how to search, use, disseminate and apply information learnt. Therefore, they helped the study understand students’ skills, knowledge, attitudes, perception, and experience towards ILS. Furthermore, they provide their perspectives on ILS policies, curricula, and how they affect students' learning experiences. Because lecturers are involved in teaching and assessing the students, their point of view was crucial in understanding the students' ILS understanding instruction, and the students’ ILS status.</w:t>
      </w:r>
    </w:p>
    <w:p w14:paraId="397B7F63" w14:textId="77777777" w:rsidR="00B01D46" w:rsidRDefault="0067013E">
      <w:pPr>
        <w:pStyle w:val="Caption"/>
      </w:pPr>
      <w:bookmarkStart w:id="857" w:name="_Toc184271981"/>
      <w:bookmarkStart w:id="858" w:name="_Toc184276891"/>
      <w:bookmarkStart w:id="859" w:name="_Toc165975790"/>
      <w:bookmarkStart w:id="860" w:name="_Toc165973069"/>
      <w:bookmarkStart w:id="861" w:name="_Toc165898021"/>
      <w:r>
        <w:t>Table 4.2: Target Population of Heads of Departments and Lecturers</w:t>
      </w:r>
      <w:bookmarkStart w:id="862" w:name="_Hlk140419863"/>
      <w:bookmarkEnd w:id="857"/>
      <w:bookmarkEnd w:id="858"/>
      <w:bookmarkEnd w:id="859"/>
      <w:bookmarkEnd w:id="860"/>
      <w:bookmarkEnd w:id="861"/>
    </w:p>
    <w:tbl>
      <w:tblPr>
        <w:tblStyle w:val="TableGrid"/>
        <w:tblW w:w="799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27"/>
        <w:gridCol w:w="2152"/>
        <w:gridCol w:w="2098"/>
        <w:gridCol w:w="1722"/>
      </w:tblGrid>
      <w:tr w:rsidR="00B01D46" w14:paraId="280FD17B" w14:textId="77777777">
        <w:trPr>
          <w:trHeight w:val="483"/>
        </w:trPr>
        <w:tc>
          <w:tcPr>
            <w:tcW w:w="2027" w:type="dxa"/>
            <w:tcBorders>
              <w:top w:val="single" w:sz="4" w:space="0" w:color="auto"/>
              <w:bottom w:val="single" w:sz="4" w:space="0" w:color="auto"/>
            </w:tcBorders>
          </w:tcPr>
          <w:p w14:paraId="51D2DC78"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Institution</w:t>
            </w:r>
          </w:p>
        </w:tc>
        <w:tc>
          <w:tcPr>
            <w:tcW w:w="2152" w:type="dxa"/>
            <w:tcBorders>
              <w:top w:val="single" w:sz="4" w:space="0" w:color="auto"/>
              <w:bottom w:val="single" w:sz="4" w:space="0" w:color="auto"/>
            </w:tcBorders>
          </w:tcPr>
          <w:p w14:paraId="2160C9D4"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Department</w:t>
            </w:r>
          </w:p>
        </w:tc>
        <w:tc>
          <w:tcPr>
            <w:tcW w:w="2098" w:type="dxa"/>
            <w:tcBorders>
              <w:top w:val="single" w:sz="4" w:space="0" w:color="auto"/>
              <w:bottom w:val="single" w:sz="4" w:space="0" w:color="auto"/>
            </w:tcBorders>
          </w:tcPr>
          <w:p w14:paraId="192B8284" w14:textId="77777777" w:rsidR="00B01D46" w:rsidRDefault="0067013E">
            <w:pPr>
              <w:spacing w:after="0" w:line="240" w:lineRule="auto"/>
              <w:ind w:right="65"/>
              <w:rPr>
                <w:rFonts w:ascii="Times New Roman" w:hAnsi="Times New Roman" w:cs="Times New Roman"/>
                <w:b/>
                <w:sz w:val="24"/>
                <w:szCs w:val="24"/>
              </w:rPr>
            </w:pPr>
            <w:r>
              <w:rPr>
                <w:rFonts w:ascii="Times New Roman" w:hAnsi="Times New Roman" w:cs="Times New Roman"/>
                <w:b/>
                <w:sz w:val="24"/>
                <w:szCs w:val="24"/>
              </w:rPr>
              <w:t>Heads Of Departments</w:t>
            </w:r>
          </w:p>
        </w:tc>
        <w:tc>
          <w:tcPr>
            <w:tcW w:w="1722" w:type="dxa"/>
            <w:tcBorders>
              <w:top w:val="single" w:sz="4" w:space="0" w:color="auto"/>
              <w:bottom w:val="single" w:sz="4" w:space="0" w:color="auto"/>
            </w:tcBorders>
          </w:tcPr>
          <w:p w14:paraId="353AB3C8"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Lecturers</w:t>
            </w:r>
          </w:p>
        </w:tc>
      </w:tr>
      <w:tr w:rsidR="00B01D46" w14:paraId="6BC814E2" w14:textId="77777777">
        <w:trPr>
          <w:trHeight w:val="296"/>
        </w:trPr>
        <w:tc>
          <w:tcPr>
            <w:tcW w:w="2027" w:type="dxa"/>
            <w:tcBorders>
              <w:top w:val="single" w:sz="4" w:space="0" w:color="auto"/>
            </w:tcBorders>
          </w:tcPr>
          <w:p w14:paraId="01E41CA7"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UON</w:t>
            </w:r>
          </w:p>
        </w:tc>
        <w:tc>
          <w:tcPr>
            <w:tcW w:w="2152" w:type="dxa"/>
            <w:tcBorders>
              <w:top w:val="single" w:sz="4" w:space="0" w:color="auto"/>
            </w:tcBorders>
          </w:tcPr>
          <w:p w14:paraId="272BD24A"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Clinical medicine and therapeutics</w:t>
            </w:r>
          </w:p>
        </w:tc>
        <w:tc>
          <w:tcPr>
            <w:tcW w:w="2098" w:type="dxa"/>
            <w:tcBorders>
              <w:top w:val="single" w:sz="4" w:space="0" w:color="auto"/>
            </w:tcBorders>
          </w:tcPr>
          <w:p w14:paraId="572F2D63"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w:t>
            </w:r>
          </w:p>
        </w:tc>
        <w:tc>
          <w:tcPr>
            <w:tcW w:w="1722" w:type="dxa"/>
            <w:tcBorders>
              <w:top w:val="single" w:sz="4" w:space="0" w:color="auto"/>
            </w:tcBorders>
          </w:tcPr>
          <w:p w14:paraId="47ED0AE7"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24</w:t>
            </w:r>
          </w:p>
        </w:tc>
      </w:tr>
      <w:tr w:rsidR="00B01D46" w14:paraId="6BFE02C7" w14:textId="77777777">
        <w:trPr>
          <w:trHeight w:val="296"/>
        </w:trPr>
        <w:tc>
          <w:tcPr>
            <w:tcW w:w="2027" w:type="dxa"/>
          </w:tcPr>
          <w:p w14:paraId="75D6218D" w14:textId="77777777" w:rsidR="00B01D46" w:rsidRDefault="00B01D46">
            <w:pPr>
              <w:spacing w:after="0" w:line="240" w:lineRule="auto"/>
              <w:ind w:right="65"/>
              <w:jc w:val="both"/>
              <w:rPr>
                <w:rFonts w:ascii="Times New Roman" w:hAnsi="Times New Roman" w:cs="Times New Roman"/>
                <w:b/>
                <w:sz w:val="24"/>
                <w:szCs w:val="24"/>
              </w:rPr>
            </w:pPr>
          </w:p>
        </w:tc>
        <w:tc>
          <w:tcPr>
            <w:tcW w:w="2152" w:type="dxa"/>
          </w:tcPr>
          <w:p w14:paraId="32D21D61"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Dental Sciences</w:t>
            </w:r>
          </w:p>
        </w:tc>
        <w:tc>
          <w:tcPr>
            <w:tcW w:w="2098" w:type="dxa"/>
          </w:tcPr>
          <w:p w14:paraId="41BDCF28"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w:t>
            </w:r>
          </w:p>
        </w:tc>
        <w:tc>
          <w:tcPr>
            <w:tcW w:w="1722" w:type="dxa"/>
          </w:tcPr>
          <w:p w14:paraId="29C0FEDC"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11</w:t>
            </w:r>
          </w:p>
        </w:tc>
      </w:tr>
      <w:tr w:rsidR="00B01D46" w14:paraId="71549B22" w14:textId="77777777">
        <w:trPr>
          <w:trHeight w:val="296"/>
        </w:trPr>
        <w:tc>
          <w:tcPr>
            <w:tcW w:w="2027" w:type="dxa"/>
          </w:tcPr>
          <w:p w14:paraId="0ABD89BA" w14:textId="77777777" w:rsidR="00B01D46" w:rsidRDefault="00B01D46">
            <w:pPr>
              <w:spacing w:after="0" w:line="240" w:lineRule="auto"/>
              <w:ind w:right="65"/>
              <w:jc w:val="both"/>
              <w:rPr>
                <w:rFonts w:ascii="Times New Roman" w:hAnsi="Times New Roman" w:cs="Times New Roman"/>
                <w:b/>
                <w:sz w:val="24"/>
                <w:szCs w:val="24"/>
              </w:rPr>
            </w:pPr>
          </w:p>
        </w:tc>
        <w:tc>
          <w:tcPr>
            <w:tcW w:w="2152" w:type="dxa"/>
          </w:tcPr>
          <w:p w14:paraId="24595ABF"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Nursing</w:t>
            </w:r>
          </w:p>
        </w:tc>
        <w:tc>
          <w:tcPr>
            <w:tcW w:w="2098" w:type="dxa"/>
          </w:tcPr>
          <w:p w14:paraId="12FB1161"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w:t>
            </w:r>
          </w:p>
        </w:tc>
        <w:tc>
          <w:tcPr>
            <w:tcW w:w="1722" w:type="dxa"/>
          </w:tcPr>
          <w:p w14:paraId="44D66E5C"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23</w:t>
            </w:r>
          </w:p>
        </w:tc>
      </w:tr>
      <w:tr w:rsidR="00B01D46" w14:paraId="2D0DE4F9" w14:textId="77777777">
        <w:trPr>
          <w:trHeight w:val="333"/>
        </w:trPr>
        <w:tc>
          <w:tcPr>
            <w:tcW w:w="2027" w:type="dxa"/>
          </w:tcPr>
          <w:p w14:paraId="55D04DC7"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TOTAL</w:t>
            </w:r>
          </w:p>
        </w:tc>
        <w:tc>
          <w:tcPr>
            <w:tcW w:w="2152" w:type="dxa"/>
          </w:tcPr>
          <w:p w14:paraId="3344B0D2" w14:textId="77777777" w:rsidR="00B01D46" w:rsidRDefault="00B01D46">
            <w:pPr>
              <w:spacing w:after="0" w:line="240" w:lineRule="auto"/>
              <w:ind w:right="65"/>
              <w:jc w:val="both"/>
              <w:rPr>
                <w:rFonts w:ascii="Times New Roman" w:hAnsi="Times New Roman" w:cs="Times New Roman"/>
                <w:b/>
                <w:sz w:val="24"/>
                <w:szCs w:val="24"/>
              </w:rPr>
            </w:pPr>
          </w:p>
        </w:tc>
        <w:tc>
          <w:tcPr>
            <w:tcW w:w="2098" w:type="dxa"/>
          </w:tcPr>
          <w:p w14:paraId="6D4046D9" w14:textId="77777777" w:rsidR="00B01D46" w:rsidRDefault="00B01D46">
            <w:pPr>
              <w:spacing w:after="0" w:line="240" w:lineRule="auto"/>
              <w:ind w:right="65"/>
              <w:jc w:val="both"/>
              <w:rPr>
                <w:rFonts w:ascii="Times New Roman" w:hAnsi="Times New Roman" w:cs="Times New Roman"/>
                <w:b/>
                <w:sz w:val="24"/>
                <w:szCs w:val="24"/>
              </w:rPr>
            </w:pPr>
          </w:p>
        </w:tc>
        <w:tc>
          <w:tcPr>
            <w:tcW w:w="1722" w:type="dxa"/>
          </w:tcPr>
          <w:p w14:paraId="55EAD583"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58</w:t>
            </w:r>
          </w:p>
        </w:tc>
      </w:tr>
      <w:tr w:rsidR="00B01D46" w14:paraId="3F5F9A2D" w14:textId="77777777">
        <w:trPr>
          <w:trHeight w:val="283"/>
        </w:trPr>
        <w:tc>
          <w:tcPr>
            <w:tcW w:w="2027" w:type="dxa"/>
          </w:tcPr>
          <w:p w14:paraId="0915EAE5"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MOI</w:t>
            </w:r>
          </w:p>
        </w:tc>
        <w:tc>
          <w:tcPr>
            <w:tcW w:w="2152" w:type="dxa"/>
          </w:tcPr>
          <w:p w14:paraId="28E0FCC7"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Department of Medicine</w:t>
            </w:r>
          </w:p>
        </w:tc>
        <w:tc>
          <w:tcPr>
            <w:tcW w:w="2098" w:type="dxa"/>
          </w:tcPr>
          <w:p w14:paraId="5A4E30DD"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w:t>
            </w:r>
          </w:p>
        </w:tc>
        <w:tc>
          <w:tcPr>
            <w:tcW w:w="1722" w:type="dxa"/>
          </w:tcPr>
          <w:p w14:paraId="04B56E92"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18</w:t>
            </w:r>
          </w:p>
        </w:tc>
      </w:tr>
      <w:tr w:rsidR="00B01D46" w14:paraId="77BCC0A7" w14:textId="77777777">
        <w:trPr>
          <w:trHeight w:val="296"/>
        </w:trPr>
        <w:tc>
          <w:tcPr>
            <w:tcW w:w="2027" w:type="dxa"/>
          </w:tcPr>
          <w:p w14:paraId="51AA8098" w14:textId="77777777" w:rsidR="00B01D46" w:rsidRDefault="00B01D46">
            <w:pPr>
              <w:spacing w:after="0" w:line="240" w:lineRule="auto"/>
              <w:ind w:right="65"/>
              <w:jc w:val="both"/>
              <w:rPr>
                <w:rFonts w:ascii="Times New Roman" w:hAnsi="Times New Roman" w:cs="Times New Roman"/>
                <w:b/>
                <w:sz w:val="24"/>
                <w:szCs w:val="24"/>
              </w:rPr>
            </w:pPr>
          </w:p>
        </w:tc>
        <w:tc>
          <w:tcPr>
            <w:tcW w:w="2152" w:type="dxa"/>
          </w:tcPr>
          <w:p w14:paraId="151435AA"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Maxillofacial Surgery, Oral Medium/Pathology/Radiology</w:t>
            </w:r>
          </w:p>
        </w:tc>
        <w:tc>
          <w:tcPr>
            <w:tcW w:w="2098" w:type="dxa"/>
          </w:tcPr>
          <w:p w14:paraId="435B8A8E"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w:t>
            </w:r>
          </w:p>
        </w:tc>
        <w:tc>
          <w:tcPr>
            <w:tcW w:w="1722" w:type="dxa"/>
          </w:tcPr>
          <w:p w14:paraId="29DF5496"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10</w:t>
            </w:r>
          </w:p>
        </w:tc>
      </w:tr>
      <w:tr w:rsidR="00B01D46" w14:paraId="2D32B1BE" w14:textId="77777777">
        <w:trPr>
          <w:trHeight w:val="296"/>
        </w:trPr>
        <w:tc>
          <w:tcPr>
            <w:tcW w:w="2027" w:type="dxa"/>
          </w:tcPr>
          <w:p w14:paraId="1F37AF6C" w14:textId="77777777" w:rsidR="00B01D46" w:rsidRDefault="00B01D46">
            <w:pPr>
              <w:spacing w:after="0" w:line="240" w:lineRule="auto"/>
              <w:ind w:right="65"/>
              <w:jc w:val="both"/>
              <w:rPr>
                <w:rFonts w:ascii="Times New Roman" w:hAnsi="Times New Roman" w:cs="Times New Roman"/>
                <w:b/>
                <w:sz w:val="24"/>
                <w:szCs w:val="24"/>
              </w:rPr>
            </w:pPr>
          </w:p>
        </w:tc>
        <w:tc>
          <w:tcPr>
            <w:tcW w:w="2152" w:type="dxa"/>
          </w:tcPr>
          <w:p w14:paraId="36517350"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Nursing Education Management and Research</w:t>
            </w:r>
          </w:p>
        </w:tc>
        <w:tc>
          <w:tcPr>
            <w:tcW w:w="2098" w:type="dxa"/>
          </w:tcPr>
          <w:p w14:paraId="6DC19CED"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w:t>
            </w:r>
          </w:p>
        </w:tc>
        <w:tc>
          <w:tcPr>
            <w:tcW w:w="1722" w:type="dxa"/>
          </w:tcPr>
          <w:p w14:paraId="37AE1A46"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12</w:t>
            </w:r>
          </w:p>
        </w:tc>
      </w:tr>
      <w:tr w:rsidR="00B01D46" w14:paraId="05A6E557" w14:textId="77777777">
        <w:trPr>
          <w:trHeight w:val="296"/>
        </w:trPr>
        <w:tc>
          <w:tcPr>
            <w:tcW w:w="2027" w:type="dxa"/>
            <w:tcBorders>
              <w:bottom w:val="single" w:sz="4" w:space="0" w:color="auto"/>
            </w:tcBorders>
          </w:tcPr>
          <w:p w14:paraId="0CD9965A"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2152" w:type="dxa"/>
            <w:tcBorders>
              <w:bottom w:val="single" w:sz="4" w:space="0" w:color="auto"/>
            </w:tcBorders>
          </w:tcPr>
          <w:p w14:paraId="1269A362" w14:textId="77777777" w:rsidR="00B01D46" w:rsidRDefault="00B01D46">
            <w:pPr>
              <w:spacing w:after="0" w:line="240" w:lineRule="auto"/>
              <w:ind w:right="65"/>
              <w:jc w:val="both"/>
              <w:rPr>
                <w:rFonts w:ascii="Times New Roman" w:hAnsi="Times New Roman" w:cs="Times New Roman"/>
                <w:b/>
                <w:sz w:val="24"/>
                <w:szCs w:val="24"/>
              </w:rPr>
            </w:pPr>
          </w:p>
        </w:tc>
        <w:tc>
          <w:tcPr>
            <w:tcW w:w="2098" w:type="dxa"/>
            <w:tcBorders>
              <w:bottom w:val="single" w:sz="4" w:space="0" w:color="auto"/>
            </w:tcBorders>
          </w:tcPr>
          <w:p w14:paraId="79ADB247"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6</w:t>
            </w:r>
          </w:p>
        </w:tc>
        <w:tc>
          <w:tcPr>
            <w:tcW w:w="1722" w:type="dxa"/>
            <w:tcBorders>
              <w:bottom w:val="single" w:sz="4" w:space="0" w:color="auto"/>
            </w:tcBorders>
          </w:tcPr>
          <w:p w14:paraId="179D392B"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40</w:t>
            </w:r>
          </w:p>
        </w:tc>
      </w:tr>
      <w:tr w:rsidR="00B01D46" w14:paraId="112DD802" w14:textId="77777777">
        <w:trPr>
          <w:trHeight w:val="301"/>
        </w:trPr>
        <w:tc>
          <w:tcPr>
            <w:tcW w:w="2027" w:type="dxa"/>
            <w:tcBorders>
              <w:top w:val="single" w:sz="4" w:space="0" w:color="auto"/>
              <w:bottom w:val="single" w:sz="4" w:space="0" w:color="auto"/>
            </w:tcBorders>
          </w:tcPr>
          <w:p w14:paraId="6EB8EF5A"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GRAND TOTAL</w:t>
            </w:r>
          </w:p>
        </w:tc>
        <w:tc>
          <w:tcPr>
            <w:tcW w:w="2152" w:type="dxa"/>
            <w:tcBorders>
              <w:top w:val="single" w:sz="4" w:space="0" w:color="auto"/>
              <w:bottom w:val="single" w:sz="4" w:space="0" w:color="auto"/>
            </w:tcBorders>
          </w:tcPr>
          <w:p w14:paraId="47C34B1A" w14:textId="77777777" w:rsidR="00B01D46" w:rsidRDefault="00B01D46">
            <w:pPr>
              <w:spacing w:after="0" w:line="240" w:lineRule="auto"/>
              <w:ind w:right="65"/>
              <w:jc w:val="both"/>
              <w:rPr>
                <w:rFonts w:ascii="Times New Roman" w:hAnsi="Times New Roman" w:cs="Times New Roman"/>
                <w:sz w:val="24"/>
                <w:szCs w:val="24"/>
              </w:rPr>
            </w:pPr>
          </w:p>
        </w:tc>
        <w:tc>
          <w:tcPr>
            <w:tcW w:w="2098" w:type="dxa"/>
            <w:tcBorders>
              <w:top w:val="single" w:sz="4" w:space="0" w:color="auto"/>
              <w:bottom w:val="single" w:sz="4" w:space="0" w:color="auto"/>
            </w:tcBorders>
          </w:tcPr>
          <w:p w14:paraId="2A250494"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6</w:t>
            </w:r>
          </w:p>
        </w:tc>
        <w:tc>
          <w:tcPr>
            <w:tcW w:w="1722" w:type="dxa"/>
            <w:tcBorders>
              <w:top w:val="single" w:sz="4" w:space="0" w:color="auto"/>
              <w:bottom w:val="single" w:sz="4" w:space="0" w:color="auto"/>
            </w:tcBorders>
          </w:tcPr>
          <w:p w14:paraId="692D7D53"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98</w:t>
            </w:r>
          </w:p>
        </w:tc>
      </w:tr>
    </w:tbl>
    <w:bookmarkEnd w:id="862"/>
    <w:p w14:paraId="26C48C0F" w14:textId="77777777" w:rsidR="00B01D46" w:rsidRDefault="0067013E">
      <w:pPr>
        <w:spacing w:after="0" w:line="240" w:lineRule="auto"/>
        <w:ind w:right="65"/>
        <w:jc w:val="both"/>
        <w:rPr>
          <w:rFonts w:ascii="Times New Roman" w:hAnsi="Times New Roman" w:cs="Times New Roman"/>
          <w:b/>
          <w:i/>
          <w:sz w:val="24"/>
          <w:szCs w:val="24"/>
        </w:rPr>
      </w:pPr>
      <w:r>
        <w:rPr>
          <w:rFonts w:ascii="Times New Roman" w:hAnsi="Times New Roman" w:cs="Times New Roman"/>
          <w:b/>
          <w:i/>
          <w:sz w:val="24"/>
          <w:szCs w:val="24"/>
        </w:rPr>
        <w:t>Source: from the dean’s office of the two colleges of health science in both universities (year, 2020)</w:t>
      </w:r>
    </w:p>
    <w:p w14:paraId="5D3DF24A" w14:textId="77777777" w:rsidR="00B01D46" w:rsidRDefault="0067013E">
      <w:pPr>
        <w:spacing w:after="0" w:line="240" w:lineRule="auto"/>
        <w:rPr>
          <w:rFonts w:ascii="Times New Roman" w:eastAsia="Times New Roman" w:hAnsi="Times New Roman" w:cs="Times New Roman"/>
          <w:b/>
          <w:bCs/>
          <w:sz w:val="24"/>
          <w:szCs w:val="24"/>
        </w:rPr>
      </w:pPr>
      <w:bookmarkStart w:id="863" w:name="_Toc165973070"/>
      <w:bookmarkStart w:id="864" w:name="_Toc165368370"/>
      <w:bookmarkStart w:id="865" w:name="_Toc165365170"/>
      <w:bookmarkStart w:id="866" w:name="_Toc165369186"/>
      <w:bookmarkStart w:id="867" w:name="_Toc165975791"/>
      <w:bookmarkStart w:id="868" w:name="_Toc165898022"/>
      <w:bookmarkStart w:id="869" w:name="_Toc165367644"/>
      <w:r>
        <w:rPr>
          <w:szCs w:val="24"/>
        </w:rPr>
        <w:br w:type="page"/>
      </w:r>
    </w:p>
    <w:p w14:paraId="2C84EEBB" w14:textId="77777777" w:rsidR="00B01D46" w:rsidRDefault="0067013E">
      <w:pPr>
        <w:pStyle w:val="Heading3"/>
      </w:pPr>
      <w:bookmarkStart w:id="870" w:name="_Toc184272891"/>
      <w:r>
        <w:lastRenderedPageBreak/>
        <w:t>4.5.3 University Librarians and Medical Librarians</w:t>
      </w:r>
      <w:bookmarkEnd w:id="863"/>
      <w:bookmarkEnd w:id="864"/>
      <w:bookmarkEnd w:id="865"/>
      <w:bookmarkEnd w:id="866"/>
      <w:bookmarkEnd w:id="867"/>
      <w:bookmarkEnd w:id="868"/>
      <w:bookmarkEnd w:id="869"/>
      <w:bookmarkEnd w:id="870"/>
    </w:p>
    <w:p w14:paraId="02C73A5A" w14:textId="7777777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third category comprised of two University librarians and two medical librarians as shown in Table 4.3.  </w:t>
      </w:r>
      <w:r>
        <w:rPr>
          <w:rFonts w:ascii="Times New Roman" w:hAnsi="Times New Roman" w:cs="Times New Roman"/>
          <w:bCs/>
          <w:sz w:val="24"/>
          <w:szCs w:val="24"/>
        </w:rPr>
        <w:t>University Librarians</w:t>
      </w:r>
      <w:r>
        <w:rPr>
          <w:rFonts w:ascii="Times New Roman" w:hAnsi="Times New Roman" w:cs="Times New Roman"/>
          <w:sz w:val="24"/>
          <w:szCs w:val="24"/>
        </w:rPr>
        <w:t xml:space="preserve"> serve, assist, train students on information issues and they are knowledge ambassadors in a university. Hence very critical in providing information on ILS training, utilization and its effectiveness among the students. Additionally, medical librarians are responsible in Library sections/departments that deal with medical information resources hence better positioned to understand students’ level of ILS competencies, ILS challenges that Medicine, Dentistry and Nursing undergraduate students face about information search and use.</w:t>
      </w:r>
    </w:p>
    <w:p w14:paraId="62B8AF5A" w14:textId="77777777" w:rsidR="00B01D46" w:rsidRDefault="0067013E">
      <w:pPr>
        <w:pStyle w:val="Caption"/>
      </w:pPr>
      <w:bookmarkStart w:id="871" w:name="_Toc165363397"/>
      <w:bookmarkStart w:id="872" w:name="_Toc165365171"/>
      <w:bookmarkStart w:id="873" w:name="_Toc165973071"/>
      <w:bookmarkStart w:id="874" w:name="_Toc165975792"/>
      <w:bookmarkStart w:id="875" w:name="_Toc184271982"/>
      <w:bookmarkStart w:id="876" w:name="_Toc165898023"/>
      <w:bookmarkStart w:id="877" w:name="_Toc165362707"/>
      <w:bookmarkStart w:id="878" w:name="_Toc184276892"/>
      <w:r>
        <w:t>Table 4.3: Target Population of University Librarians, Medical Librarians</w:t>
      </w:r>
      <w:bookmarkEnd w:id="871"/>
      <w:bookmarkEnd w:id="872"/>
      <w:bookmarkEnd w:id="873"/>
      <w:bookmarkEnd w:id="874"/>
      <w:bookmarkEnd w:id="875"/>
      <w:bookmarkEnd w:id="876"/>
      <w:bookmarkEnd w:id="877"/>
      <w:bookmarkEnd w:id="878"/>
      <w:r>
        <w:t xml:space="preserve"> </w:t>
      </w:r>
    </w:p>
    <w:p w14:paraId="622C0542" w14:textId="77777777" w:rsidR="00B01D46" w:rsidRDefault="0067013E">
      <w:pPr>
        <w:spacing w:before="120" w:after="0" w:line="480" w:lineRule="auto"/>
        <w:ind w:right="65"/>
        <w:jc w:val="both"/>
        <w:rPr>
          <w:rFonts w:ascii="Times New Roman" w:hAnsi="Times New Roman" w:cs="Times New Roman"/>
          <w:b/>
          <w:i/>
          <w:sz w:val="24"/>
          <w:szCs w:val="24"/>
        </w:rPr>
      </w:pPr>
      <w:r>
        <w:rPr>
          <w:rFonts w:ascii="Times New Roman" w:hAnsi="Times New Roman" w:cs="Times New Roman"/>
          <w:b/>
          <w:i/>
          <w:sz w:val="24"/>
          <w:szCs w:val="24"/>
        </w:rPr>
        <w:t>Source: DVC academic affairs office from both universities (2019)</w:t>
      </w:r>
    </w:p>
    <w:tbl>
      <w:tblPr>
        <w:tblpPr w:leftFromText="180" w:rightFromText="180" w:bottomFromText="160" w:vertAnchor="text" w:horzAnchor="margin" w:tblpX="108" w:tblpY="-614"/>
        <w:tblW w:w="8005" w:type="dxa"/>
        <w:tblLayout w:type="fixed"/>
        <w:tblLook w:val="04A0" w:firstRow="1" w:lastRow="0" w:firstColumn="1" w:lastColumn="0" w:noHBand="0" w:noVBand="1"/>
      </w:tblPr>
      <w:tblGrid>
        <w:gridCol w:w="2258"/>
        <w:gridCol w:w="2231"/>
        <w:gridCol w:w="1940"/>
        <w:gridCol w:w="1576"/>
      </w:tblGrid>
      <w:tr w:rsidR="00B01D46" w:rsidRPr="008E7F9A" w14:paraId="5406DFC6" w14:textId="77777777">
        <w:trPr>
          <w:trHeight w:val="743"/>
        </w:trPr>
        <w:tc>
          <w:tcPr>
            <w:tcW w:w="2258" w:type="dxa"/>
            <w:tcBorders>
              <w:top w:val="single" w:sz="4" w:space="0" w:color="auto"/>
              <w:bottom w:val="single" w:sz="4" w:space="0" w:color="auto"/>
            </w:tcBorders>
          </w:tcPr>
          <w:p w14:paraId="4DD28E97" w14:textId="77777777" w:rsidR="00B01D46" w:rsidRPr="008E7F9A" w:rsidRDefault="0067013E">
            <w:pPr>
              <w:tabs>
                <w:tab w:val="left" w:pos="3960"/>
              </w:tabs>
              <w:spacing w:after="0" w:line="240" w:lineRule="auto"/>
              <w:ind w:right="65"/>
              <w:jc w:val="center"/>
              <w:rPr>
                <w:rFonts w:ascii="Times New Roman" w:hAnsi="Times New Roman" w:cs="Times New Roman"/>
                <w:b/>
                <w:sz w:val="20"/>
                <w:szCs w:val="20"/>
              </w:rPr>
            </w:pPr>
            <w:r w:rsidRPr="008E7F9A">
              <w:rPr>
                <w:rFonts w:ascii="Times New Roman" w:hAnsi="Times New Roman" w:cs="Times New Roman"/>
                <w:b/>
                <w:sz w:val="20"/>
                <w:szCs w:val="20"/>
              </w:rPr>
              <w:t>University</w:t>
            </w:r>
          </w:p>
        </w:tc>
        <w:tc>
          <w:tcPr>
            <w:tcW w:w="2231" w:type="dxa"/>
            <w:tcBorders>
              <w:top w:val="single" w:sz="4" w:space="0" w:color="auto"/>
              <w:bottom w:val="single" w:sz="4" w:space="0" w:color="auto"/>
            </w:tcBorders>
          </w:tcPr>
          <w:p w14:paraId="21B519FD" w14:textId="77777777" w:rsidR="00B01D46" w:rsidRPr="008E7F9A" w:rsidRDefault="0067013E">
            <w:pPr>
              <w:spacing w:after="0" w:line="240" w:lineRule="auto"/>
              <w:ind w:right="65"/>
              <w:jc w:val="center"/>
              <w:rPr>
                <w:rFonts w:ascii="Times New Roman" w:hAnsi="Times New Roman" w:cs="Times New Roman"/>
                <w:b/>
                <w:bCs/>
                <w:iCs/>
                <w:sz w:val="20"/>
                <w:szCs w:val="20"/>
              </w:rPr>
            </w:pPr>
            <w:r w:rsidRPr="008E7F9A">
              <w:rPr>
                <w:rFonts w:ascii="Times New Roman" w:hAnsi="Times New Roman" w:cs="Times New Roman"/>
                <w:b/>
                <w:bCs/>
                <w:iCs/>
                <w:sz w:val="20"/>
                <w:szCs w:val="20"/>
              </w:rPr>
              <w:t>University</w:t>
            </w:r>
          </w:p>
          <w:p w14:paraId="3BB2BE4D" w14:textId="77777777" w:rsidR="00B01D46" w:rsidRPr="008E7F9A" w:rsidRDefault="0067013E">
            <w:pPr>
              <w:tabs>
                <w:tab w:val="left" w:pos="3960"/>
              </w:tabs>
              <w:spacing w:after="0" w:line="240" w:lineRule="auto"/>
              <w:ind w:right="65"/>
              <w:jc w:val="center"/>
              <w:rPr>
                <w:rFonts w:ascii="Times New Roman" w:hAnsi="Times New Roman" w:cs="Times New Roman"/>
                <w:b/>
                <w:sz w:val="20"/>
                <w:szCs w:val="20"/>
              </w:rPr>
            </w:pPr>
            <w:r w:rsidRPr="008E7F9A">
              <w:rPr>
                <w:rFonts w:ascii="Times New Roman" w:hAnsi="Times New Roman" w:cs="Times New Roman"/>
                <w:b/>
                <w:sz w:val="20"/>
                <w:szCs w:val="20"/>
              </w:rPr>
              <w:t>Librarians</w:t>
            </w:r>
          </w:p>
        </w:tc>
        <w:tc>
          <w:tcPr>
            <w:tcW w:w="1940" w:type="dxa"/>
            <w:tcBorders>
              <w:top w:val="single" w:sz="4" w:space="0" w:color="auto"/>
              <w:bottom w:val="single" w:sz="4" w:space="0" w:color="auto"/>
            </w:tcBorders>
          </w:tcPr>
          <w:p w14:paraId="533B5D13" w14:textId="77777777" w:rsidR="00B01D46" w:rsidRPr="008E7F9A" w:rsidRDefault="0067013E">
            <w:pPr>
              <w:tabs>
                <w:tab w:val="left" w:pos="3960"/>
              </w:tabs>
              <w:spacing w:after="0" w:line="240" w:lineRule="auto"/>
              <w:ind w:right="65"/>
              <w:jc w:val="center"/>
              <w:rPr>
                <w:rFonts w:ascii="Times New Roman" w:hAnsi="Times New Roman" w:cs="Times New Roman"/>
                <w:b/>
                <w:sz w:val="20"/>
                <w:szCs w:val="20"/>
              </w:rPr>
            </w:pPr>
            <w:r w:rsidRPr="008E7F9A">
              <w:rPr>
                <w:rFonts w:ascii="Times New Roman" w:hAnsi="Times New Roman" w:cs="Times New Roman"/>
                <w:b/>
                <w:sz w:val="20"/>
                <w:szCs w:val="20"/>
              </w:rPr>
              <w:t>Heads Medical Librarians</w:t>
            </w:r>
          </w:p>
        </w:tc>
        <w:tc>
          <w:tcPr>
            <w:tcW w:w="1576" w:type="dxa"/>
            <w:tcBorders>
              <w:top w:val="single" w:sz="4" w:space="0" w:color="auto"/>
              <w:bottom w:val="single" w:sz="4" w:space="0" w:color="auto"/>
            </w:tcBorders>
          </w:tcPr>
          <w:p w14:paraId="276E7839" w14:textId="77777777" w:rsidR="00B01D46" w:rsidRPr="008E7F9A" w:rsidRDefault="0067013E">
            <w:pPr>
              <w:tabs>
                <w:tab w:val="left" w:pos="3960"/>
              </w:tabs>
              <w:spacing w:after="0" w:line="240" w:lineRule="auto"/>
              <w:ind w:right="65"/>
              <w:jc w:val="center"/>
              <w:rPr>
                <w:rFonts w:ascii="Times New Roman" w:hAnsi="Times New Roman" w:cs="Times New Roman"/>
                <w:b/>
                <w:sz w:val="20"/>
                <w:szCs w:val="20"/>
              </w:rPr>
            </w:pPr>
            <w:r w:rsidRPr="008E7F9A">
              <w:rPr>
                <w:rFonts w:ascii="Times New Roman" w:hAnsi="Times New Roman" w:cs="Times New Roman"/>
                <w:b/>
                <w:sz w:val="20"/>
                <w:szCs w:val="20"/>
              </w:rPr>
              <w:t>Total</w:t>
            </w:r>
          </w:p>
        </w:tc>
      </w:tr>
      <w:tr w:rsidR="00B01D46" w:rsidRPr="008E7F9A" w14:paraId="630E368A" w14:textId="77777777">
        <w:trPr>
          <w:trHeight w:val="365"/>
        </w:trPr>
        <w:tc>
          <w:tcPr>
            <w:tcW w:w="2258" w:type="dxa"/>
            <w:tcBorders>
              <w:top w:val="single" w:sz="4" w:space="0" w:color="auto"/>
            </w:tcBorders>
          </w:tcPr>
          <w:p w14:paraId="26C38A32" w14:textId="77777777" w:rsidR="00B01D46" w:rsidRPr="008E7F9A" w:rsidRDefault="0067013E">
            <w:pPr>
              <w:tabs>
                <w:tab w:val="left" w:pos="3960"/>
              </w:tabs>
              <w:spacing w:after="0" w:line="240" w:lineRule="auto"/>
              <w:ind w:right="65"/>
              <w:jc w:val="center"/>
              <w:rPr>
                <w:rFonts w:ascii="Times New Roman" w:hAnsi="Times New Roman" w:cs="Times New Roman"/>
                <w:sz w:val="20"/>
                <w:szCs w:val="20"/>
              </w:rPr>
            </w:pPr>
            <w:r w:rsidRPr="008E7F9A">
              <w:rPr>
                <w:rFonts w:ascii="Times New Roman" w:hAnsi="Times New Roman" w:cs="Times New Roman"/>
                <w:sz w:val="20"/>
                <w:szCs w:val="20"/>
              </w:rPr>
              <w:t>University of Nairobi</w:t>
            </w:r>
          </w:p>
        </w:tc>
        <w:tc>
          <w:tcPr>
            <w:tcW w:w="2231" w:type="dxa"/>
            <w:tcBorders>
              <w:top w:val="single" w:sz="4" w:space="0" w:color="auto"/>
            </w:tcBorders>
          </w:tcPr>
          <w:p w14:paraId="36995CC8" w14:textId="77777777" w:rsidR="00B01D46" w:rsidRPr="008E7F9A" w:rsidRDefault="0067013E">
            <w:pPr>
              <w:tabs>
                <w:tab w:val="left" w:pos="3960"/>
              </w:tabs>
              <w:spacing w:after="0" w:line="240" w:lineRule="auto"/>
              <w:ind w:right="65"/>
              <w:jc w:val="center"/>
              <w:rPr>
                <w:rFonts w:ascii="Times New Roman" w:hAnsi="Times New Roman" w:cs="Times New Roman"/>
                <w:sz w:val="20"/>
                <w:szCs w:val="20"/>
              </w:rPr>
            </w:pPr>
            <w:r w:rsidRPr="008E7F9A">
              <w:rPr>
                <w:rFonts w:ascii="Times New Roman" w:hAnsi="Times New Roman" w:cs="Times New Roman"/>
                <w:sz w:val="20"/>
                <w:szCs w:val="20"/>
              </w:rPr>
              <w:t>1</w:t>
            </w:r>
          </w:p>
        </w:tc>
        <w:tc>
          <w:tcPr>
            <w:tcW w:w="1940" w:type="dxa"/>
            <w:tcBorders>
              <w:top w:val="single" w:sz="4" w:space="0" w:color="auto"/>
            </w:tcBorders>
          </w:tcPr>
          <w:p w14:paraId="34893C79" w14:textId="77777777" w:rsidR="00B01D46" w:rsidRPr="008E7F9A" w:rsidRDefault="0067013E">
            <w:pPr>
              <w:tabs>
                <w:tab w:val="left" w:pos="3960"/>
              </w:tabs>
              <w:spacing w:after="0" w:line="240" w:lineRule="auto"/>
              <w:ind w:right="65"/>
              <w:jc w:val="center"/>
              <w:rPr>
                <w:rFonts w:ascii="Times New Roman" w:hAnsi="Times New Roman" w:cs="Times New Roman"/>
                <w:sz w:val="20"/>
                <w:szCs w:val="20"/>
              </w:rPr>
            </w:pPr>
            <w:r w:rsidRPr="008E7F9A">
              <w:rPr>
                <w:rFonts w:ascii="Times New Roman" w:hAnsi="Times New Roman" w:cs="Times New Roman"/>
                <w:sz w:val="20"/>
                <w:szCs w:val="20"/>
              </w:rPr>
              <w:t>1</w:t>
            </w:r>
          </w:p>
        </w:tc>
        <w:tc>
          <w:tcPr>
            <w:tcW w:w="1576" w:type="dxa"/>
            <w:tcBorders>
              <w:top w:val="single" w:sz="4" w:space="0" w:color="auto"/>
            </w:tcBorders>
          </w:tcPr>
          <w:p w14:paraId="0FE1C34E" w14:textId="77777777" w:rsidR="00B01D46" w:rsidRPr="008E7F9A" w:rsidRDefault="0067013E">
            <w:pPr>
              <w:tabs>
                <w:tab w:val="left" w:pos="3960"/>
              </w:tabs>
              <w:spacing w:after="0" w:line="240" w:lineRule="auto"/>
              <w:ind w:right="65"/>
              <w:jc w:val="center"/>
              <w:rPr>
                <w:rFonts w:ascii="Times New Roman" w:hAnsi="Times New Roman" w:cs="Times New Roman"/>
                <w:sz w:val="20"/>
                <w:szCs w:val="20"/>
              </w:rPr>
            </w:pPr>
            <w:r w:rsidRPr="008E7F9A">
              <w:rPr>
                <w:rFonts w:ascii="Times New Roman" w:hAnsi="Times New Roman" w:cs="Times New Roman"/>
                <w:sz w:val="20"/>
                <w:szCs w:val="20"/>
              </w:rPr>
              <w:t>2</w:t>
            </w:r>
          </w:p>
        </w:tc>
      </w:tr>
      <w:tr w:rsidR="00B01D46" w:rsidRPr="008E7F9A" w14:paraId="2F544D5E" w14:textId="77777777">
        <w:trPr>
          <w:trHeight w:val="371"/>
        </w:trPr>
        <w:tc>
          <w:tcPr>
            <w:tcW w:w="2258" w:type="dxa"/>
            <w:tcBorders>
              <w:bottom w:val="single" w:sz="4" w:space="0" w:color="auto"/>
            </w:tcBorders>
          </w:tcPr>
          <w:p w14:paraId="334F369B" w14:textId="77777777" w:rsidR="00B01D46" w:rsidRPr="008E7F9A" w:rsidRDefault="0067013E">
            <w:pPr>
              <w:tabs>
                <w:tab w:val="left" w:pos="3960"/>
              </w:tabs>
              <w:spacing w:after="0" w:line="240" w:lineRule="auto"/>
              <w:ind w:right="65"/>
              <w:jc w:val="center"/>
              <w:rPr>
                <w:rFonts w:ascii="Times New Roman" w:hAnsi="Times New Roman" w:cs="Times New Roman"/>
                <w:sz w:val="20"/>
                <w:szCs w:val="20"/>
              </w:rPr>
            </w:pPr>
            <w:r w:rsidRPr="008E7F9A">
              <w:rPr>
                <w:rFonts w:ascii="Times New Roman" w:hAnsi="Times New Roman" w:cs="Times New Roman"/>
                <w:sz w:val="20"/>
                <w:szCs w:val="20"/>
              </w:rPr>
              <w:t>Moi University</w:t>
            </w:r>
          </w:p>
        </w:tc>
        <w:tc>
          <w:tcPr>
            <w:tcW w:w="2231" w:type="dxa"/>
            <w:tcBorders>
              <w:bottom w:val="single" w:sz="4" w:space="0" w:color="auto"/>
            </w:tcBorders>
          </w:tcPr>
          <w:p w14:paraId="00EEB66C" w14:textId="77777777" w:rsidR="00B01D46" w:rsidRPr="008E7F9A" w:rsidRDefault="0067013E">
            <w:pPr>
              <w:tabs>
                <w:tab w:val="left" w:pos="3960"/>
              </w:tabs>
              <w:spacing w:after="0" w:line="240" w:lineRule="auto"/>
              <w:ind w:right="65"/>
              <w:jc w:val="center"/>
              <w:rPr>
                <w:rFonts w:ascii="Times New Roman" w:hAnsi="Times New Roman" w:cs="Times New Roman"/>
                <w:sz w:val="20"/>
                <w:szCs w:val="20"/>
              </w:rPr>
            </w:pPr>
            <w:r w:rsidRPr="008E7F9A">
              <w:rPr>
                <w:rFonts w:ascii="Times New Roman" w:hAnsi="Times New Roman" w:cs="Times New Roman"/>
                <w:sz w:val="20"/>
                <w:szCs w:val="20"/>
              </w:rPr>
              <w:t>1</w:t>
            </w:r>
          </w:p>
        </w:tc>
        <w:tc>
          <w:tcPr>
            <w:tcW w:w="1940" w:type="dxa"/>
            <w:tcBorders>
              <w:bottom w:val="single" w:sz="4" w:space="0" w:color="auto"/>
            </w:tcBorders>
          </w:tcPr>
          <w:p w14:paraId="60D9061A" w14:textId="77777777" w:rsidR="00B01D46" w:rsidRPr="008E7F9A" w:rsidRDefault="0067013E">
            <w:pPr>
              <w:tabs>
                <w:tab w:val="left" w:pos="3960"/>
              </w:tabs>
              <w:spacing w:after="0" w:line="240" w:lineRule="auto"/>
              <w:ind w:right="65"/>
              <w:jc w:val="center"/>
              <w:rPr>
                <w:rFonts w:ascii="Times New Roman" w:hAnsi="Times New Roman" w:cs="Times New Roman"/>
                <w:sz w:val="20"/>
                <w:szCs w:val="20"/>
              </w:rPr>
            </w:pPr>
            <w:r w:rsidRPr="008E7F9A">
              <w:rPr>
                <w:rFonts w:ascii="Times New Roman" w:hAnsi="Times New Roman" w:cs="Times New Roman"/>
                <w:sz w:val="20"/>
                <w:szCs w:val="20"/>
              </w:rPr>
              <w:t>1</w:t>
            </w:r>
          </w:p>
        </w:tc>
        <w:tc>
          <w:tcPr>
            <w:tcW w:w="1576" w:type="dxa"/>
            <w:tcBorders>
              <w:bottom w:val="single" w:sz="4" w:space="0" w:color="auto"/>
            </w:tcBorders>
          </w:tcPr>
          <w:p w14:paraId="00CC0E7C" w14:textId="77777777" w:rsidR="00B01D46" w:rsidRPr="008E7F9A" w:rsidRDefault="0067013E">
            <w:pPr>
              <w:tabs>
                <w:tab w:val="left" w:pos="3960"/>
              </w:tabs>
              <w:spacing w:after="0" w:line="240" w:lineRule="auto"/>
              <w:ind w:right="65"/>
              <w:jc w:val="center"/>
              <w:rPr>
                <w:rFonts w:ascii="Times New Roman" w:hAnsi="Times New Roman" w:cs="Times New Roman"/>
                <w:sz w:val="20"/>
                <w:szCs w:val="20"/>
              </w:rPr>
            </w:pPr>
            <w:r w:rsidRPr="008E7F9A">
              <w:rPr>
                <w:rFonts w:ascii="Times New Roman" w:hAnsi="Times New Roman" w:cs="Times New Roman"/>
                <w:sz w:val="20"/>
                <w:szCs w:val="20"/>
              </w:rPr>
              <w:t>2</w:t>
            </w:r>
          </w:p>
        </w:tc>
      </w:tr>
      <w:tr w:rsidR="00B01D46" w:rsidRPr="008E7F9A" w14:paraId="289AE7BE" w14:textId="77777777">
        <w:trPr>
          <w:trHeight w:val="363"/>
        </w:trPr>
        <w:tc>
          <w:tcPr>
            <w:tcW w:w="2258" w:type="dxa"/>
            <w:tcBorders>
              <w:top w:val="single" w:sz="4" w:space="0" w:color="auto"/>
              <w:bottom w:val="single" w:sz="4" w:space="0" w:color="auto"/>
            </w:tcBorders>
          </w:tcPr>
          <w:p w14:paraId="5028C9F8" w14:textId="77777777" w:rsidR="00B01D46" w:rsidRPr="008E7F9A" w:rsidRDefault="0067013E">
            <w:pPr>
              <w:tabs>
                <w:tab w:val="left" w:pos="3960"/>
              </w:tabs>
              <w:spacing w:after="0" w:line="240" w:lineRule="auto"/>
              <w:ind w:right="65"/>
              <w:jc w:val="center"/>
              <w:rPr>
                <w:rFonts w:ascii="Times New Roman" w:hAnsi="Times New Roman" w:cs="Times New Roman"/>
                <w:b/>
                <w:sz w:val="20"/>
                <w:szCs w:val="20"/>
              </w:rPr>
            </w:pPr>
            <w:r w:rsidRPr="008E7F9A">
              <w:rPr>
                <w:rFonts w:ascii="Times New Roman" w:hAnsi="Times New Roman" w:cs="Times New Roman"/>
                <w:b/>
                <w:sz w:val="20"/>
                <w:szCs w:val="20"/>
              </w:rPr>
              <w:t>TOTAL</w:t>
            </w:r>
          </w:p>
        </w:tc>
        <w:tc>
          <w:tcPr>
            <w:tcW w:w="2231" w:type="dxa"/>
            <w:tcBorders>
              <w:top w:val="single" w:sz="4" w:space="0" w:color="auto"/>
              <w:bottom w:val="single" w:sz="4" w:space="0" w:color="auto"/>
            </w:tcBorders>
          </w:tcPr>
          <w:p w14:paraId="47D904A0" w14:textId="77777777" w:rsidR="00B01D46" w:rsidRPr="008E7F9A" w:rsidRDefault="0067013E">
            <w:pPr>
              <w:tabs>
                <w:tab w:val="left" w:pos="3960"/>
              </w:tabs>
              <w:spacing w:after="0" w:line="240" w:lineRule="auto"/>
              <w:ind w:right="65"/>
              <w:jc w:val="center"/>
              <w:rPr>
                <w:rFonts w:ascii="Times New Roman" w:hAnsi="Times New Roman" w:cs="Times New Roman"/>
                <w:b/>
                <w:sz w:val="20"/>
                <w:szCs w:val="20"/>
              </w:rPr>
            </w:pPr>
            <w:r w:rsidRPr="008E7F9A">
              <w:rPr>
                <w:rFonts w:ascii="Times New Roman" w:hAnsi="Times New Roman" w:cs="Times New Roman"/>
                <w:b/>
                <w:sz w:val="20"/>
                <w:szCs w:val="20"/>
              </w:rPr>
              <w:t>2</w:t>
            </w:r>
          </w:p>
        </w:tc>
        <w:tc>
          <w:tcPr>
            <w:tcW w:w="1940" w:type="dxa"/>
            <w:tcBorders>
              <w:top w:val="single" w:sz="4" w:space="0" w:color="auto"/>
              <w:bottom w:val="single" w:sz="4" w:space="0" w:color="auto"/>
            </w:tcBorders>
          </w:tcPr>
          <w:p w14:paraId="6B9341E4" w14:textId="77777777" w:rsidR="00B01D46" w:rsidRPr="008E7F9A" w:rsidRDefault="0067013E">
            <w:pPr>
              <w:tabs>
                <w:tab w:val="left" w:pos="3960"/>
              </w:tabs>
              <w:spacing w:after="0" w:line="240" w:lineRule="auto"/>
              <w:ind w:right="65"/>
              <w:jc w:val="center"/>
              <w:rPr>
                <w:rFonts w:ascii="Times New Roman" w:hAnsi="Times New Roman" w:cs="Times New Roman"/>
                <w:b/>
                <w:sz w:val="20"/>
                <w:szCs w:val="20"/>
              </w:rPr>
            </w:pPr>
            <w:r w:rsidRPr="008E7F9A">
              <w:rPr>
                <w:rFonts w:ascii="Times New Roman" w:hAnsi="Times New Roman" w:cs="Times New Roman"/>
                <w:b/>
                <w:sz w:val="20"/>
                <w:szCs w:val="20"/>
              </w:rPr>
              <w:t>2</w:t>
            </w:r>
          </w:p>
        </w:tc>
        <w:tc>
          <w:tcPr>
            <w:tcW w:w="1576" w:type="dxa"/>
            <w:tcBorders>
              <w:top w:val="single" w:sz="4" w:space="0" w:color="auto"/>
              <w:bottom w:val="single" w:sz="4" w:space="0" w:color="auto"/>
            </w:tcBorders>
          </w:tcPr>
          <w:p w14:paraId="0B53CAE2" w14:textId="77777777" w:rsidR="00B01D46" w:rsidRPr="008E7F9A" w:rsidRDefault="0067013E">
            <w:pPr>
              <w:tabs>
                <w:tab w:val="left" w:pos="3960"/>
              </w:tabs>
              <w:spacing w:after="0" w:line="240" w:lineRule="auto"/>
              <w:ind w:right="65"/>
              <w:jc w:val="center"/>
              <w:rPr>
                <w:rFonts w:ascii="Times New Roman" w:hAnsi="Times New Roman" w:cs="Times New Roman"/>
                <w:b/>
                <w:sz w:val="20"/>
                <w:szCs w:val="20"/>
              </w:rPr>
            </w:pPr>
            <w:r w:rsidRPr="008E7F9A">
              <w:rPr>
                <w:rFonts w:ascii="Times New Roman" w:hAnsi="Times New Roman" w:cs="Times New Roman"/>
                <w:b/>
                <w:sz w:val="20"/>
                <w:szCs w:val="20"/>
              </w:rPr>
              <w:t>4</w:t>
            </w:r>
          </w:p>
        </w:tc>
      </w:tr>
    </w:tbl>
    <w:p w14:paraId="59B91ADF" w14:textId="77777777" w:rsidR="00B01D46" w:rsidRDefault="0067013E">
      <w:pPr>
        <w:pStyle w:val="Caption"/>
      </w:pPr>
      <w:bookmarkStart w:id="879" w:name="_Toc165365172"/>
      <w:bookmarkStart w:id="880" w:name="_Toc165973072"/>
      <w:bookmarkStart w:id="881" w:name="_Toc165363398"/>
      <w:bookmarkStart w:id="882" w:name="_Toc165975793"/>
      <w:bookmarkStart w:id="883" w:name="_Toc165362708"/>
      <w:bookmarkStart w:id="884" w:name="_Toc184276893"/>
      <w:bookmarkStart w:id="885" w:name="_Toc165898024"/>
      <w:bookmarkStart w:id="886" w:name="_Toc184271983"/>
      <w:r>
        <w:t>Table 4.4: Summary Table of the Entire Target Population</w:t>
      </w:r>
      <w:bookmarkStart w:id="887" w:name="_Hlk145861369"/>
      <w:bookmarkStart w:id="888" w:name="_Toc314155492"/>
      <w:bookmarkStart w:id="889" w:name="_Toc332822697"/>
      <w:bookmarkStart w:id="890" w:name="_Toc303429138"/>
      <w:bookmarkStart w:id="891" w:name="_Toc314156261"/>
      <w:bookmarkStart w:id="892" w:name="_Toc332821903"/>
      <w:bookmarkStart w:id="893" w:name="_Toc332823897"/>
      <w:bookmarkStart w:id="894" w:name="_Toc374802813"/>
      <w:bookmarkStart w:id="895" w:name="_Toc303423442"/>
      <w:bookmarkStart w:id="896" w:name="_Toc374802074"/>
      <w:bookmarkStart w:id="897" w:name="_Toc332823496"/>
      <w:bookmarkStart w:id="898" w:name="_Toc303428127"/>
      <w:bookmarkStart w:id="899" w:name="_Toc374800278"/>
      <w:bookmarkStart w:id="900" w:name="_Toc303422477"/>
      <w:bookmarkEnd w:id="879"/>
      <w:bookmarkEnd w:id="880"/>
      <w:bookmarkEnd w:id="881"/>
      <w:bookmarkEnd w:id="882"/>
      <w:bookmarkEnd w:id="883"/>
      <w:bookmarkEnd w:id="884"/>
      <w:bookmarkEnd w:id="885"/>
      <w:bookmarkEnd w:id="886"/>
    </w:p>
    <w:tbl>
      <w:tblPr>
        <w:tblStyle w:val="TableGrid"/>
        <w:tblW w:w="801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1056"/>
        <w:gridCol w:w="1067"/>
        <w:gridCol w:w="981"/>
        <w:gridCol w:w="1100"/>
        <w:gridCol w:w="554"/>
        <w:gridCol w:w="598"/>
        <w:gridCol w:w="806"/>
        <w:gridCol w:w="729"/>
      </w:tblGrid>
      <w:tr w:rsidR="00B01D46" w:rsidRPr="00C32454" w14:paraId="32E313B0" w14:textId="77777777">
        <w:trPr>
          <w:trHeight w:val="20"/>
        </w:trPr>
        <w:tc>
          <w:tcPr>
            <w:tcW w:w="1176" w:type="dxa"/>
            <w:tcBorders>
              <w:top w:val="single" w:sz="4" w:space="0" w:color="auto"/>
              <w:bottom w:val="single" w:sz="4" w:space="0" w:color="auto"/>
            </w:tcBorders>
          </w:tcPr>
          <w:p w14:paraId="2D48B55B"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 xml:space="preserve">Institution </w:t>
            </w:r>
          </w:p>
        </w:tc>
        <w:tc>
          <w:tcPr>
            <w:tcW w:w="1060" w:type="dxa"/>
            <w:tcBorders>
              <w:top w:val="single" w:sz="4" w:space="0" w:color="auto"/>
              <w:bottom w:val="single" w:sz="4" w:space="0" w:color="auto"/>
            </w:tcBorders>
          </w:tcPr>
          <w:p w14:paraId="59621D74"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Medicine students</w:t>
            </w:r>
          </w:p>
        </w:tc>
        <w:tc>
          <w:tcPr>
            <w:tcW w:w="1072" w:type="dxa"/>
            <w:tcBorders>
              <w:top w:val="single" w:sz="4" w:space="0" w:color="auto"/>
              <w:bottom w:val="single" w:sz="4" w:space="0" w:color="auto"/>
            </w:tcBorders>
          </w:tcPr>
          <w:p w14:paraId="2410CA3A"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Dentistry students</w:t>
            </w:r>
          </w:p>
        </w:tc>
        <w:tc>
          <w:tcPr>
            <w:tcW w:w="980" w:type="dxa"/>
            <w:tcBorders>
              <w:top w:val="single" w:sz="4" w:space="0" w:color="auto"/>
              <w:bottom w:val="single" w:sz="4" w:space="0" w:color="auto"/>
            </w:tcBorders>
          </w:tcPr>
          <w:p w14:paraId="332AD9CE"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Nursing students</w:t>
            </w:r>
          </w:p>
        </w:tc>
        <w:tc>
          <w:tcPr>
            <w:tcW w:w="1106" w:type="dxa"/>
            <w:tcBorders>
              <w:top w:val="single" w:sz="4" w:space="0" w:color="auto"/>
              <w:bottom w:val="single" w:sz="4" w:space="0" w:color="auto"/>
            </w:tcBorders>
          </w:tcPr>
          <w:p w14:paraId="0DF2794C"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Lecturers</w:t>
            </w:r>
          </w:p>
        </w:tc>
        <w:tc>
          <w:tcPr>
            <w:tcW w:w="531" w:type="dxa"/>
            <w:tcBorders>
              <w:top w:val="single" w:sz="4" w:space="0" w:color="auto"/>
              <w:bottom w:val="single" w:sz="4" w:space="0" w:color="auto"/>
            </w:tcBorders>
          </w:tcPr>
          <w:p w14:paraId="2A241AB3"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UL</w:t>
            </w:r>
          </w:p>
        </w:tc>
        <w:tc>
          <w:tcPr>
            <w:tcW w:w="577" w:type="dxa"/>
            <w:tcBorders>
              <w:top w:val="single" w:sz="4" w:space="0" w:color="auto"/>
              <w:bottom w:val="single" w:sz="4" w:space="0" w:color="auto"/>
            </w:tcBorders>
          </w:tcPr>
          <w:p w14:paraId="46210072"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ML</w:t>
            </w:r>
          </w:p>
        </w:tc>
        <w:tc>
          <w:tcPr>
            <w:tcW w:w="796" w:type="dxa"/>
            <w:tcBorders>
              <w:top w:val="single" w:sz="4" w:space="0" w:color="auto"/>
              <w:bottom w:val="single" w:sz="4" w:space="0" w:color="auto"/>
            </w:tcBorders>
          </w:tcPr>
          <w:p w14:paraId="7B1AF0D3"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HODs</w:t>
            </w:r>
          </w:p>
        </w:tc>
        <w:tc>
          <w:tcPr>
            <w:tcW w:w="715" w:type="dxa"/>
            <w:tcBorders>
              <w:top w:val="single" w:sz="4" w:space="0" w:color="auto"/>
              <w:bottom w:val="single" w:sz="4" w:space="0" w:color="auto"/>
            </w:tcBorders>
          </w:tcPr>
          <w:p w14:paraId="5395BF92"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Total</w:t>
            </w:r>
          </w:p>
        </w:tc>
      </w:tr>
      <w:tr w:rsidR="00B01D46" w:rsidRPr="00C32454" w14:paraId="1277D64A" w14:textId="77777777">
        <w:trPr>
          <w:trHeight w:val="20"/>
        </w:trPr>
        <w:tc>
          <w:tcPr>
            <w:tcW w:w="1176" w:type="dxa"/>
            <w:tcBorders>
              <w:top w:val="single" w:sz="4" w:space="0" w:color="auto"/>
            </w:tcBorders>
          </w:tcPr>
          <w:p w14:paraId="4C7723FF"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UON</w:t>
            </w:r>
          </w:p>
        </w:tc>
        <w:tc>
          <w:tcPr>
            <w:tcW w:w="1060" w:type="dxa"/>
            <w:tcBorders>
              <w:top w:val="single" w:sz="4" w:space="0" w:color="auto"/>
            </w:tcBorders>
          </w:tcPr>
          <w:p w14:paraId="11ACDE68"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110</w:t>
            </w:r>
          </w:p>
        </w:tc>
        <w:tc>
          <w:tcPr>
            <w:tcW w:w="1072" w:type="dxa"/>
            <w:tcBorders>
              <w:top w:val="single" w:sz="4" w:space="0" w:color="auto"/>
            </w:tcBorders>
          </w:tcPr>
          <w:p w14:paraId="2FDCFD6B"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38</w:t>
            </w:r>
          </w:p>
        </w:tc>
        <w:tc>
          <w:tcPr>
            <w:tcW w:w="980" w:type="dxa"/>
            <w:tcBorders>
              <w:top w:val="single" w:sz="4" w:space="0" w:color="auto"/>
            </w:tcBorders>
          </w:tcPr>
          <w:p w14:paraId="4BF2D035"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117</w:t>
            </w:r>
          </w:p>
        </w:tc>
        <w:tc>
          <w:tcPr>
            <w:tcW w:w="1106" w:type="dxa"/>
            <w:tcBorders>
              <w:top w:val="single" w:sz="4" w:space="0" w:color="auto"/>
            </w:tcBorders>
          </w:tcPr>
          <w:p w14:paraId="3D2A4F08"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58</w:t>
            </w:r>
          </w:p>
        </w:tc>
        <w:tc>
          <w:tcPr>
            <w:tcW w:w="531" w:type="dxa"/>
            <w:tcBorders>
              <w:top w:val="single" w:sz="4" w:space="0" w:color="auto"/>
            </w:tcBorders>
          </w:tcPr>
          <w:p w14:paraId="1B26AE37"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1</w:t>
            </w:r>
          </w:p>
        </w:tc>
        <w:tc>
          <w:tcPr>
            <w:tcW w:w="577" w:type="dxa"/>
            <w:tcBorders>
              <w:top w:val="single" w:sz="4" w:space="0" w:color="auto"/>
            </w:tcBorders>
          </w:tcPr>
          <w:p w14:paraId="35F63252"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1</w:t>
            </w:r>
          </w:p>
        </w:tc>
        <w:tc>
          <w:tcPr>
            <w:tcW w:w="796" w:type="dxa"/>
            <w:tcBorders>
              <w:top w:val="single" w:sz="4" w:space="0" w:color="auto"/>
            </w:tcBorders>
          </w:tcPr>
          <w:p w14:paraId="40F5526C"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3</w:t>
            </w:r>
          </w:p>
        </w:tc>
        <w:tc>
          <w:tcPr>
            <w:tcW w:w="715" w:type="dxa"/>
            <w:tcBorders>
              <w:top w:val="single" w:sz="4" w:space="0" w:color="auto"/>
            </w:tcBorders>
          </w:tcPr>
          <w:p w14:paraId="1E67E2E3"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328</w:t>
            </w:r>
          </w:p>
        </w:tc>
      </w:tr>
      <w:tr w:rsidR="00B01D46" w:rsidRPr="00C32454" w14:paraId="7BCA5409" w14:textId="77777777">
        <w:trPr>
          <w:trHeight w:val="20"/>
        </w:trPr>
        <w:tc>
          <w:tcPr>
            <w:tcW w:w="1176" w:type="dxa"/>
            <w:tcBorders>
              <w:bottom w:val="single" w:sz="4" w:space="0" w:color="auto"/>
            </w:tcBorders>
          </w:tcPr>
          <w:p w14:paraId="1A6494B9"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MOI</w:t>
            </w:r>
          </w:p>
        </w:tc>
        <w:tc>
          <w:tcPr>
            <w:tcW w:w="1060" w:type="dxa"/>
            <w:tcBorders>
              <w:bottom w:val="single" w:sz="4" w:space="0" w:color="auto"/>
            </w:tcBorders>
          </w:tcPr>
          <w:p w14:paraId="1FAA4DC2"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63</w:t>
            </w:r>
          </w:p>
        </w:tc>
        <w:tc>
          <w:tcPr>
            <w:tcW w:w="1072" w:type="dxa"/>
            <w:tcBorders>
              <w:bottom w:val="single" w:sz="4" w:space="0" w:color="auto"/>
            </w:tcBorders>
          </w:tcPr>
          <w:p w14:paraId="6375C911"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35</w:t>
            </w:r>
          </w:p>
        </w:tc>
        <w:tc>
          <w:tcPr>
            <w:tcW w:w="980" w:type="dxa"/>
            <w:tcBorders>
              <w:bottom w:val="single" w:sz="4" w:space="0" w:color="auto"/>
            </w:tcBorders>
          </w:tcPr>
          <w:p w14:paraId="38AF76DB"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34</w:t>
            </w:r>
          </w:p>
        </w:tc>
        <w:tc>
          <w:tcPr>
            <w:tcW w:w="1106" w:type="dxa"/>
            <w:tcBorders>
              <w:bottom w:val="single" w:sz="4" w:space="0" w:color="auto"/>
            </w:tcBorders>
          </w:tcPr>
          <w:p w14:paraId="3E6F75B1"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40</w:t>
            </w:r>
          </w:p>
        </w:tc>
        <w:tc>
          <w:tcPr>
            <w:tcW w:w="531" w:type="dxa"/>
            <w:tcBorders>
              <w:bottom w:val="single" w:sz="4" w:space="0" w:color="auto"/>
            </w:tcBorders>
          </w:tcPr>
          <w:p w14:paraId="5502E1BD"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1</w:t>
            </w:r>
          </w:p>
        </w:tc>
        <w:tc>
          <w:tcPr>
            <w:tcW w:w="577" w:type="dxa"/>
            <w:tcBorders>
              <w:bottom w:val="single" w:sz="4" w:space="0" w:color="auto"/>
            </w:tcBorders>
          </w:tcPr>
          <w:p w14:paraId="6A9AF2B7"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1</w:t>
            </w:r>
          </w:p>
        </w:tc>
        <w:tc>
          <w:tcPr>
            <w:tcW w:w="796" w:type="dxa"/>
            <w:tcBorders>
              <w:bottom w:val="single" w:sz="4" w:space="0" w:color="auto"/>
            </w:tcBorders>
          </w:tcPr>
          <w:p w14:paraId="555E3544"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3</w:t>
            </w:r>
          </w:p>
        </w:tc>
        <w:tc>
          <w:tcPr>
            <w:tcW w:w="715" w:type="dxa"/>
            <w:tcBorders>
              <w:bottom w:val="single" w:sz="4" w:space="0" w:color="auto"/>
            </w:tcBorders>
          </w:tcPr>
          <w:p w14:paraId="1A2E42EE"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177</w:t>
            </w:r>
          </w:p>
        </w:tc>
      </w:tr>
      <w:tr w:rsidR="00B01D46" w:rsidRPr="00C32454" w14:paraId="34E5E38D" w14:textId="77777777">
        <w:trPr>
          <w:trHeight w:val="20"/>
        </w:trPr>
        <w:tc>
          <w:tcPr>
            <w:tcW w:w="1176" w:type="dxa"/>
            <w:tcBorders>
              <w:top w:val="single" w:sz="4" w:space="0" w:color="auto"/>
              <w:bottom w:val="single" w:sz="4" w:space="0" w:color="auto"/>
            </w:tcBorders>
          </w:tcPr>
          <w:p w14:paraId="1C06EA96" w14:textId="77777777" w:rsidR="00B01D46" w:rsidRPr="00C32454" w:rsidRDefault="0067013E">
            <w:pPr>
              <w:spacing w:after="0" w:line="240" w:lineRule="auto"/>
              <w:ind w:right="65"/>
              <w:contextualSpacing/>
              <w:jc w:val="both"/>
              <w:rPr>
                <w:rFonts w:ascii="Times New Roman" w:hAnsi="Times New Roman" w:cs="Times New Roman"/>
                <w:b/>
                <w:bCs/>
                <w:sz w:val="20"/>
                <w:szCs w:val="20"/>
              </w:rPr>
            </w:pPr>
            <w:r w:rsidRPr="00C32454">
              <w:rPr>
                <w:rFonts w:ascii="Times New Roman" w:hAnsi="Times New Roman" w:cs="Times New Roman"/>
                <w:b/>
                <w:bCs/>
                <w:sz w:val="20"/>
                <w:szCs w:val="20"/>
              </w:rPr>
              <w:t>Total</w:t>
            </w:r>
          </w:p>
        </w:tc>
        <w:tc>
          <w:tcPr>
            <w:tcW w:w="1060" w:type="dxa"/>
            <w:tcBorders>
              <w:top w:val="single" w:sz="4" w:space="0" w:color="auto"/>
              <w:bottom w:val="single" w:sz="4" w:space="0" w:color="auto"/>
            </w:tcBorders>
          </w:tcPr>
          <w:p w14:paraId="50624625"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173</w:t>
            </w:r>
          </w:p>
        </w:tc>
        <w:tc>
          <w:tcPr>
            <w:tcW w:w="1072" w:type="dxa"/>
            <w:tcBorders>
              <w:top w:val="single" w:sz="4" w:space="0" w:color="auto"/>
              <w:bottom w:val="single" w:sz="4" w:space="0" w:color="auto"/>
            </w:tcBorders>
          </w:tcPr>
          <w:p w14:paraId="6529E87C"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73</w:t>
            </w:r>
          </w:p>
        </w:tc>
        <w:tc>
          <w:tcPr>
            <w:tcW w:w="980" w:type="dxa"/>
            <w:tcBorders>
              <w:top w:val="single" w:sz="4" w:space="0" w:color="auto"/>
              <w:bottom w:val="single" w:sz="4" w:space="0" w:color="auto"/>
            </w:tcBorders>
          </w:tcPr>
          <w:p w14:paraId="13C8BE3B"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151</w:t>
            </w:r>
          </w:p>
        </w:tc>
        <w:tc>
          <w:tcPr>
            <w:tcW w:w="1106" w:type="dxa"/>
            <w:tcBorders>
              <w:top w:val="single" w:sz="4" w:space="0" w:color="auto"/>
              <w:bottom w:val="single" w:sz="4" w:space="0" w:color="auto"/>
            </w:tcBorders>
          </w:tcPr>
          <w:p w14:paraId="1736A777"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98</w:t>
            </w:r>
          </w:p>
        </w:tc>
        <w:tc>
          <w:tcPr>
            <w:tcW w:w="531" w:type="dxa"/>
            <w:tcBorders>
              <w:top w:val="single" w:sz="4" w:space="0" w:color="auto"/>
              <w:bottom w:val="single" w:sz="4" w:space="0" w:color="auto"/>
            </w:tcBorders>
          </w:tcPr>
          <w:p w14:paraId="26C34564"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2</w:t>
            </w:r>
          </w:p>
        </w:tc>
        <w:tc>
          <w:tcPr>
            <w:tcW w:w="577" w:type="dxa"/>
            <w:tcBorders>
              <w:top w:val="single" w:sz="4" w:space="0" w:color="auto"/>
              <w:bottom w:val="single" w:sz="4" w:space="0" w:color="auto"/>
            </w:tcBorders>
          </w:tcPr>
          <w:p w14:paraId="2C49D9E8"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2</w:t>
            </w:r>
          </w:p>
        </w:tc>
        <w:tc>
          <w:tcPr>
            <w:tcW w:w="796" w:type="dxa"/>
            <w:tcBorders>
              <w:top w:val="single" w:sz="4" w:space="0" w:color="auto"/>
              <w:bottom w:val="single" w:sz="4" w:space="0" w:color="auto"/>
            </w:tcBorders>
          </w:tcPr>
          <w:p w14:paraId="2839652F"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6</w:t>
            </w:r>
          </w:p>
        </w:tc>
        <w:tc>
          <w:tcPr>
            <w:tcW w:w="715" w:type="dxa"/>
            <w:tcBorders>
              <w:top w:val="single" w:sz="4" w:space="0" w:color="auto"/>
              <w:bottom w:val="single" w:sz="4" w:space="0" w:color="auto"/>
            </w:tcBorders>
          </w:tcPr>
          <w:p w14:paraId="3CEB95FD" w14:textId="77777777" w:rsidR="00B01D46" w:rsidRPr="00C32454" w:rsidRDefault="0067013E">
            <w:pPr>
              <w:spacing w:after="0" w:line="240" w:lineRule="auto"/>
              <w:ind w:right="65"/>
              <w:contextualSpacing/>
              <w:jc w:val="both"/>
              <w:rPr>
                <w:rFonts w:ascii="Times New Roman" w:hAnsi="Times New Roman" w:cs="Times New Roman"/>
                <w:sz w:val="20"/>
                <w:szCs w:val="20"/>
              </w:rPr>
            </w:pPr>
            <w:r w:rsidRPr="00C32454">
              <w:rPr>
                <w:rFonts w:ascii="Times New Roman" w:hAnsi="Times New Roman" w:cs="Times New Roman"/>
                <w:sz w:val="20"/>
                <w:szCs w:val="20"/>
              </w:rPr>
              <w:t>505</w:t>
            </w:r>
          </w:p>
        </w:tc>
      </w:tr>
    </w:tbl>
    <w:bookmarkEnd w:id="887"/>
    <w:p w14:paraId="72576D7D"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b/>
          <w:sz w:val="24"/>
          <w:szCs w:val="24"/>
        </w:rPr>
        <w:t>Source</w:t>
      </w:r>
      <w:r>
        <w:rPr>
          <w:rFonts w:ascii="Times New Roman" w:hAnsi="Times New Roman" w:cs="Times New Roman"/>
          <w:sz w:val="24"/>
          <w:szCs w:val="24"/>
        </w:rPr>
        <w:t xml:space="preserve">: </w:t>
      </w:r>
      <w:r>
        <w:rPr>
          <w:rFonts w:ascii="Times New Roman" w:hAnsi="Times New Roman" w:cs="Times New Roman"/>
          <w:b/>
          <w:i/>
          <w:sz w:val="24"/>
          <w:szCs w:val="24"/>
        </w:rPr>
        <w:t>DVC academic affairs office from both universities (2019)</w:t>
      </w:r>
    </w:p>
    <w:p w14:paraId="1F104960" w14:textId="77777777" w:rsidR="00B01D46" w:rsidRDefault="0067013E">
      <w:pPr>
        <w:pStyle w:val="Heading2"/>
      </w:pPr>
      <w:bookmarkStart w:id="901" w:name="_Toc165898025"/>
      <w:bookmarkStart w:id="902" w:name="_Toc165975794"/>
      <w:bookmarkStart w:id="903" w:name="_Toc165973073"/>
      <w:bookmarkStart w:id="904" w:name="_Toc165368373"/>
      <w:bookmarkStart w:id="905" w:name="_Toc165367647"/>
      <w:bookmarkStart w:id="906" w:name="_Toc165369189"/>
      <w:bookmarkStart w:id="907" w:name="_Toc165365173"/>
      <w:bookmarkStart w:id="908" w:name="_Toc184272892"/>
      <w:r>
        <w:t xml:space="preserve">4.6 Sampling </w:t>
      </w:r>
      <w:bookmarkStart w:id="909" w:name="_Toc213827004"/>
      <w:bookmarkStart w:id="910" w:name="_Toc208813965"/>
      <w:bookmarkStart w:id="911" w:name="_Toc217445865"/>
      <w:bookmarkStart w:id="912" w:name="_Toc227484269"/>
      <w:bookmarkStart w:id="913" w:name="_Toc210190505"/>
      <w:bookmarkStart w:id="914" w:name="_Toc217445213"/>
      <w:bookmarkEnd w:id="888"/>
      <w:bookmarkEnd w:id="889"/>
      <w:bookmarkEnd w:id="890"/>
      <w:bookmarkEnd w:id="891"/>
      <w:bookmarkEnd w:id="892"/>
      <w:bookmarkEnd w:id="893"/>
      <w:bookmarkEnd w:id="894"/>
      <w:bookmarkEnd w:id="895"/>
      <w:bookmarkEnd w:id="896"/>
      <w:bookmarkEnd w:id="897"/>
      <w:bookmarkEnd w:id="898"/>
      <w:bookmarkEnd w:id="899"/>
      <w:bookmarkEnd w:id="900"/>
      <w:r>
        <w:t>Procedure</w:t>
      </w:r>
      <w:bookmarkEnd w:id="901"/>
      <w:bookmarkEnd w:id="902"/>
      <w:bookmarkEnd w:id="903"/>
      <w:bookmarkEnd w:id="904"/>
      <w:bookmarkEnd w:id="905"/>
      <w:bookmarkEnd w:id="906"/>
      <w:bookmarkEnd w:id="907"/>
      <w:bookmarkEnd w:id="908"/>
    </w:p>
    <w:bookmarkEnd w:id="909"/>
    <w:bookmarkEnd w:id="910"/>
    <w:bookmarkEnd w:id="911"/>
    <w:bookmarkEnd w:id="912"/>
    <w:bookmarkEnd w:id="913"/>
    <w:bookmarkEnd w:id="914"/>
    <w:p w14:paraId="4EDBB02E" w14:textId="7777777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It may be difficult to collect data from every participant (population) in a research study (Durrheim, 2006), therefore a researcher, has to come up with a sample which is picked the study population (</w:t>
      </w:r>
      <w:bookmarkStart w:id="915" w:name="_Hlk182146287"/>
      <w:r>
        <w:rPr>
          <w:rFonts w:ascii="Times New Roman" w:hAnsi="Times New Roman" w:cs="Times New Roman"/>
          <w:color w:val="222222"/>
          <w:sz w:val="24"/>
          <w:szCs w:val="24"/>
          <w:shd w:val="clear" w:color="auto" w:fill="FFFFFF"/>
        </w:rPr>
        <w:t>Hollweck</w:t>
      </w:r>
      <w:bookmarkEnd w:id="915"/>
      <w:r>
        <w:rPr>
          <w:rFonts w:ascii="Times New Roman" w:hAnsi="Times New Roman" w:cs="Times New Roman"/>
          <w:color w:val="222222"/>
          <w:sz w:val="24"/>
          <w:szCs w:val="24"/>
          <w:shd w:val="clear" w:color="auto" w:fill="FFFFFF"/>
        </w:rPr>
        <w:t>, 2015</w:t>
      </w:r>
      <w:r>
        <w:rPr>
          <w:rFonts w:ascii="Times New Roman" w:hAnsi="Times New Roman" w:cs="Times New Roman"/>
          <w:sz w:val="24"/>
          <w:szCs w:val="24"/>
        </w:rPr>
        <w:t xml:space="preserve">). A sample is a subsection of the study population that has comparable characteristics to the population. The sample's </w:t>
      </w:r>
      <w:r>
        <w:rPr>
          <w:rFonts w:ascii="Times New Roman" w:hAnsi="Times New Roman" w:cs="Times New Roman"/>
          <w:sz w:val="24"/>
          <w:szCs w:val="24"/>
        </w:rPr>
        <w:lastRenderedPageBreak/>
        <w:t>outcomes and inferences are representative of the larger population (Babbie, 2007). A sample is considered representative if the analysis is conducted using a study's sampling unit yields findings that are comparable to those generated if the researcher analyzed all of the participants/population. (Creswell, 2013).</w:t>
      </w:r>
    </w:p>
    <w:p w14:paraId="5D02B96A"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A researcher must do sampling to acquire an accurate representation from the target population (</w:t>
      </w:r>
      <w:r>
        <w:rPr>
          <w:rFonts w:ascii="Times New Roman" w:hAnsi="Times New Roman" w:cs="Times New Roman"/>
          <w:color w:val="222222"/>
          <w:sz w:val="24"/>
          <w:szCs w:val="24"/>
          <w:shd w:val="clear" w:color="auto" w:fill="FFFFFF"/>
        </w:rPr>
        <w:t>Hollweck, 2015</w:t>
      </w:r>
      <w:r>
        <w:rPr>
          <w:rFonts w:ascii="Times New Roman" w:hAnsi="Times New Roman" w:cs="Times New Roman"/>
          <w:sz w:val="24"/>
          <w:szCs w:val="24"/>
        </w:rPr>
        <w:t>). Furthermore, Kothari (2004) allude that the efficacy of a research is determined by the suitableness of its adopted methodology and instruments, as well as the correctness of the sampling approach used.</w:t>
      </w:r>
    </w:p>
    <w:p w14:paraId="4C8FF624" w14:textId="79C483EA"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In Kenya, 13 universities offer medicine, nursing and dentistry courses and as such they are supposed to be the units of observation for this inquiry. However, Manion </w:t>
      </w:r>
      <w:r w:rsidR="00163A93">
        <w:rPr>
          <w:rFonts w:ascii="Times New Roman" w:hAnsi="Times New Roman" w:cs="Times New Roman"/>
          <w:sz w:val="24"/>
          <w:szCs w:val="24"/>
        </w:rPr>
        <w:t>&amp;</w:t>
      </w:r>
      <w:r>
        <w:rPr>
          <w:rFonts w:ascii="Times New Roman" w:hAnsi="Times New Roman" w:cs="Times New Roman"/>
          <w:sz w:val="24"/>
          <w:szCs w:val="24"/>
        </w:rPr>
        <w:t xml:space="preserve"> Cohen (2018), argue that sampling is an appropriate choice whenever it is not feasible to collect data on the entire population due to financial and time constraints. For these reasons, the researcher purposefully sampled two institutions, namely the Moi University and UON (University of Nairobi).</w:t>
      </w:r>
    </w:p>
    <w:p w14:paraId="49E2ACBA"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 two universities were purposefully selected since they are pioneers in offering health sciences degree programs in Kenya, they were chartered first in Kenya and have a sizeable number of medical students enrolled. They have been in operation for over 35 years. Therefore, there is a likelihood that they have established ILS programmes that can act as a model for other universities that have started or are starting to offer medical courses in Kenya.</w:t>
      </w:r>
      <w:bookmarkStart w:id="916" w:name="_Toc217445866"/>
      <w:bookmarkStart w:id="917" w:name="_Toc213827010"/>
      <w:bookmarkStart w:id="918" w:name="_Toc217445214"/>
    </w:p>
    <w:p w14:paraId="180939C2" w14:textId="77777777" w:rsidR="00B01D46" w:rsidRDefault="0067013E">
      <w:pPr>
        <w:pStyle w:val="NormalWeb"/>
        <w:shd w:val="clear" w:color="auto" w:fill="FFFFFF"/>
        <w:tabs>
          <w:tab w:val="left" w:pos="360"/>
        </w:tabs>
        <w:spacing w:before="120" w:beforeAutospacing="0" w:after="0" w:afterAutospacing="0" w:line="480" w:lineRule="auto"/>
        <w:ind w:right="65"/>
        <w:jc w:val="both"/>
      </w:pPr>
      <w:r>
        <w:rPr>
          <w:b/>
        </w:rPr>
        <w:t>Students:</w:t>
      </w:r>
      <w:r>
        <w:t xml:space="preserve"> The students were grouped (stratified) into three groups based on their fields of study/ area of specialization, that is, medicine, nursing, and dentistry. </w:t>
      </w:r>
      <w:bookmarkStart w:id="919" w:name="_Hlk136498639"/>
      <w:r>
        <w:t>Purposive sampling was used to select 6</w:t>
      </w:r>
      <w:r>
        <w:rPr>
          <w:vertAlign w:val="superscript"/>
        </w:rPr>
        <w:t>th</w:t>
      </w:r>
      <w:r>
        <w:t>, 5</w:t>
      </w:r>
      <w:r>
        <w:rPr>
          <w:vertAlign w:val="superscript"/>
        </w:rPr>
        <w:t>th</w:t>
      </w:r>
      <w:r>
        <w:t xml:space="preserve"> and 4</w:t>
      </w:r>
      <w:r>
        <w:rPr>
          <w:vertAlign w:val="superscript"/>
        </w:rPr>
        <w:t>th</w:t>
      </w:r>
      <w:r>
        <w:t xml:space="preserve"> year students</w:t>
      </w:r>
      <w:bookmarkEnd w:id="919"/>
      <w:r>
        <w:t xml:space="preserve"> because they were in their final year of study hence better placed to explain their ILS experiences in </w:t>
      </w:r>
      <w:r>
        <w:lastRenderedPageBreak/>
        <w:t>relation to their studies</w:t>
      </w:r>
      <w:r>
        <w:rPr>
          <w:color w:val="000000"/>
          <w:shd w:val="clear" w:color="auto" w:fill="FFFFFF"/>
        </w:rPr>
        <w:t>.</w:t>
      </w:r>
      <w:r>
        <w:t xml:space="preserve"> To successfully undertake this, the researcher first determined the sample size that was required for this study. The student sample size was determined by applying a 98 percent confidence level and a 2% margin of error (Saunders et al, 2012). Once the sample size was determined, the researcher obtained a sampling frame. The sampling frame for the students constituted a list containing names of students registered in dentistry, medicine and nursing programs in the two selected universities, which was provided by the departments. Using the sampling frame identified, a simple random sampling technique was applied to select the sample for student respondents. Then simple random sampling technique was used to select a sample size of 305 students as shown on table 4.6 (in section 4.6.1.1). This technique gave each student the same chance of being selected (Creswell, 2013).</w:t>
      </w:r>
    </w:p>
    <w:p w14:paraId="34F98751" w14:textId="089A8DD2" w:rsidR="00B01D46" w:rsidRDefault="0067013E">
      <w:pPr>
        <w:pStyle w:val="NormalWeb"/>
        <w:shd w:val="clear" w:color="auto" w:fill="FFFFFF"/>
        <w:tabs>
          <w:tab w:val="left" w:pos="360"/>
        </w:tabs>
        <w:spacing w:before="120" w:beforeAutospacing="0" w:after="0" w:afterAutospacing="0" w:line="480" w:lineRule="auto"/>
        <w:ind w:right="65"/>
        <w:jc w:val="both"/>
      </w:pPr>
      <w:r>
        <w:rPr>
          <w:b/>
        </w:rPr>
        <w:t>Lecturers:</w:t>
      </w:r>
      <w:r>
        <w:t xml:space="preserve"> The lecturers were stratified into the departments in which they teach in, that is, medicine, nursing and dentistry. Thereafter, simple random sampling technique was applied to select a sample size of 62 lecturers. A list of all lecturers teaching in the six departments, from the two institutions, was acquired from the heads of departments and served as a sampling frame. Using the sampling frame identified, a simple random sampling technique was applied to select the sample for </w:t>
      </w:r>
      <w:r w:rsidR="00C32454">
        <w:t>lecturers’</w:t>
      </w:r>
      <w:r>
        <w:t xml:space="preserve"> respondents. Then simple random sampling technique was used to select a sample size of 62 lecturers as shown on table 4.7 (in section 4.6.1.2). This technique gave each student the same chance of being selected (Creswell, 2013).</w:t>
      </w:r>
    </w:p>
    <w:p w14:paraId="63C8FEF9" w14:textId="2C3F5D33" w:rsidR="00B01D46" w:rsidRDefault="0067013E">
      <w:pPr>
        <w:spacing w:before="120" w:line="480" w:lineRule="auto"/>
        <w:ind w:right="65"/>
        <w:jc w:val="both"/>
        <w:rPr>
          <w:rFonts w:ascii="Times New Roman" w:hAnsi="Times New Roman" w:cs="Times New Roman"/>
          <w:sz w:val="24"/>
          <w:szCs w:val="24"/>
        </w:rPr>
      </w:pPr>
      <w:r>
        <w:rPr>
          <w:rFonts w:ascii="Times New Roman" w:hAnsi="Times New Roman" w:cs="Times New Roman"/>
          <w:b/>
          <w:sz w:val="24"/>
          <w:szCs w:val="24"/>
        </w:rPr>
        <w:t>The key informants for the study were, the University librarians, medical librarians, and HODs</w:t>
      </w:r>
      <w:r>
        <w:rPr>
          <w:rFonts w:ascii="Times New Roman" w:hAnsi="Times New Roman" w:cs="Times New Roman"/>
          <w:sz w:val="24"/>
          <w:szCs w:val="24"/>
        </w:rPr>
        <w:t xml:space="preserve">: Purposive sampling technique was utilized in selecting two University Librarians, two Heads Medical Librarians, and six Heads of Departments from the selected two Universities under study. </w:t>
      </w:r>
      <w:r>
        <w:rPr>
          <w:rFonts w:ascii="Times New Roman" w:hAnsi="Times New Roman" w:cs="Times New Roman"/>
          <w:color w:val="202124"/>
          <w:sz w:val="24"/>
          <w:szCs w:val="24"/>
          <w:shd w:val="clear" w:color="auto" w:fill="FFFFFF"/>
        </w:rPr>
        <w:t xml:space="preserve">Purposive sampling is suitable where </w:t>
      </w:r>
      <w:r>
        <w:rPr>
          <w:rFonts w:ascii="Times New Roman" w:hAnsi="Times New Roman" w:cs="Times New Roman"/>
          <w:color w:val="202124"/>
          <w:sz w:val="24"/>
          <w:szCs w:val="24"/>
          <w:shd w:val="clear" w:color="auto" w:fill="FFFFFF"/>
        </w:rPr>
        <w:lastRenderedPageBreak/>
        <w:t xml:space="preserve">a researcher purposely targets certain respondents believed to have relevant information appropriate for the research inquiry (Kombo </w:t>
      </w:r>
      <w:r w:rsidR="00163A93">
        <w:rPr>
          <w:rFonts w:ascii="Times New Roman" w:hAnsi="Times New Roman" w:cs="Times New Roman"/>
          <w:color w:val="202124"/>
          <w:sz w:val="24"/>
          <w:szCs w:val="24"/>
          <w:shd w:val="clear" w:color="auto" w:fill="FFFFFF"/>
        </w:rPr>
        <w:t>&amp;</w:t>
      </w:r>
      <w:r>
        <w:rPr>
          <w:rFonts w:ascii="Times New Roman" w:hAnsi="Times New Roman" w:cs="Times New Roman"/>
          <w:color w:val="202124"/>
          <w:sz w:val="24"/>
          <w:szCs w:val="24"/>
          <w:shd w:val="clear" w:color="auto" w:fill="FFFFFF"/>
        </w:rPr>
        <w:t xml:space="preserve"> Tromp, 2006). </w:t>
      </w:r>
    </w:p>
    <w:p w14:paraId="30EA7A6A" w14:textId="77777777" w:rsidR="00B01D46" w:rsidRDefault="0067013E">
      <w:pPr>
        <w:pStyle w:val="Heading3"/>
      </w:pPr>
      <w:bookmarkStart w:id="920" w:name="_Toc165369190"/>
      <w:bookmarkStart w:id="921" w:name="_Toc184272893"/>
      <w:bookmarkStart w:id="922" w:name="_Toc165973074"/>
      <w:bookmarkStart w:id="923" w:name="_Toc165975795"/>
      <w:bookmarkStart w:id="924" w:name="_Toc165365174"/>
      <w:bookmarkStart w:id="925" w:name="_Toc165367648"/>
      <w:bookmarkStart w:id="926" w:name="_Toc164664014"/>
      <w:bookmarkStart w:id="927" w:name="_Toc165368374"/>
      <w:bookmarkStart w:id="928" w:name="_Toc165898026"/>
      <w:r>
        <w:t>4.6.1 Sample Size</w:t>
      </w:r>
      <w:bookmarkEnd w:id="920"/>
      <w:bookmarkEnd w:id="921"/>
      <w:bookmarkEnd w:id="922"/>
      <w:bookmarkEnd w:id="923"/>
      <w:bookmarkEnd w:id="924"/>
      <w:bookmarkEnd w:id="925"/>
      <w:bookmarkEnd w:id="926"/>
      <w:bookmarkEnd w:id="927"/>
      <w:bookmarkEnd w:id="928"/>
    </w:p>
    <w:p w14:paraId="2E66F3D3" w14:textId="77777777" w:rsidR="00B01D46" w:rsidRDefault="0067013E">
      <w:pPr>
        <w:pStyle w:val="Heading4"/>
      </w:pPr>
      <w:bookmarkStart w:id="929" w:name="_Toc165367649"/>
      <w:bookmarkStart w:id="930" w:name="_Toc165368375"/>
      <w:bookmarkStart w:id="931" w:name="_Toc164664015"/>
      <w:bookmarkStart w:id="932" w:name="_Toc165369191"/>
      <w:bookmarkStart w:id="933" w:name="_Toc184272894"/>
      <w:bookmarkStart w:id="934" w:name="_Toc165365175"/>
      <w:r>
        <w:t>4.6.1.1 Sample Size for Students</w:t>
      </w:r>
      <w:bookmarkEnd w:id="929"/>
      <w:bookmarkEnd w:id="930"/>
      <w:bookmarkEnd w:id="931"/>
      <w:bookmarkEnd w:id="932"/>
      <w:bookmarkEnd w:id="933"/>
      <w:bookmarkEnd w:id="934"/>
    </w:p>
    <w:p w14:paraId="3EA4ABC9" w14:textId="15E748EF" w:rsidR="00B01D46" w:rsidRDefault="0067013E">
      <w:pPr>
        <w:spacing w:after="0" w:line="480" w:lineRule="auto"/>
        <w:ind w:right="65"/>
        <w:jc w:val="both"/>
        <w:rPr>
          <w:rFonts w:ascii="Times New Roman" w:hAnsi="Times New Roman" w:cs="Times New Roman"/>
          <w:sz w:val="24"/>
          <w:szCs w:val="24"/>
        </w:rPr>
      </w:pPr>
      <w:bookmarkStart w:id="935" w:name="_Hlk158378017"/>
      <w:r>
        <w:rPr>
          <w:rFonts w:ascii="Times New Roman" w:hAnsi="Times New Roman" w:cs="Times New Roman"/>
          <w:sz w:val="24"/>
          <w:szCs w:val="24"/>
        </w:rPr>
        <w:t>Undergraduate students in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year nursing,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year dentistry and 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year medicine who were 397 were sampled using the table of determining sample sizes developed by Saunders, Lewis, </w:t>
      </w:r>
      <w:r w:rsidR="00211A6A">
        <w:rPr>
          <w:rFonts w:ascii="Times New Roman" w:hAnsi="Times New Roman" w:cs="Times New Roman"/>
          <w:sz w:val="24"/>
          <w:szCs w:val="24"/>
        </w:rPr>
        <w:t>&amp;</w:t>
      </w:r>
      <w:r>
        <w:rPr>
          <w:rFonts w:ascii="Times New Roman" w:hAnsi="Times New Roman" w:cs="Times New Roman"/>
          <w:sz w:val="24"/>
          <w:szCs w:val="24"/>
        </w:rPr>
        <w:t xml:space="preserve"> Thornhill (2012). The student sample size was determined by applying a 98 percent confidence level and a 2% margin of error</w:t>
      </w:r>
      <w:bookmarkEnd w:id="935"/>
      <w:r>
        <w:rPr>
          <w:rFonts w:ascii="Times New Roman" w:hAnsi="Times New Roman" w:cs="Times New Roman"/>
          <w:sz w:val="24"/>
          <w:szCs w:val="24"/>
        </w:rPr>
        <w:t xml:space="preserve"> because according to Saunders et al (2012)</w:t>
      </w:r>
      <w:r w:rsidR="00163A93">
        <w:rPr>
          <w:rFonts w:ascii="Times New Roman" w:hAnsi="Times New Roman" w:cs="Times New Roman"/>
          <w:sz w:val="24"/>
          <w:szCs w:val="24"/>
        </w:rPr>
        <w:t xml:space="preserve"> </w:t>
      </w:r>
      <w:r>
        <w:rPr>
          <w:rFonts w:ascii="Times New Roman" w:hAnsi="Times New Roman" w:cs="Times New Roman"/>
          <w:sz w:val="24"/>
          <w:szCs w:val="24"/>
        </w:rPr>
        <w:t>when the items under study are not many more items are required to be part of the sample for precision and generalization of the study findings.</w:t>
      </w:r>
    </w:p>
    <w:p w14:paraId="4E5F1875" w14:textId="64E5B421" w:rsidR="00B01D46" w:rsidRDefault="0067013E">
      <w:pPr>
        <w:pStyle w:val="Caption"/>
      </w:pPr>
      <w:bookmarkStart w:id="936" w:name="_Toc165973075"/>
      <w:bookmarkStart w:id="937" w:name="_Toc165975796"/>
      <w:bookmarkStart w:id="938" w:name="_Toc165898027"/>
      <w:bookmarkStart w:id="939" w:name="_Toc184276894"/>
      <w:bookmarkStart w:id="940" w:name="_Toc184271984"/>
      <w:r>
        <w:t xml:space="preserve">Table 4.5: Saunders, Lewis </w:t>
      </w:r>
      <w:r w:rsidR="00211A6A">
        <w:t>&amp;</w:t>
      </w:r>
      <w:r>
        <w:t xml:space="preserve"> Thornhill (2012) Table of Selecting Sample Sizes at 95 Level of Certainty</w:t>
      </w:r>
      <w:bookmarkEnd w:id="936"/>
      <w:bookmarkEnd w:id="937"/>
      <w:bookmarkEnd w:id="938"/>
      <w:bookmarkEnd w:id="939"/>
      <w:bookmarkEnd w:id="940"/>
    </w:p>
    <w:p w14:paraId="313A238F"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u w:val="single" w:color="000000"/>
        </w:rPr>
        <w:t xml:space="preserve">                                                  Margin of error</w:t>
      </w:r>
    </w:p>
    <w:p w14:paraId="1E7303BC"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u w:val="single" w:color="000000"/>
        </w:rPr>
        <w:t xml:space="preserve">  Population                 5%                 3%                   2%                1%</w:t>
      </w:r>
    </w:p>
    <w:p w14:paraId="3D631485"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50                       44              48                    49                   50  </w:t>
      </w:r>
    </w:p>
    <w:p w14:paraId="1D170843" w14:textId="676DF35C"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100  </w:t>
      </w:r>
      <w:r>
        <w:rPr>
          <w:rFonts w:ascii="Times New Roman" w:hAnsi="Times New Roman" w:cs="Times New Roman"/>
          <w:sz w:val="24"/>
          <w:szCs w:val="24"/>
        </w:rPr>
        <w:tab/>
      </w:r>
      <w:r>
        <w:rPr>
          <w:rFonts w:ascii="Times New Roman" w:hAnsi="Times New Roman" w:cs="Times New Roman"/>
          <w:sz w:val="24"/>
          <w:szCs w:val="24"/>
        </w:rPr>
        <w:tab/>
        <w:t xml:space="preserve"> 79 </w:t>
      </w:r>
      <w:r>
        <w:rPr>
          <w:rFonts w:ascii="Times New Roman" w:hAnsi="Times New Roman" w:cs="Times New Roman"/>
          <w:sz w:val="24"/>
          <w:szCs w:val="24"/>
        </w:rPr>
        <w:tab/>
        <w:t xml:space="preserve">      91  </w:t>
      </w:r>
      <w:r>
        <w:rPr>
          <w:rFonts w:ascii="Times New Roman" w:hAnsi="Times New Roman" w:cs="Times New Roman"/>
          <w:sz w:val="24"/>
          <w:szCs w:val="24"/>
        </w:rPr>
        <w:tab/>
        <w:t xml:space="preserve"> </w:t>
      </w:r>
      <w:r w:rsidR="00C0543E">
        <w:rPr>
          <w:rFonts w:ascii="Times New Roman" w:hAnsi="Times New Roman" w:cs="Times New Roman"/>
          <w:sz w:val="24"/>
          <w:szCs w:val="24"/>
        </w:rPr>
        <w:t xml:space="preserve">        </w:t>
      </w:r>
      <w:r>
        <w:rPr>
          <w:rFonts w:ascii="Times New Roman" w:hAnsi="Times New Roman" w:cs="Times New Roman"/>
          <w:sz w:val="24"/>
          <w:szCs w:val="24"/>
        </w:rPr>
        <w:t xml:space="preserve">96 </w:t>
      </w:r>
      <w:r>
        <w:rPr>
          <w:rFonts w:ascii="Times New Roman" w:hAnsi="Times New Roman" w:cs="Times New Roman"/>
          <w:sz w:val="24"/>
          <w:szCs w:val="24"/>
        </w:rPr>
        <w:tab/>
        <w:t xml:space="preserve">        99</w:t>
      </w:r>
    </w:p>
    <w:p w14:paraId="17A4B2EE" w14:textId="633E4871"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150 </w:t>
      </w:r>
      <w:r>
        <w:rPr>
          <w:rFonts w:ascii="Times New Roman" w:hAnsi="Times New Roman" w:cs="Times New Roman"/>
          <w:sz w:val="24"/>
          <w:szCs w:val="24"/>
        </w:rPr>
        <w:tab/>
      </w:r>
      <w:r>
        <w:rPr>
          <w:rFonts w:ascii="Times New Roman" w:hAnsi="Times New Roman" w:cs="Times New Roman"/>
          <w:sz w:val="24"/>
          <w:szCs w:val="24"/>
        </w:rPr>
        <w:tab/>
        <w:t xml:space="preserve">108 </w:t>
      </w:r>
      <w:r>
        <w:rPr>
          <w:rFonts w:ascii="Times New Roman" w:hAnsi="Times New Roman" w:cs="Times New Roman"/>
          <w:sz w:val="24"/>
          <w:szCs w:val="24"/>
        </w:rPr>
        <w:tab/>
        <w:t xml:space="preserve">      132 </w:t>
      </w:r>
      <w:r>
        <w:rPr>
          <w:rFonts w:ascii="Times New Roman" w:hAnsi="Times New Roman" w:cs="Times New Roman"/>
          <w:sz w:val="24"/>
          <w:szCs w:val="24"/>
        </w:rPr>
        <w:tab/>
        <w:t xml:space="preserve">         141 </w:t>
      </w:r>
      <w:r>
        <w:rPr>
          <w:rFonts w:ascii="Times New Roman" w:hAnsi="Times New Roman" w:cs="Times New Roman"/>
          <w:sz w:val="24"/>
          <w:szCs w:val="24"/>
        </w:rPr>
        <w:tab/>
      </w:r>
      <w:r w:rsidR="00C0543E">
        <w:rPr>
          <w:rFonts w:ascii="Times New Roman" w:hAnsi="Times New Roman" w:cs="Times New Roman"/>
          <w:sz w:val="24"/>
          <w:szCs w:val="24"/>
        </w:rPr>
        <w:t xml:space="preserve">        </w:t>
      </w:r>
      <w:r>
        <w:rPr>
          <w:rFonts w:ascii="Times New Roman" w:hAnsi="Times New Roman" w:cs="Times New Roman"/>
          <w:sz w:val="24"/>
          <w:szCs w:val="24"/>
        </w:rPr>
        <w:t xml:space="preserve">148 </w:t>
      </w:r>
    </w:p>
    <w:p w14:paraId="24711DF8" w14:textId="684766BE"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200  </w:t>
      </w:r>
      <w:r>
        <w:rPr>
          <w:rFonts w:ascii="Times New Roman" w:hAnsi="Times New Roman" w:cs="Times New Roman"/>
          <w:sz w:val="24"/>
          <w:szCs w:val="24"/>
        </w:rPr>
        <w:tab/>
      </w:r>
      <w:r>
        <w:rPr>
          <w:rFonts w:ascii="Times New Roman" w:hAnsi="Times New Roman" w:cs="Times New Roman"/>
          <w:sz w:val="24"/>
          <w:szCs w:val="24"/>
        </w:rPr>
        <w:tab/>
        <w:t xml:space="preserve">132  </w:t>
      </w:r>
      <w:r>
        <w:rPr>
          <w:rFonts w:ascii="Times New Roman" w:hAnsi="Times New Roman" w:cs="Times New Roman"/>
          <w:sz w:val="24"/>
          <w:szCs w:val="24"/>
        </w:rPr>
        <w:tab/>
        <w:t xml:space="preserve">      168 </w:t>
      </w:r>
      <w:r>
        <w:rPr>
          <w:rFonts w:ascii="Times New Roman" w:hAnsi="Times New Roman" w:cs="Times New Roman"/>
          <w:sz w:val="24"/>
          <w:szCs w:val="24"/>
        </w:rPr>
        <w:tab/>
      </w:r>
      <w:r>
        <w:rPr>
          <w:rFonts w:ascii="Times New Roman" w:hAnsi="Times New Roman" w:cs="Times New Roman"/>
          <w:sz w:val="24"/>
          <w:szCs w:val="24"/>
        </w:rPr>
        <w:tab/>
        <w:t xml:space="preserve">   185 </w:t>
      </w:r>
      <w:r>
        <w:rPr>
          <w:rFonts w:ascii="Times New Roman" w:hAnsi="Times New Roman" w:cs="Times New Roman"/>
          <w:sz w:val="24"/>
          <w:szCs w:val="24"/>
        </w:rPr>
        <w:tab/>
        <w:t xml:space="preserve">196  </w:t>
      </w:r>
    </w:p>
    <w:p w14:paraId="22976DD7"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250 </w:t>
      </w:r>
      <w:r>
        <w:rPr>
          <w:rFonts w:ascii="Times New Roman" w:hAnsi="Times New Roman" w:cs="Times New Roman"/>
          <w:sz w:val="24"/>
          <w:szCs w:val="24"/>
        </w:rPr>
        <w:tab/>
      </w:r>
      <w:r>
        <w:rPr>
          <w:rFonts w:ascii="Times New Roman" w:hAnsi="Times New Roman" w:cs="Times New Roman"/>
          <w:sz w:val="24"/>
          <w:szCs w:val="24"/>
        </w:rPr>
        <w:tab/>
        <w:t xml:space="preserve">151 </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203 </w:t>
      </w:r>
      <w:r>
        <w:rPr>
          <w:rFonts w:ascii="Times New Roman" w:hAnsi="Times New Roman" w:cs="Times New Roman"/>
          <w:sz w:val="24"/>
          <w:szCs w:val="24"/>
        </w:rPr>
        <w:tab/>
      </w:r>
      <w:r>
        <w:rPr>
          <w:rFonts w:ascii="Times New Roman" w:hAnsi="Times New Roman" w:cs="Times New Roman"/>
          <w:sz w:val="24"/>
          <w:szCs w:val="24"/>
        </w:rPr>
        <w:tab/>
        <w:t xml:space="preserve">   226  </w:t>
      </w:r>
      <w:r>
        <w:rPr>
          <w:rFonts w:ascii="Times New Roman" w:hAnsi="Times New Roman" w:cs="Times New Roman"/>
          <w:sz w:val="24"/>
          <w:szCs w:val="24"/>
        </w:rPr>
        <w:tab/>
      </w:r>
      <w:r>
        <w:rPr>
          <w:rFonts w:ascii="Times New Roman" w:hAnsi="Times New Roman" w:cs="Times New Roman"/>
          <w:sz w:val="24"/>
          <w:szCs w:val="24"/>
        </w:rPr>
        <w:tab/>
        <w:t xml:space="preserve">244  </w:t>
      </w:r>
    </w:p>
    <w:p w14:paraId="265D942B"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300  </w:t>
      </w:r>
      <w:r>
        <w:rPr>
          <w:rFonts w:ascii="Times New Roman" w:hAnsi="Times New Roman" w:cs="Times New Roman"/>
          <w:sz w:val="24"/>
          <w:szCs w:val="24"/>
        </w:rPr>
        <w:tab/>
      </w:r>
      <w:r>
        <w:rPr>
          <w:rFonts w:ascii="Times New Roman" w:hAnsi="Times New Roman" w:cs="Times New Roman"/>
          <w:sz w:val="24"/>
          <w:szCs w:val="24"/>
        </w:rPr>
        <w:tab/>
        <w:t xml:space="preserve">168  </w:t>
      </w:r>
      <w:r>
        <w:rPr>
          <w:rFonts w:ascii="Times New Roman" w:hAnsi="Times New Roman" w:cs="Times New Roman"/>
          <w:sz w:val="24"/>
          <w:szCs w:val="24"/>
        </w:rPr>
        <w:tab/>
        <w:t xml:space="preserve">      234  </w:t>
      </w:r>
      <w:r>
        <w:rPr>
          <w:rFonts w:ascii="Times New Roman" w:hAnsi="Times New Roman" w:cs="Times New Roman"/>
          <w:sz w:val="24"/>
          <w:szCs w:val="24"/>
        </w:rPr>
        <w:tab/>
        <w:t xml:space="preserve">   267 </w:t>
      </w:r>
      <w:r>
        <w:rPr>
          <w:rFonts w:ascii="Times New Roman" w:hAnsi="Times New Roman" w:cs="Times New Roman"/>
          <w:sz w:val="24"/>
          <w:szCs w:val="24"/>
        </w:rPr>
        <w:tab/>
      </w:r>
      <w:r>
        <w:rPr>
          <w:rFonts w:ascii="Times New Roman" w:hAnsi="Times New Roman" w:cs="Times New Roman"/>
          <w:sz w:val="24"/>
          <w:szCs w:val="24"/>
        </w:rPr>
        <w:tab/>
        <w:t xml:space="preserve">291  </w:t>
      </w:r>
    </w:p>
    <w:p w14:paraId="6F09FEE6"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400  </w:t>
      </w:r>
      <w:r>
        <w:rPr>
          <w:rFonts w:ascii="Times New Roman" w:hAnsi="Times New Roman" w:cs="Times New Roman"/>
          <w:sz w:val="24"/>
          <w:szCs w:val="24"/>
        </w:rPr>
        <w:tab/>
      </w:r>
      <w:r>
        <w:rPr>
          <w:rFonts w:ascii="Times New Roman" w:hAnsi="Times New Roman" w:cs="Times New Roman"/>
          <w:sz w:val="24"/>
          <w:szCs w:val="24"/>
        </w:rPr>
        <w:tab/>
        <w:t xml:space="preserve">196 </w:t>
      </w:r>
      <w:r>
        <w:rPr>
          <w:rFonts w:ascii="Times New Roman" w:hAnsi="Times New Roman" w:cs="Times New Roman"/>
          <w:sz w:val="24"/>
          <w:szCs w:val="24"/>
        </w:rPr>
        <w:tab/>
        <w:t xml:space="preserve">      291 </w:t>
      </w:r>
      <w:r>
        <w:rPr>
          <w:rFonts w:ascii="Times New Roman" w:hAnsi="Times New Roman" w:cs="Times New Roman"/>
          <w:sz w:val="24"/>
          <w:szCs w:val="24"/>
        </w:rPr>
        <w:tab/>
      </w:r>
      <w:r>
        <w:rPr>
          <w:rFonts w:ascii="Times New Roman" w:hAnsi="Times New Roman" w:cs="Times New Roman"/>
          <w:sz w:val="24"/>
          <w:szCs w:val="24"/>
        </w:rPr>
        <w:tab/>
        <w:t xml:space="preserve">   343 </w:t>
      </w:r>
      <w:r>
        <w:rPr>
          <w:rFonts w:ascii="Times New Roman" w:hAnsi="Times New Roman" w:cs="Times New Roman"/>
          <w:sz w:val="24"/>
          <w:szCs w:val="24"/>
        </w:rPr>
        <w:tab/>
      </w:r>
      <w:r>
        <w:rPr>
          <w:rFonts w:ascii="Times New Roman" w:hAnsi="Times New Roman" w:cs="Times New Roman"/>
          <w:sz w:val="24"/>
          <w:szCs w:val="24"/>
        </w:rPr>
        <w:tab/>
        <w:t xml:space="preserve">384  </w:t>
      </w:r>
    </w:p>
    <w:p w14:paraId="6D84B01E"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500 </w:t>
      </w:r>
      <w:r>
        <w:rPr>
          <w:rFonts w:ascii="Times New Roman" w:hAnsi="Times New Roman" w:cs="Times New Roman"/>
          <w:sz w:val="24"/>
          <w:szCs w:val="24"/>
        </w:rPr>
        <w:tab/>
      </w:r>
      <w:r>
        <w:rPr>
          <w:rFonts w:ascii="Times New Roman" w:hAnsi="Times New Roman" w:cs="Times New Roman"/>
          <w:sz w:val="24"/>
          <w:szCs w:val="24"/>
        </w:rPr>
        <w:tab/>
        <w:t xml:space="preserve">217 </w:t>
      </w:r>
      <w:r>
        <w:rPr>
          <w:rFonts w:ascii="Times New Roman" w:hAnsi="Times New Roman" w:cs="Times New Roman"/>
          <w:sz w:val="24"/>
          <w:szCs w:val="24"/>
        </w:rPr>
        <w:tab/>
        <w:t xml:space="preserve">      340 </w:t>
      </w:r>
      <w:r>
        <w:rPr>
          <w:rFonts w:ascii="Times New Roman" w:hAnsi="Times New Roman" w:cs="Times New Roman"/>
          <w:sz w:val="24"/>
          <w:szCs w:val="24"/>
        </w:rPr>
        <w:tab/>
      </w:r>
      <w:r>
        <w:rPr>
          <w:rFonts w:ascii="Times New Roman" w:hAnsi="Times New Roman" w:cs="Times New Roman"/>
          <w:sz w:val="24"/>
          <w:szCs w:val="24"/>
        </w:rPr>
        <w:tab/>
        <w:t xml:space="preserve">   414 </w:t>
      </w:r>
      <w:r>
        <w:rPr>
          <w:rFonts w:ascii="Times New Roman" w:hAnsi="Times New Roman" w:cs="Times New Roman"/>
          <w:sz w:val="24"/>
          <w:szCs w:val="24"/>
        </w:rPr>
        <w:tab/>
      </w:r>
      <w:r>
        <w:rPr>
          <w:rFonts w:ascii="Times New Roman" w:hAnsi="Times New Roman" w:cs="Times New Roman"/>
          <w:sz w:val="24"/>
          <w:szCs w:val="24"/>
        </w:rPr>
        <w:tab/>
        <w:t xml:space="preserve">475 </w:t>
      </w:r>
    </w:p>
    <w:p w14:paraId="166564C3"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750  </w:t>
      </w:r>
      <w:r>
        <w:rPr>
          <w:rFonts w:ascii="Times New Roman" w:hAnsi="Times New Roman" w:cs="Times New Roman"/>
          <w:sz w:val="24"/>
          <w:szCs w:val="24"/>
        </w:rPr>
        <w:tab/>
      </w:r>
      <w:r>
        <w:rPr>
          <w:rFonts w:ascii="Times New Roman" w:hAnsi="Times New Roman" w:cs="Times New Roman"/>
          <w:sz w:val="24"/>
          <w:szCs w:val="24"/>
        </w:rPr>
        <w:tab/>
        <w:t>254</w:t>
      </w:r>
      <w:r>
        <w:rPr>
          <w:rFonts w:ascii="Times New Roman" w:hAnsi="Times New Roman" w:cs="Times New Roman"/>
          <w:color w:val="FF0000"/>
          <w:sz w:val="24"/>
          <w:szCs w:val="24"/>
        </w:rPr>
        <w:t xml:space="preserve">  </w:t>
      </w:r>
      <w:r>
        <w:rPr>
          <w:rFonts w:ascii="Times New Roman" w:hAnsi="Times New Roman" w:cs="Times New Roman"/>
          <w:sz w:val="24"/>
          <w:szCs w:val="24"/>
        </w:rPr>
        <w:tab/>
        <w:t xml:space="preserve">      440  </w:t>
      </w:r>
      <w:r>
        <w:rPr>
          <w:rFonts w:ascii="Times New Roman" w:hAnsi="Times New Roman" w:cs="Times New Roman"/>
          <w:sz w:val="24"/>
          <w:szCs w:val="24"/>
        </w:rPr>
        <w:tab/>
        <w:t xml:space="preserve">   571  </w:t>
      </w:r>
      <w:r>
        <w:rPr>
          <w:rFonts w:ascii="Times New Roman" w:hAnsi="Times New Roman" w:cs="Times New Roman"/>
          <w:sz w:val="24"/>
          <w:szCs w:val="24"/>
        </w:rPr>
        <w:tab/>
      </w:r>
      <w:r>
        <w:rPr>
          <w:rFonts w:ascii="Times New Roman" w:hAnsi="Times New Roman" w:cs="Times New Roman"/>
          <w:sz w:val="24"/>
          <w:szCs w:val="24"/>
        </w:rPr>
        <w:tab/>
        <w:t xml:space="preserve">696 </w:t>
      </w:r>
    </w:p>
    <w:p w14:paraId="4AD75C0A" w14:textId="77777777" w:rsidR="00B01D46" w:rsidRDefault="0067013E">
      <w:pPr>
        <w:spacing w:after="0" w:line="240" w:lineRule="auto"/>
        <w:ind w:left="567" w:right="65"/>
        <w:rPr>
          <w:rFonts w:ascii="Times New Roman" w:hAnsi="Times New Roman" w:cs="Times New Roman"/>
          <w:sz w:val="24"/>
          <w:szCs w:val="24"/>
        </w:rPr>
      </w:pPr>
      <w:r>
        <w:rPr>
          <w:rFonts w:ascii="Times New Roman" w:hAnsi="Times New Roman" w:cs="Times New Roman"/>
          <w:sz w:val="24"/>
          <w:szCs w:val="24"/>
        </w:rPr>
        <w:t xml:space="preserve">  1000  </w:t>
      </w:r>
      <w:r>
        <w:rPr>
          <w:rFonts w:ascii="Times New Roman" w:hAnsi="Times New Roman" w:cs="Times New Roman"/>
          <w:sz w:val="24"/>
          <w:szCs w:val="24"/>
        </w:rPr>
        <w:tab/>
      </w:r>
      <w:r>
        <w:rPr>
          <w:rFonts w:ascii="Times New Roman" w:hAnsi="Times New Roman" w:cs="Times New Roman"/>
          <w:sz w:val="24"/>
          <w:szCs w:val="24"/>
        </w:rPr>
        <w:tab/>
        <w:t xml:space="preserve">278  </w:t>
      </w:r>
      <w:r>
        <w:rPr>
          <w:rFonts w:ascii="Times New Roman" w:hAnsi="Times New Roman" w:cs="Times New Roman"/>
          <w:sz w:val="24"/>
          <w:szCs w:val="24"/>
        </w:rPr>
        <w:tab/>
        <w:t xml:space="preserve">      516  </w:t>
      </w:r>
      <w:r>
        <w:rPr>
          <w:rFonts w:ascii="Times New Roman" w:hAnsi="Times New Roman" w:cs="Times New Roman"/>
          <w:sz w:val="24"/>
          <w:szCs w:val="24"/>
        </w:rPr>
        <w:tab/>
        <w:t xml:space="preserve">   706 </w:t>
      </w:r>
      <w:r>
        <w:rPr>
          <w:rFonts w:ascii="Times New Roman" w:hAnsi="Times New Roman" w:cs="Times New Roman"/>
          <w:sz w:val="24"/>
          <w:szCs w:val="24"/>
        </w:rPr>
        <w:tab/>
      </w:r>
      <w:r>
        <w:rPr>
          <w:rFonts w:ascii="Times New Roman" w:hAnsi="Times New Roman" w:cs="Times New Roman"/>
          <w:sz w:val="24"/>
          <w:szCs w:val="24"/>
        </w:rPr>
        <w:tab/>
        <w:t xml:space="preserve">906  </w:t>
      </w:r>
    </w:p>
    <w:p w14:paraId="42F2C53F" w14:textId="4D0AA1A1" w:rsidR="00B01D46" w:rsidRDefault="0067013E">
      <w:pPr>
        <w:spacing w:after="0" w:line="240" w:lineRule="auto"/>
        <w:ind w:left="741" w:right="65" w:hanging="32"/>
        <w:rPr>
          <w:rFonts w:ascii="Times New Roman" w:hAnsi="Times New Roman" w:cs="Times New Roman"/>
          <w:sz w:val="24"/>
          <w:szCs w:val="24"/>
        </w:rPr>
      </w:pPr>
      <w:r>
        <w:rPr>
          <w:rFonts w:ascii="Times New Roman" w:hAnsi="Times New Roman" w:cs="Times New Roman"/>
          <w:sz w:val="24"/>
          <w:szCs w:val="24"/>
        </w:rPr>
        <w:t>2000</w:t>
      </w:r>
      <w:r>
        <w:rPr>
          <w:rFonts w:ascii="Times New Roman" w:hAnsi="Times New Roman" w:cs="Times New Roman"/>
          <w:sz w:val="24"/>
          <w:szCs w:val="24"/>
        </w:rPr>
        <w:tab/>
        <w:t xml:space="preserve">            322  </w:t>
      </w:r>
      <w:r>
        <w:rPr>
          <w:rFonts w:ascii="Times New Roman" w:hAnsi="Times New Roman" w:cs="Times New Roman"/>
          <w:sz w:val="24"/>
          <w:szCs w:val="24"/>
        </w:rPr>
        <w:tab/>
        <w:t xml:space="preserve">      696  </w:t>
      </w:r>
      <w:r>
        <w:rPr>
          <w:rFonts w:ascii="Times New Roman" w:hAnsi="Times New Roman" w:cs="Times New Roman"/>
          <w:sz w:val="24"/>
          <w:szCs w:val="24"/>
        </w:rPr>
        <w:tab/>
        <w:t xml:space="preserve"> 1091  </w:t>
      </w:r>
      <w:r>
        <w:rPr>
          <w:rFonts w:ascii="Times New Roman" w:hAnsi="Times New Roman" w:cs="Times New Roman"/>
          <w:sz w:val="24"/>
          <w:szCs w:val="24"/>
        </w:rPr>
        <w:tab/>
      </w:r>
      <w:r>
        <w:rPr>
          <w:rFonts w:ascii="Times New Roman" w:hAnsi="Times New Roman" w:cs="Times New Roman"/>
          <w:sz w:val="24"/>
          <w:szCs w:val="24"/>
        </w:rPr>
        <w:tab/>
        <w:t xml:space="preserve">1655  </w:t>
      </w:r>
    </w:p>
    <w:p w14:paraId="7685E504" w14:textId="49D91DCB"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5 000  </w:t>
      </w:r>
      <w:r>
        <w:rPr>
          <w:rFonts w:ascii="Times New Roman" w:hAnsi="Times New Roman" w:cs="Times New Roman"/>
          <w:sz w:val="24"/>
          <w:szCs w:val="24"/>
        </w:rPr>
        <w:tab/>
        <w:t xml:space="preserve">357 </w:t>
      </w:r>
      <w:r>
        <w:rPr>
          <w:rFonts w:ascii="Times New Roman" w:hAnsi="Times New Roman" w:cs="Times New Roman"/>
          <w:sz w:val="24"/>
          <w:szCs w:val="24"/>
        </w:rPr>
        <w:tab/>
        <w:t xml:space="preserve">      879  </w:t>
      </w:r>
      <w:r>
        <w:rPr>
          <w:rFonts w:ascii="Times New Roman" w:hAnsi="Times New Roman" w:cs="Times New Roman"/>
          <w:sz w:val="24"/>
          <w:szCs w:val="24"/>
        </w:rPr>
        <w:tab/>
        <w:t xml:space="preserve"> 1622  </w:t>
      </w:r>
      <w:r>
        <w:rPr>
          <w:rFonts w:ascii="Times New Roman" w:hAnsi="Times New Roman" w:cs="Times New Roman"/>
          <w:sz w:val="24"/>
          <w:szCs w:val="24"/>
        </w:rPr>
        <w:tab/>
      </w:r>
      <w:r>
        <w:rPr>
          <w:rFonts w:ascii="Times New Roman" w:hAnsi="Times New Roman" w:cs="Times New Roman"/>
          <w:sz w:val="24"/>
          <w:szCs w:val="24"/>
        </w:rPr>
        <w:tab/>
        <w:t xml:space="preserve">3288 </w:t>
      </w:r>
    </w:p>
    <w:p w14:paraId="09AFB036" w14:textId="173AFD0D"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10 000  </w:t>
      </w:r>
      <w:r>
        <w:rPr>
          <w:rFonts w:ascii="Times New Roman" w:hAnsi="Times New Roman" w:cs="Times New Roman"/>
          <w:sz w:val="24"/>
          <w:szCs w:val="24"/>
        </w:rPr>
        <w:tab/>
        <w:t xml:space="preserve">370 </w:t>
      </w:r>
      <w:r>
        <w:rPr>
          <w:rFonts w:ascii="Times New Roman" w:hAnsi="Times New Roman" w:cs="Times New Roman"/>
          <w:sz w:val="24"/>
          <w:szCs w:val="24"/>
        </w:rPr>
        <w:tab/>
        <w:t xml:space="preserve">      964  </w:t>
      </w:r>
      <w:r>
        <w:rPr>
          <w:rFonts w:ascii="Times New Roman" w:hAnsi="Times New Roman" w:cs="Times New Roman"/>
          <w:sz w:val="24"/>
          <w:szCs w:val="24"/>
        </w:rPr>
        <w:tab/>
        <w:t xml:space="preserve"> 1936 </w:t>
      </w:r>
      <w:r>
        <w:rPr>
          <w:rFonts w:ascii="Times New Roman" w:hAnsi="Times New Roman" w:cs="Times New Roman"/>
          <w:sz w:val="24"/>
          <w:szCs w:val="24"/>
        </w:rPr>
        <w:tab/>
      </w:r>
      <w:r>
        <w:rPr>
          <w:rFonts w:ascii="Times New Roman" w:hAnsi="Times New Roman" w:cs="Times New Roman"/>
          <w:sz w:val="24"/>
          <w:szCs w:val="24"/>
        </w:rPr>
        <w:tab/>
        <w:t xml:space="preserve">4899  </w:t>
      </w:r>
    </w:p>
    <w:p w14:paraId="3407AE82" w14:textId="537087AB"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100 000  </w:t>
      </w:r>
      <w:r>
        <w:rPr>
          <w:rFonts w:ascii="Times New Roman" w:hAnsi="Times New Roman" w:cs="Times New Roman"/>
          <w:sz w:val="24"/>
          <w:szCs w:val="24"/>
        </w:rPr>
        <w:tab/>
        <w:t xml:space="preserve">383  </w:t>
      </w:r>
      <w:r>
        <w:rPr>
          <w:rFonts w:ascii="Times New Roman" w:hAnsi="Times New Roman" w:cs="Times New Roman"/>
          <w:sz w:val="24"/>
          <w:szCs w:val="24"/>
        </w:rPr>
        <w:tab/>
        <w:t xml:space="preserve">    1056  </w:t>
      </w:r>
      <w:r>
        <w:rPr>
          <w:rFonts w:ascii="Times New Roman" w:hAnsi="Times New Roman" w:cs="Times New Roman"/>
          <w:sz w:val="24"/>
          <w:szCs w:val="24"/>
        </w:rPr>
        <w:tab/>
        <w:t xml:space="preserve"> 2345 </w:t>
      </w:r>
      <w:r>
        <w:rPr>
          <w:rFonts w:ascii="Times New Roman" w:hAnsi="Times New Roman" w:cs="Times New Roman"/>
          <w:sz w:val="24"/>
          <w:szCs w:val="24"/>
        </w:rPr>
        <w:tab/>
      </w:r>
      <w:r>
        <w:rPr>
          <w:rFonts w:ascii="Times New Roman" w:hAnsi="Times New Roman" w:cs="Times New Roman"/>
          <w:sz w:val="24"/>
          <w:szCs w:val="24"/>
        </w:rPr>
        <w:tab/>
        <w:t xml:space="preserve">8762  </w:t>
      </w:r>
    </w:p>
    <w:p w14:paraId="25BE6F1F" w14:textId="1F118E0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 xml:space="preserve">        1 000 000  </w:t>
      </w:r>
      <w:r>
        <w:rPr>
          <w:rFonts w:ascii="Times New Roman" w:hAnsi="Times New Roman" w:cs="Times New Roman"/>
          <w:sz w:val="24"/>
          <w:szCs w:val="24"/>
        </w:rPr>
        <w:tab/>
        <w:t xml:space="preserve">84  </w:t>
      </w:r>
      <w:r>
        <w:rPr>
          <w:rFonts w:ascii="Times New Roman" w:hAnsi="Times New Roman" w:cs="Times New Roman"/>
          <w:sz w:val="24"/>
          <w:szCs w:val="24"/>
        </w:rPr>
        <w:tab/>
        <w:t xml:space="preserve">    1066  </w:t>
      </w:r>
      <w:r>
        <w:rPr>
          <w:rFonts w:ascii="Times New Roman" w:hAnsi="Times New Roman" w:cs="Times New Roman"/>
          <w:sz w:val="24"/>
          <w:szCs w:val="24"/>
        </w:rPr>
        <w:tab/>
        <w:t xml:space="preserve"> 2395  </w:t>
      </w:r>
      <w:r>
        <w:rPr>
          <w:rFonts w:ascii="Times New Roman" w:hAnsi="Times New Roman" w:cs="Times New Roman"/>
          <w:sz w:val="24"/>
          <w:szCs w:val="24"/>
        </w:rPr>
        <w:tab/>
      </w:r>
      <w:r>
        <w:rPr>
          <w:rFonts w:ascii="Times New Roman" w:hAnsi="Times New Roman" w:cs="Times New Roman"/>
          <w:sz w:val="24"/>
          <w:szCs w:val="24"/>
        </w:rPr>
        <w:tab/>
        <w:t xml:space="preserve">9513 </w:t>
      </w:r>
    </w:p>
    <w:p w14:paraId="15B9AD17" w14:textId="7F827363"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u w:val="single" w:color="000000"/>
        </w:rPr>
        <w:t xml:space="preserve">      10 000 000 </w:t>
      </w:r>
      <w:r>
        <w:rPr>
          <w:rFonts w:ascii="Times New Roman" w:hAnsi="Times New Roman" w:cs="Times New Roman"/>
          <w:sz w:val="24"/>
          <w:szCs w:val="24"/>
          <w:u w:val="single" w:color="000000"/>
        </w:rPr>
        <w:tab/>
        <w:t xml:space="preserve"> 384 </w:t>
      </w:r>
      <w:r>
        <w:rPr>
          <w:rFonts w:ascii="Times New Roman" w:hAnsi="Times New Roman" w:cs="Times New Roman"/>
          <w:sz w:val="24"/>
          <w:szCs w:val="24"/>
          <w:u w:val="single" w:color="000000"/>
        </w:rPr>
        <w:tab/>
        <w:t xml:space="preserve">    1067  </w:t>
      </w:r>
      <w:r>
        <w:rPr>
          <w:rFonts w:ascii="Times New Roman" w:hAnsi="Times New Roman" w:cs="Times New Roman"/>
          <w:sz w:val="24"/>
          <w:szCs w:val="24"/>
          <w:u w:val="single" w:color="000000"/>
        </w:rPr>
        <w:tab/>
        <w:t xml:space="preserve"> 2400  </w:t>
      </w:r>
      <w:r>
        <w:rPr>
          <w:rFonts w:ascii="Times New Roman" w:hAnsi="Times New Roman" w:cs="Times New Roman"/>
          <w:sz w:val="24"/>
          <w:szCs w:val="24"/>
          <w:u w:val="single" w:color="000000"/>
        </w:rPr>
        <w:tab/>
      </w:r>
      <w:r>
        <w:rPr>
          <w:rFonts w:ascii="Times New Roman" w:hAnsi="Times New Roman" w:cs="Times New Roman"/>
          <w:sz w:val="24"/>
          <w:szCs w:val="24"/>
          <w:u w:val="single" w:color="000000"/>
        </w:rPr>
        <w:tab/>
        <w:t>9595</w:t>
      </w:r>
    </w:p>
    <w:p w14:paraId="0F320102" w14:textId="77777777" w:rsidR="00B01D46" w:rsidRDefault="0067013E">
      <w:pPr>
        <w:spacing w:before="120" w:after="0" w:line="480" w:lineRule="auto"/>
        <w:ind w:right="65"/>
        <w:jc w:val="both"/>
        <w:rPr>
          <w:rFonts w:ascii="Times New Roman" w:hAnsi="Times New Roman" w:cs="Times New Roman"/>
          <w:b/>
          <w:sz w:val="24"/>
          <w:szCs w:val="24"/>
        </w:rPr>
      </w:pPr>
      <w:r>
        <w:rPr>
          <w:rFonts w:ascii="Times New Roman" w:hAnsi="Times New Roman" w:cs="Times New Roman"/>
          <w:b/>
          <w:sz w:val="24"/>
          <w:szCs w:val="24"/>
        </w:rPr>
        <w:t xml:space="preserve">Source: </w:t>
      </w:r>
      <w:r>
        <w:rPr>
          <w:rFonts w:ascii="Times New Roman" w:hAnsi="Times New Roman" w:cs="Times New Roman"/>
          <w:b/>
          <w:i/>
          <w:sz w:val="24"/>
          <w:szCs w:val="24"/>
        </w:rPr>
        <w:t>Saunders, et al, 2012</w:t>
      </w:r>
    </w:p>
    <w:p w14:paraId="0C5D5F4E" w14:textId="7564EE3A"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To attain a sample size for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year nursing,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year dentistry and 6th year medicine students respectively, Saunders, Lewis </w:t>
      </w:r>
      <w:r w:rsidR="00211A6A">
        <w:rPr>
          <w:rFonts w:ascii="Times New Roman" w:hAnsi="Times New Roman" w:cs="Times New Roman"/>
          <w:sz w:val="24"/>
          <w:szCs w:val="24"/>
        </w:rPr>
        <w:t>&amp;</w:t>
      </w:r>
      <w:r>
        <w:rPr>
          <w:rFonts w:ascii="Times New Roman" w:hAnsi="Times New Roman" w:cs="Times New Roman"/>
          <w:sz w:val="24"/>
          <w:szCs w:val="24"/>
        </w:rPr>
        <w:t xml:space="preserve"> Thornhill (2012) table of selecting sample </w:t>
      </w:r>
      <w:r>
        <w:rPr>
          <w:rFonts w:ascii="Times New Roman" w:hAnsi="Times New Roman" w:cs="Times New Roman"/>
          <w:sz w:val="24"/>
          <w:szCs w:val="24"/>
        </w:rPr>
        <w:lastRenderedPageBreak/>
        <w:t xml:space="preserve">sizes as shown above in table 4.2 was used. According to Saunders, Lewis </w:t>
      </w:r>
      <w:r w:rsidR="00211A6A">
        <w:rPr>
          <w:rFonts w:ascii="Times New Roman" w:hAnsi="Times New Roman" w:cs="Times New Roman"/>
          <w:sz w:val="24"/>
          <w:szCs w:val="24"/>
        </w:rPr>
        <w:t>&amp;</w:t>
      </w:r>
      <w:r>
        <w:rPr>
          <w:rFonts w:ascii="Times New Roman" w:hAnsi="Times New Roman" w:cs="Times New Roman"/>
          <w:sz w:val="24"/>
          <w:szCs w:val="24"/>
        </w:rPr>
        <w:t xml:space="preserve"> Thornhill (2012), Simple random selection is desirable since it gives all respondents an equal opportunity to take part in the investigation. The target population is 397</w:t>
      </w:r>
    </w:p>
    <w:p w14:paraId="751DE1F0"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average of 267 and 343 will be taken because 397 lie between the 300 and 400:  </w:t>
      </w:r>
    </w:p>
    <w:p w14:paraId="1671B3A5" w14:textId="77777777" w:rsidR="00B01D46" w:rsidRDefault="0067013E">
      <w:pPr>
        <w:pStyle w:val="ListParagraph"/>
        <w:spacing w:before="120" w:after="0" w:line="240" w:lineRule="auto"/>
        <w:ind w:left="0" w:right="65" w:firstLine="0"/>
        <w:contextualSpacing w:val="0"/>
        <w:rPr>
          <w:szCs w:val="24"/>
        </w:rPr>
      </w:pPr>
      <w:r>
        <w:rPr>
          <w:szCs w:val="24"/>
        </w:rPr>
        <w:t>267+343 = 610/2     = 305</w:t>
      </w:r>
    </w:p>
    <w:p w14:paraId="2305735F" w14:textId="77777777" w:rsidR="00B01D46" w:rsidRDefault="0067013E">
      <w:pPr>
        <w:spacing w:before="120" w:after="0" w:line="240" w:lineRule="auto"/>
        <w:ind w:right="65" w:firstLine="720"/>
        <w:rPr>
          <w:rFonts w:ascii="Times New Roman" w:hAnsi="Times New Roman" w:cs="Times New Roman"/>
          <w:sz w:val="24"/>
          <w:szCs w:val="24"/>
        </w:rPr>
      </w:pPr>
      <w:r>
        <w:rPr>
          <w:rFonts w:ascii="Times New Roman" w:hAnsi="Times New Roman" w:cs="Times New Roman"/>
          <w:sz w:val="24"/>
          <w:szCs w:val="24"/>
        </w:rPr>
        <w:t xml:space="preserve">  </w:t>
      </w:r>
    </w:p>
    <w:p w14:paraId="2327C05B" w14:textId="77777777" w:rsidR="00B01D46" w:rsidRDefault="0067013E">
      <w:pPr>
        <w:spacing w:before="120" w:after="0" w:line="480" w:lineRule="auto"/>
        <w:ind w:right="65"/>
        <w:rPr>
          <w:rFonts w:ascii="Times New Roman" w:hAnsi="Times New Roman" w:cs="Times New Roman"/>
          <w:sz w:val="24"/>
          <w:szCs w:val="24"/>
        </w:rPr>
      </w:pPr>
      <w:r>
        <w:rPr>
          <w:rFonts w:ascii="Times New Roman" w:hAnsi="Times New Roman" w:cs="Times New Roman"/>
          <w:sz w:val="24"/>
          <w:szCs w:val="24"/>
        </w:rPr>
        <w:t>The distribution of the sample sizes in each department is indicated in table 4.6 using this formula</w:t>
      </w:r>
    </w:p>
    <w:p w14:paraId="470B296B" w14:textId="77777777" w:rsidR="00B01D46" w:rsidRDefault="0067013E">
      <w:pPr>
        <w:spacing w:before="120" w:after="0" w:line="240" w:lineRule="auto"/>
        <w:ind w:right="65"/>
        <w:jc w:val="center"/>
        <w:rPr>
          <w:rFonts w:ascii="Times New Roman" w:hAnsi="Times New Roman" w:cs="Times New Roman"/>
          <w:b/>
          <w:bCs/>
          <w:sz w:val="24"/>
          <w:szCs w:val="24"/>
        </w:rPr>
      </w:pPr>
      <w:r>
        <w:rPr>
          <w:rFonts w:ascii="Times New Roman" w:hAnsi="Times New Roman" w:cs="Times New Roman"/>
          <w:b/>
          <w:bCs/>
          <w:sz w:val="24"/>
          <w:szCs w:val="24"/>
        </w:rPr>
        <w:t xml:space="preserve">DENTAL SCIENCES = </w:t>
      </w:r>
      <w:r>
        <w:rPr>
          <w:rFonts w:ascii="Times New Roman" w:hAnsi="Times New Roman" w:cs="Times New Roman"/>
          <w:b/>
          <w:bCs/>
          <w:sz w:val="24"/>
          <w:szCs w:val="24"/>
          <w:u w:val="single"/>
        </w:rPr>
        <w:t>DENTAL SCIENCES POPULATION * SAMPLE SIZE</w:t>
      </w:r>
      <w:r>
        <w:rPr>
          <w:rFonts w:ascii="Times New Roman" w:hAnsi="Times New Roman" w:cs="Times New Roman"/>
          <w:b/>
          <w:bCs/>
          <w:sz w:val="24"/>
          <w:szCs w:val="24"/>
        </w:rPr>
        <w:t xml:space="preserve"> {at 2% error margin}</w:t>
      </w:r>
    </w:p>
    <w:p w14:paraId="1240B6DB" w14:textId="77777777" w:rsidR="00B01D46" w:rsidRDefault="0067013E">
      <w:pPr>
        <w:spacing w:before="120" w:after="0" w:line="240" w:lineRule="auto"/>
        <w:ind w:right="65"/>
        <w:jc w:val="center"/>
        <w:rPr>
          <w:rFonts w:ascii="Times New Roman" w:hAnsi="Times New Roman" w:cs="Times New Roman"/>
          <w:b/>
          <w:bCs/>
          <w:sz w:val="24"/>
          <w:szCs w:val="24"/>
        </w:rPr>
      </w:pPr>
      <w:r>
        <w:rPr>
          <w:rFonts w:ascii="Times New Roman" w:hAnsi="Times New Roman" w:cs="Times New Roman"/>
          <w:b/>
          <w:bCs/>
          <w:sz w:val="24"/>
          <w:szCs w:val="24"/>
        </w:rPr>
        <w:t>TOTAL POPULATION</w:t>
      </w:r>
    </w:p>
    <w:p w14:paraId="57B39FE3" w14:textId="77777777" w:rsidR="00B01D46" w:rsidRDefault="00B01D46">
      <w:pPr>
        <w:spacing w:before="120" w:after="0" w:line="240" w:lineRule="auto"/>
        <w:ind w:right="65"/>
        <w:jc w:val="center"/>
        <w:rPr>
          <w:rFonts w:ascii="Times New Roman" w:hAnsi="Times New Roman" w:cs="Times New Roman"/>
          <w:b/>
          <w:bCs/>
          <w:sz w:val="24"/>
          <w:szCs w:val="24"/>
          <w:u w:val="single"/>
        </w:rPr>
      </w:pPr>
    </w:p>
    <w:p w14:paraId="2109A760" w14:textId="77777777" w:rsidR="00B01D46" w:rsidRDefault="0067013E">
      <w:pPr>
        <w:spacing w:before="120" w:after="0" w:line="240" w:lineRule="auto"/>
        <w:ind w:right="65"/>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38*305   </w:t>
      </w:r>
      <w:r>
        <w:rPr>
          <w:rFonts w:ascii="Times New Roman" w:hAnsi="Times New Roman" w:cs="Times New Roman"/>
          <w:b/>
          <w:bCs/>
          <w:sz w:val="24"/>
          <w:szCs w:val="24"/>
        </w:rPr>
        <w:t>= 29 (DENTAL sample size)</w:t>
      </w:r>
    </w:p>
    <w:p w14:paraId="0A66D489" w14:textId="5F57377D" w:rsidR="00B01D46" w:rsidRDefault="0067013E">
      <w:pPr>
        <w:spacing w:before="120" w:after="0" w:line="240" w:lineRule="auto"/>
        <w:ind w:right="65"/>
        <w:rPr>
          <w:rFonts w:ascii="Times New Roman" w:hAnsi="Times New Roman" w:cs="Times New Roman"/>
          <w:b/>
          <w:bCs/>
          <w:sz w:val="24"/>
          <w:szCs w:val="24"/>
        </w:rPr>
      </w:pPr>
      <w:r>
        <w:rPr>
          <w:rFonts w:ascii="Times New Roman" w:hAnsi="Times New Roman" w:cs="Times New Roman"/>
          <w:b/>
          <w:bCs/>
          <w:sz w:val="24"/>
          <w:szCs w:val="24"/>
        </w:rPr>
        <w:t xml:space="preserve">                                      397</w:t>
      </w:r>
    </w:p>
    <w:p w14:paraId="25F44A43" w14:textId="77777777" w:rsidR="00B01D46" w:rsidRDefault="00B01D46">
      <w:pPr>
        <w:spacing w:before="120" w:after="0" w:line="240" w:lineRule="auto"/>
        <w:ind w:right="65"/>
        <w:rPr>
          <w:rFonts w:ascii="Times New Roman" w:hAnsi="Times New Roman" w:cs="Times New Roman"/>
          <w:b/>
          <w:bCs/>
          <w:sz w:val="24"/>
          <w:szCs w:val="24"/>
        </w:rPr>
      </w:pPr>
    </w:p>
    <w:p w14:paraId="27D1B28D" w14:textId="77777777" w:rsidR="00B01D46" w:rsidRPr="00FB6D67" w:rsidRDefault="0067013E">
      <w:pPr>
        <w:pStyle w:val="Caption"/>
      </w:pPr>
      <w:bookmarkStart w:id="941" w:name="_Toc184271985"/>
      <w:bookmarkStart w:id="942" w:name="_Toc184276895"/>
      <w:bookmarkStart w:id="943" w:name="_Toc165973076"/>
      <w:bookmarkStart w:id="944" w:name="_Toc165363402"/>
      <w:bookmarkStart w:id="945" w:name="_Toc165975797"/>
      <w:bookmarkStart w:id="946" w:name="_Toc165365176"/>
      <w:bookmarkStart w:id="947" w:name="_Toc165898028"/>
      <w:r w:rsidRPr="00FB6D67">
        <w:t>Table 4.6: Sample Size of Undergraduate Students (6</w:t>
      </w:r>
      <w:r w:rsidRPr="00FB6D67">
        <w:rPr>
          <w:vertAlign w:val="superscript"/>
        </w:rPr>
        <w:t>th</w:t>
      </w:r>
      <w:r w:rsidRPr="00FB6D67">
        <w:t xml:space="preserve"> year Medicine, 4</w:t>
      </w:r>
      <w:r w:rsidRPr="00FB6D67">
        <w:rPr>
          <w:vertAlign w:val="superscript"/>
        </w:rPr>
        <w:t>th</w:t>
      </w:r>
      <w:r w:rsidRPr="00FB6D67">
        <w:t xml:space="preserve"> year Dentistry and 5</w:t>
      </w:r>
      <w:r w:rsidRPr="00FB6D67">
        <w:rPr>
          <w:vertAlign w:val="superscript"/>
        </w:rPr>
        <w:t>th</w:t>
      </w:r>
      <w:r w:rsidRPr="00FB6D67">
        <w:t xml:space="preserve"> year Nursing) University of Nairobi (UON) and Moi University (MU)</w:t>
      </w:r>
      <w:bookmarkEnd w:id="941"/>
      <w:bookmarkEnd w:id="942"/>
      <w:bookmarkEnd w:id="943"/>
      <w:bookmarkEnd w:id="944"/>
      <w:bookmarkEnd w:id="945"/>
      <w:bookmarkEnd w:id="946"/>
      <w:bookmarkEnd w:id="947"/>
      <w:r w:rsidRPr="00FB6D67">
        <w:t xml:space="preserve"> </w:t>
      </w:r>
    </w:p>
    <w:tbl>
      <w:tblPr>
        <w:tblStyle w:val="TableGrid"/>
        <w:tblW w:w="813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39"/>
        <w:gridCol w:w="2323"/>
        <w:gridCol w:w="1885"/>
        <w:gridCol w:w="1885"/>
      </w:tblGrid>
      <w:tr w:rsidR="00B01D46" w14:paraId="10B5BC1B" w14:textId="77777777">
        <w:trPr>
          <w:trHeight w:val="251"/>
        </w:trPr>
        <w:tc>
          <w:tcPr>
            <w:tcW w:w="2039" w:type="dxa"/>
            <w:tcBorders>
              <w:top w:val="single" w:sz="4" w:space="0" w:color="auto"/>
              <w:bottom w:val="single" w:sz="4" w:space="0" w:color="auto"/>
            </w:tcBorders>
          </w:tcPr>
          <w:p w14:paraId="32BB8644" w14:textId="77777777" w:rsidR="00B01D46" w:rsidRDefault="0067013E">
            <w:pPr>
              <w:spacing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INSTITUTION</w:t>
            </w:r>
          </w:p>
        </w:tc>
        <w:tc>
          <w:tcPr>
            <w:tcW w:w="2323" w:type="dxa"/>
            <w:tcBorders>
              <w:top w:val="single" w:sz="4" w:space="0" w:color="auto"/>
              <w:bottom w:val="single" w:sz="4" w:space="0" w:color="auto"/>
            </w:tcBorders>
          </w:tcPr>
          <w:p w14:paraId="5F1ABDA3" w14:textId="77777777" w:rsidR="00B01D46" w:rsidRDefault="00B01D46">
            <w:pPr>
              <w:spacing w:after="0" w:line="240" w:lineRule="auto"/>
              <w:ind w:right="65"/>
              <w:jc w:val="center"/>
              <w:rPr>
                <w:rFonts w:ascii="Times New Roman" w:hAnsi="Times New Roman" w:cs="Times New Roman"/>
                <w:b/>
                <w:sz w:val="24"/>
                <w:szCs w:val="24"/>
              </w:rPr>
            </w:pPr>
          </w:p>
        </w:tc>
        <w:tc>
          <w:tcPr>
            <w:tcW w:w="1885" w:type="dxa"/>
            <w:tcBorders>
              <w:top w:val="single" w:sz="4" w:space="0" w:color="auto"/>
              <w:bottom w:val="single" w:sz="4" w:space="0" w:color="auto"/>
            </w:tcBorders>
          </w:tcPr>
          <w:p w14:paraId="1FE9F560" w14:textId="77777777" w:rsidR="00B01D46" w:rsidRDefault="0067013E">
            <w:pPr>
              <w:spacing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Total population</w:t>
            </w:r>
          </w:p>
        </w:tc>
        <w:tc>
          <w:tcPr>
            <w:tcW w:w="1885" w:type="dxa"/>
            <w:tcBorders>
              <w:top w:val="single" w:sz="4" w:space="0" w:color="auto"/>
              <w:bottom w:val="single" w:sz="4" w:space="0" w:color="auto"/>
            </w:tcBorders>
          </w:tcPr>
          <w:p w14:paraId="6D773193" w14:textId="77777777" w:rsidR="00B01D46" w:rsidRDefault="0067013E">
            <w:pPr>
              <w:spacing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Sample size</w:t>
            </w:r>
          </w:p>
        </w:tc>
      </w:tr>
      <w:tr w:rsidR="00B01D46" w14:paraId="3F9105F8" w14:textId="77777777">
        <w:trPr>
          <w:trHeight w:val="502"/>
        </w:trPr>
        <w:tc>
          <w:tcPr>
            <w:tcW w:w="2039" w:type="dxa"/>
            <w:tcBorders>
              <w:top w:val="single" w:sz="4" w:space="0" w:color="auto"/>
            </w:tcBorders>
          </w:tcPr>
          <w:p w14:paraId="26FE1A46"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UON</w:t>
            </w:r>
          </w:p>
        </w:tc>
        <w:tc>
          <w:tcPr>
            <w:tcW w:w="2323" w:type="dxa"/>
            <w:tcBorders>
              <w:top w:val="single" w:sz="4" w:space="0" w:color="auto"/>
            </w:tcBorders>
          </w:tcPr>
          <w:p w14:paraId="7D42A753"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Clinical medicine and therapeutics</w:t>
            </w:r>
          </w:p>
        </w:tc>
        <w:tc>
          <w:tcPr>
            <w:tcW w:w="1885" w:type="dxa"/>
            <w:tcBorders>
              <w:top w:val="single" w:sz="4" w:space="0" w:color="auto"/>
            </w:tcBorders>
          </w:tcPr>
          <w:p w14:paraId="011A0854"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110</w:t>
            </w:r>
          </w:p>
        </w:tc>
        <w:tc>
          <w:tcPr>
            <w:tcW w:w="1885" w:type="dxa"/>
            <w:tcBorders>
              <w:top w:val="single" w:sz="4" w:space="0" w:color="auto"/>
            </w:tcBorders>
          </w:tcPr>
          <w:p w14:paraId="5EBE24A7"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85</w:t>
            </w:r>
          </w:p>
        </w:tc>
      </w:tr>
      <w:tr w:rsidR="00B01D46" w14:paraId="37AD6604" w14:textId="77777777">
        <w:trPr>
          <w:trHeight w:val="251"/>
        </w:trPr>
        <w:tc>
          <w:tcPr>
            <w:tcW w:w="2039" w:type="dxa"/>
          </w:tcPr>
          <w:p w14:paraId="399EBE3B" w14:textId="77777777" w:rsidR="00B01D46" w:rsidRDefault="00B01D46">
            <w:pPr>
              <w:spacing w:after="0" w:line="240" w:lineRule="auto"/>
              <w:ind w:right="65"/>
              <w:jc w:val="both"/>
              <w:rPr>
                <w:rFonts w:ascii="Times New Roman" w:hAnsi="Times New Roman" w:cs="Times New Roman"/>
                <w:b/>
                <w:sz w:val="24"/>
                <w:szCs w:val="24"/>
              </w:rPr>
            </w:pPr>
          </w:p>
        </w:tc>
        <w:tc>
          <w:tcPr>
            <w:tcW w:w="2323" w:type="dxa"/>
          </w:tcPr>
          <w:p w14:paraId="19F4ADAF"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Dental Sciences</w:t>
            </w:r>
          </w:p>
        </w:tc>
        <w:tc>
          <w:tcPr>
            <w:tcW w:w="1885" w:type="dxa"/>
          </w:tcPr>
          <w:p w14:paraId="5AB7DAA7"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38</w:t>
            </w:r>
          </w:p>
        </w:tc>
        <w:tc>
          <w:tcPr>
            <w:tcW w:w="1885" w:type="dxa"/>
          </w:tcPr>
          <w:p w14:paraId="5A4C2ED4"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29</w:t>
            </w:r>
          </w:p>
        </w:tc>
      </w:tr>
      <w:tr w:rsidR="00B01D46" w14:paraId="3E783153" w14:textId="77777777">
        <w:trPr>
          <w:trHeight w:val="251"/>
        </w:trPr>
        <w:tc>
          <w:tcPr>
            <w:tcW w:w="2039" w:type="dxa"/>
          </w:tcPr>
          <w:p w14:paraId="122F699E" w14:textId="77777777" w:rsidR="00B01D46" w:rsidRDefault="00B01D46">
            <w:pPr>
              <w:spacing w:after="0" w:line="240" w:lineRule="auto"/>
              <w:ind w:right="65"/>
              <w:jc w:val="both"/>
              <w:rPr>
                <w:rFonts w:ascii="Times New Roman" w:hAnsi="Times New Roman" w:cs="Times New Roman"/>
                <w:b/>
                <w:sz w:val="24"/>
                <w:szCs w:val="24"/>
              </w:rPr>
            </w:pPr>
          </w:p>
        </w:tc>
        <w:tc>
          <w:tcPr>
            <w:tcW w:w="2323" w:type="dxa"/>
          </w:tcPr>
          <w:p w14:paraId="3FF394C9"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Nursing</w:t>
            </w:r>
          </w:p>
        </w:tc>
        <w:tc>
          <w:tcPr>
            <w:tcW w:w="1885" w:type="dxa"/>
          </w:tcPr>
          <w:p w14:paraId="7E9FBA4F"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117</w:t>
            </w:r>
          </w:p>
        </w:tc>
        <w:tc>
          <w:tcPr>
            <w:tcW w:w="1885" w:type="dxa"/>
          </w:tcPr>
          <w:p w14:paraId="50BB59FD"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90</w:t>
            </w:r>
          </w:p>
        </w:tc>
      </w:tr>
      <w:tr w:rsidR="00B01D46" w14:paraId="3A3D9812" w14:textId="77777777">
        <w:trPr>
          <w:trHeight w:val="251"/>
        </w:trPr>
        <w:tc>
          <w:tcPr>
            <w:tcW w:w="2039" w:type="dxa"/>
          </w:tcPr>
          <w:p w14:paraId="24092501"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TOTAL</w:t>
            </w:r>
          </w:p>
        </w:tc>
        <w:tc>
          <w:tcPr>
            <w:tcW w:w="2323" w:type="dxa"/>
          </w:tcPr>
          <w:p w14:paraId="0DDD67C4" w14:textId="77777777" w:rsidR="00B01D46" w:rsidRDefault="00B01D46">
            <w:pPr>
              <w:spacing w:after="0" w:line="240" w:lineRule="auto"/>
              <w:ind w:right="65"/>
              <w:rPr>
                <w:rFonts w:ascii="Times New Roman" w:hAnsi="Times New Roman" w:cs="Times New Roman"/>
                <w:b/>
                <w:sz w:val="24"/>
                <w:szCs w:val="24"/>
              </w:rPr>
            </w:pPr>
          </w:p>
        </w:tc>
        <w:tc>
          <w:tcPr>
            <w:tcW w:w="1885" w:type="dxa"/>
          </w:tcPr>
          <w:p w14:paraId="01E279DD"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265</w:t>
            </w:r>
          </w:p>
        </w:tc>
        <w:tc>
          <w:tcPr>
            <w:tcW w:w="1885" w:type="dxa"/>
          </w:tcPr>
          <w:p w14:paraId="6869B47A"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204</w:t>
            </w:r>
          </w:p>
        </w:tc>
      </w:tr>
      <w:tr w:rsidR="00B01D46" w14:paraId="1A1001E3" w14:textId="77777777">
        <w:trPr>
          <w:trHeight w:val="502"/>
        </w:trPr>
        <w:tc>
          <w:tcPr>
            <w:tcW w:w="2039" w:type="dxa"/>
          </w:tcPr>
          <w:p w14:paraId="67FFBCA9"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MOI</w:t>
            </w:r>
          </w:p>
        </w:tc>
        <w:tc>
          <w:tcPr>
            <w:tcW w:w="2323" w:type="dxa"/>
          </w:tcPr>
          <w:p w14:paraId="58F57C3B"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Department of Medicine</w:t>
            </w:r>
          </w:p>
        </w:tc>
        <w:tc>
          <w:tcPr>
            <w:tcW w:w="1885" w:type="dxa"/>
          </w:tcPr>
          <w:p w14:paraId="5CABBF4B"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63</w:t>
            </w:r>
          </w:p>
        </w:tc>
        <w:tc>
          <w:tcPr>
            <w:tcW w:w="1885" w:type="dxa"/>
          </w:tcPr>
          <w:p w14:paraId="43D6949C"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48</w:t>
            </w:r>
          </w:p>
        </w:tc>
      </w:tr>
      <w:tr w:rsidR="00B01D46" w14:paraId="13A63EBA" w14:textId="77777777">
        <w:trPr>
          <w:trHeight w:val="1046"/>
        </w:trPr>
        <w:tc>
          <w:tcPr>
            <w:tcW w:w="2039" w:type="dxa"/>
          </w:tcPr>
          <w:p w14:paraId="73251370" w14:textId="77777777" w:rsidR="00B01D46" w:rsidRDefault="00B01D46">
            <w:pPr>
              <w:spacing w:after="0" w:line="240" w:lineRule="auto"/>
              <w:ind w:right="65"/>
              <w:jc w:val="both"/>
              <w:rPr>
                <w:rFonts w:ascii="Times New Roman" w:hAnsi="Times New Roman" w:cs="Times New Roman"/>
                <w:b/>
                <w:sz w:val="24"/>
                <w:szCs w:val="24"/>
              </w:rPr>
            </w:pPr>
          </w:p>
        </w:tc>
        <w:tc>
          <w:tcPr>
            <w:tcW w:w="2323" w:type="dxa"/>
          </w:tcPr>
          <w:p w14:paraId="7067B5CE"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Maxillofacial Surgery, Oral Medium/Pathology/Radiology</w:t>
            </w:r>
          </w:p>
        </w:tc>
        <w:tc>
          <w:tcPr>
            <w:tcW w:w="1885" w:type="dxa"/>
          </w:tcPr>
          <w:p w14:paraId="55B6A56F"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35</w:t>
            </w:r>
          </w:p>
        </w:tc>
        <w:tc>
          <w:tcPr>
            <w:tcW w:w="1885" w:type="dxa"/>
          </w:tcPr>
          <w:p w14:paraId="5AF56811"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27</w:t>
            </w:r>
          </w:p>
        </w:tc>
      </w:tr>
      <w:tr w:rsidR="00B01D46" w14:paraId="73CEA6B6" w14:textId="77777777">
        <w:trPr>
          <w:trHeight w:val="753"/>
        </w:trPr>
        <w:tc>
          <w:tcPr>
            <w:tcW w:w="2039" w:type="dxa"/>
          </w:tcPr>
          <w:p w14:paraId="6BC12448" w14:textId="77777777" w:rsidR="00B01D46" w:rsidRDefault="00B01D46">
            <w:pPr>
              <w:spacing w:after="0" w:line="240" w:lineRule="auto"/>
              <w:ind w:right="65"/>
              <w:jc w:val="both"/>
              <w:rPr>
                <w:rFonts w:ascii="Times New Roman" w:hAnsi="Times New Roman" w:cs="Times New Roman"/>
                <w:b/>
                <w:sz w:val="24"/>
                <w:szCs w:val="24"/>
              </w:rPr>
            </w:pPr>
          </w:p>
        </w:tc>
        <w:tc>
          <w:tcPr>
            <w:tcW w:w="2323" w:type="dxa"/>
          </w:tcPr>
          <w:p w14:paraId="6B99DFA1" w14:textId="77777777" w:rsidR="00B01D46" w:rsidRDefault="0067013E">
            <w:pPr>
              <w:spacing w:after="0" w:line="240" w:lineRule="auto"/>
              <w:ind w:right="65"/>
              <w:rPr>
                <w:rFonts w:ascii="Times New Roman" w:hAnsi="Times New Roman" w:cs="Times New Roman"/>
                <w:sz w:val="24"/>
                <w:szCs w:val="24"/>
              </w:rPr>
            </w:pPr>
            <w:r>
              <w:rPr>
                <w:rFonts w:ascii="Times New Roman" w:hAnsi="Times New Roman" w:cs="Times New Roman"/>
                <w:sz w:val="24"/>
                <w:szCs w:val="24"/>
              </w:rPr>
              <w:t>Nursing Education Management and Research</w:t>
            </w:r>
          </w:p>
        </w:tc>
        <w:tc>
          <w:tcPr>
            <w:tcW w:w="1885" w:type="dxa"/>
          </w:tcPr>
          <w:p w14:paraId="09251EE6"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34</w:t>
            </w:r>
          </w:p>
        </w:tc>
        <w:tc>
          <w:tcPr>
            <w:tcW w:w="1885" w:type="dxa"/>
          </w:tcPr>
          <w:p w14:paraId="701F1752"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26</w:t>
            </w:r>
          </w:p>
        </w:tc>
      </w:tr>
      <w:tr w:rsidR="00B01D46" w14:paraId="09373DF2" w14:textId="77777777">
        <w:trPr>
          <w:trHeight w:val="251"/>
        </w:trPr>
        <w:tc>
          <w:tcPr>
            <w:tcW w:w="2039" w:type="dxa"/>
            <w:tcBorders>
              <w:bottom w:val="single" w:sz="4" w:space="0" w:color="auto"/>
            </w:tcBorders>
          </w:tcPr>
          <w:p w14:paraId="59DE931F"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2323" w:type="dxa"/>
            <w:tcBorders>
              <w:bottom w:val="single" w:sz="4" w:space="0" w:color="auto"/>
            </w:tcBorders>
          </w:tcPr>
          <w:p w14:paraId="4ABEE19B" w14:textId="77777777" w:rsidR="00B01D46" w:rsidRDefault="00B01D46">
            <w:pPr>
              <w:spacing w:after="0" w:line="240" w:lineRule="auto"/>
              <w:ind w:right="65"/>
              <w:jc w:val="both"/>
              <w:rPr>
                <w:rFonts w:ascii="Times New Roman" w:hAnsi="Times New Roman" w:cs="Times New Roman"/>
                <w:b/>
                <w:sz w:val="24"/>
                <w:szCs w:val="24"/>
              </w:rPr>
            </w:pPr>
          </w:p>
        </w:tc>
        <w:tc>
          <w:tcPr>
            <w:tcW w:w="1885" w:type="dxa"/>
            <w:tcBorders>
              <w:bottom w:val="single" w:sz="4" w:space="0" w:color="auto"/>
            </w:tcBorders>
          </w:tcPr>
          <w:p w14:paraId="17E1CCE1"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132</w:t>
            </w:r>
          </w:p>
        </w:tc>
        <w:tc>
          <w:tcPr>
            <w:tcW w:w="1885" w:type="dxa"/>
            <w:tcBorders>
              <w:bottom w:val="single" w:sz="4" w:space="0" w:color="auto"/>
            </w:tcBorders>
          </w:tcPr>
          <w:p w14:paraId="4C7D97D9"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101</w:t>
            </w:r>
          </w:p>
        </w:tc>
      </w:tr>
      <w:tr w:rsidR="00B01D46" w14:paraId="71838EE7" w14:textId="77777777">
        <w:trPr>
          <w:trHeight w:val="251"/>
        </w:trPr>
        <w:tc>
          <w:tcPr>
            <w:tcW w:w="2039" w:type="dxa"/>
            <w:tcBorders>
              <w:top w:val="single" w:sz="4" w:space="0" w:color="auto"/>
              <w:bottom w:val="single" w:sz="4" w:space="0" w:color="auto"/>
            </w:tcBorders>
          </w:tcPr>
          <w:p w14:paraId="275025C9"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GRAND TOTAL</w:t>
            </w:r>
          </w:p>
        </w:tc>
        <w:tc>
          <w:tcPr>
            <w:tcW w:w="2323" w:type="dxa"/>
            <w:tcBorders>
              <w:top w:val="single" w:sz="4" w:space="0" w:color="auto"/>
              <w:bottom w:val="single" w:sz="4" w:space="0" w:color="auto"/>
            </w:tcBorders>
          </w:tcPr>
          <w:p w14:paraId="48C664B0" w14:textId="77777777" w:rsidR="00B01D46" w:rsidRDefault="00B01D46">
            <w:pPr>
              <w:spacing w:after="0" w:line="240" w:lineRule="auto"/>
              <w:ind w:right="65"/>
              <w:jc w:val="both"/>
              <w:rPr>
                <w:rFonts w:ascii="Times New Roman" w:hAnsi="Times New Roman" w:cs="Times New Roman"/>
                <w:sz w:val="24"/>
                <w:szCs w:val="24"/>
              </w:rPr>
            </w:pPr>
          </w:p>
        </w:tc>
        <w:tc>
          <w:tcPr>
            <w:tcW w:w="1885" w:type="dxa"/>
            <w:tcBorders>
              <w:top w:val="single" w:sz="4" w:space="0" w:color="auto"/>
              <w:bottom w:val="single" w:sz="4" w:space="0" w:color="auto"/>
            </w:tcBorders>
          </w:tcPr>
          <w:p w14:paraId="7E119784"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397</w:t>
            </w:r>
          </w:p>
        </w:tc>
        <w:tc>
          <w:tcPr>
            <w:tcW w:w="1885" w:type="dxa"/>
            <w:tcBorders>
              <w:top w:val="single" w:sz="4" w:space="0" w:color="auto"/>
              <w:bottom w:val="single" w:sz="4" w:space="0" w:color="auto"/>
            </w:tcBorders>
          </w:tcPr>
          <w:p w14:paraId="03EE8C28"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305</w:t>
            </w:r>
          </w:p>
        </w:tc>
      </w:tr>
    </w:tbl>
    <w:p w14:paraId="5F0E32D8" w14:textId="77777777" w:rsidR="00B01D46" w:rsidRDefault="00B01D46">
      <w:pPr>
        <w:spacing w:after="0" w:line="480" w:lineRule="auto"/>
        <w:ind w:right="65"/>
        <w:jc w:val="both"/>
        <w:rPr>
          <w:rFonts w:ascii="Times New Roman" w:hAnsi="Times New Roman" w:cs="Times New Roman"/>
          <w:sz w:val="24"/>
          <w:szCs w:val="24"/>
        </w:rPr>
      </w:pPr>
    </w:p>
    <w:p w14:paraId="3EC17D48" w14:textId="77777777" w:rsidR="00B01D46" w:rsidRDefault="0067013E">
      <w:pPr>
        <w:pStyle w:val="Heading4"/>
      </w:pPr>
      <w:bookmarkStart w:id="948" w:name="_Toc165367652"/>
      <w:bookmarkStart w:id="949" w:name="_Toc165369194"/>
      <w:bookmarkStart w:id="950" w:name="_Toc165898029"/>
      <w:bookmarkStart w:id="951" w:name="_Toc164664016"/>
      <w:bookmarkStart w:id="952" w:name="_Toc165368378"/>
      <w:bookmarkStart w:id="953" w:name="_Toc184272895"/>
      <w:bookmarkStart w:id="954" w:name="_Toc165973077"/>
      <w:bookmarkStart w:id="955" w:name="_Toc165365177"/>
      <w:bookmarkStart w:id="956" w:name="_Toc165975798"/>
      <w:r>
        <w:lastRenderedPageBreak/>
        <w:t>4.6.1.2 Sampling Procedure of Lecturers</w:t>
      </w:r>
      <w:bookmarkEnd w:id="948"/>
      <w:bookmarkEnd w:id="949"/>
      <w:bookmarkEnd w:id="950"/>
      <w:bookmarkEnd w:id="951"/>
      <w:bookmarkEnd w:id="952"/>
      <w:bookmarkEnd w:id="953"/>
      <w:bookmarkEnd w:id="954"/>
      <w:bookmarkEnd w:id="955"/>
      <w:bookmarkEnd w:id="956"/>
    </w:p>
    <w:p w14:paraId="1FF013D1" w14:textId="3C141391"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Similarly, the Saunders, Lewis, </w:t>
      </w:r>
      <w:r w:rsidR="00211A6A">
        <w:rPr>
          <w:rFonts w:ascii="Times New Roman" w:hAnsi="Times New Roman" w:cs="Times New Roman"/>
          <w:sz w:val="24"/>
          <w:szCs w:val="24"/>
        </w:rPr>
        <w:t>&amp;</w:t>
      </w:r>
      <w:r>
        <w:rPr>
          <w:rFonts w:ascii="Times New Roman" w:hAnsi="Times New Roman" w:cs="Times New Roman"/>
          <w:sz w:val="24"/>
          <w:szCs w:val="24"/>
        </w:rPr>
        <w:t xml:space="preserve"> Thornhill (2012) table for determining sample size, as provided in table 4.2, was used to pick a sample of lecturers. </w:t>
      </w:r>
      <w:bookmarkStart w:id="957" w:name="_Hlk158378054"/>
      <w:r>
        <w:rPr>
          <w:rFonts w:ascii="Times New Roman" w:hAnsi="Times New Roman" w:cs="Times New Roman"/>
          <w:sz w:val="24"/>
          <w:szCs w:val="24"/>
        </w:rPr>
        <w:t>A sample consisting of 62 lecturers was chosen on the basis of a 95 percent confidence level and a margin of error of 5%. According to Mahmutovic (2022</w:t>
      </w:r>
      <w:bookmarkEnd w:id="957"/>
      <w:r>
        <w:rPr>
          <w:rFonts w:ascii="Times New Roman" w:hAnsi="Times New Roman" w:cs="Times New Roman"/>
          <w:sz w:val="24"/>
          <w:szCs w:val="24"/>
        </w:rPr>
        <w:t xml:space="preserve">) a 5% margin of error helps determine how close others can reasonably expect result to fall relative to the true population value. A midpoint of 44 and 79 was chosen because they fall within the real 50 and 100:  </w:t>
      </w:r>
    </w:p>
    <w:p w14:paraId="5834F88A"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44+79 = </w:t>
      </w:r>
      <w:r>
        <w:rPr>
          <w:rFonts w:ascii="Times New Roman" w:hAnsi="Times New Roman" w:cs="Times New Roman"/>
          <w:sz w:val="24"/>
          <w:szCs w:val="24"/>
          <w:u w:val="single" w:color="000000"/>
        </w:rPr>
        <w:t>123/2</w:t>
      </w:r>
      <w:r>
        <w:rPr>
          <w:rFonts w:ascii="Times New Roman" w:hAnsi="Times New Roman" w:cs="Times New Roman"/>
          <w:sz w:val="24"/>
          <w:szCs w:val="24"/>
        </w:rPr>
        <w:t xml:space="preserve"> =62</w:t>
      </w:r>
    </w:p>
    <w:p w14:paraId="032FA825" w14:textId="77777777" w:rsidR="00B01D46" w:rsidRDefault="0067013E">
      <w:pPr>
        <w:spacing w:before="120" w:after="0" w:line="480" w:lineRule="auto"/>
        <w:ind w:right="65"/>
        <w:rPr>
          <w:rFonts w:ascii="Times New Roman" w:hAnsi="Times New Roman" w:cs="Times New Roman"/>
          <w:sz w:val="24"/>
          <w:szCs w:val="24"/>
        </w:rPr>
      </w:pPr>
      <w:r>
        <w:rPr>
          <w:rFonts w:ascii="Times New Roman" w:hAnsi="Times New Roman" w:cs="Times New Roman"/>
          <w:sz w:val="24"/>
          <w:szCs w:val="24"/>
        </w:rPr>
        <w:t>Example:  24*62/98=15 clinical medicine and therapeutics lecturers</w:t>
      </w:r>
    </w:p>
    <w:p w14:paraId="56523708" w14:textId="77777777" w:rsidR="00B01D46" w:rsidRPr="00FB6D67" w:rsidRDefault="0067013E">
      <w:pPr>
        <w:pStyle w:val="Caption"/>
      </w:pPr>
      <w:bookmarkStart w:id="958" w:name="_Toc184271986"/>
      <w:bookmarkStart w:id="959" w:name="_Toc184276896"/>
      <w:bookmarkStart w:id="960" w:name="_Toc165973078"/>
      <w:bookmarkStart w:id="961" w:name="_Toc165975799"/>
      <w:bookmarkStart w:id="962" w:name="_Toc165898030"/>
      <w:r w:rsidRPr="00FB6D67">
        <w:t>Table 4.7: Relative Sample Size of Entire Population of Lecturers Teaching all the Units in Medicine, Nursing and Dentistry from University of Nairobi (UON) and Moi University (MU)</w:t>
      </w:r>
      <w:bookmarkStart w:id="963" w:name="_Toc210190509"/>
      <w:bookmarkStart w:id="964" w:name="_Toc208813966"/>
      <w:bookmarkStart w:id="965" w:name="_Toc204428974"/>
      <w:bookmarkEnd w:id="958"/>
      <w:bookmarkEnd w:id="959"/>
      <w:bookmarkEnd w:id="960"/>
      <w:bookmarkEnd w:id="961"/>
      <w:bookmarkEnd w:id="962"/>
    </w:p>
    <w:p w14:paraId="2B161277" w14:textId="77777777" w:rsidR="00B01D46" w:rsidRDefault="00B01D46">
      <w:pPr>
        <w:ind w:right="65"/>
        <w:rPr>
          <w:rFonts w:ascii="Times New Roman" w:hAnsi="Times New Roman" w:cs="Times New Roman"/>
          <w:sz w:val="24"/>
          <w:szCs w:val="24"/>
        </w:rPr>
      </w:pPr>
    </w:p>
    <w:tbl>
      <w:tblPr>
        <w:tblStyle w:val="TableGrid"/>
        <w:tblW w:w="796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5"/>
        <w:gridCol w:w="1839"/>
        <w:gridCol w:w="2394"/>
        <w:gridCol w:w="2068"/>
      </w:tblGrid>
      <w:tr w:rsidR="00B01D46" w14:paraId="15450ABC" w14:textId="77777777">
        <w:trPr>
          <w:cantSplit/>
          <w:trHeight w:val="19"/>
        </w:trPr>
        <w:tc>
          <w:tcPr>
            <w:tcW w:w="1665" w:type="dxa"/>
            <w:tcBorders>
              <w:top w:val="single" w:sz="4" w:space="0" w:color="auto"/>
              <w:bottom w:val="single" w:sz="4" w:space="0" w:color="auto"/>
            </w:tcBorders>
          </w:tcPr>
          <w:p w14:paraId="08CF2092" w14:textId="77777777" w:rsidR="00B01D46" w:rsidRDefault="0067013E">
            <w:pPr>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Institution</w:t>
            </w:r>
          </w:p>
        </w:tc>
        <w:tc>
          <w:tcPr>
            <w:tcW w:w="1839" w:type="dxa"/>
            <w:tcBorders>
              <w:top w:val="single" w:sz="4" w:space="0" w:color="auto"/>
              <w:bottom w:val="single" w:sz="4" w:space="0" w:color="auto"/>
            </w:tcBorders>
          </w:tcPr>
          <w:p w14:paraId="0D214381" w14:textId="77777777" w:rsidR="00B01D46" w:rsidRDefault="0067013E">
            <w:pPr>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Department</w:t>
            </w:r>
          </w:p>
        </w:tc>
        <w:tc>
          <w:tcPr>
            <w:tcW w:w="2394" w:type="dxa"/>
            <w:tcBorders>
              <w:top w:val="single" w:sz="4" w:space="0" w:color="auto"/>
              <w:bottom w:val="single" w:sz="4" w:space="0" w:color="auto"/>
            </w:tcBorders>
          </w:tcPr>
          <w:p w14:paraId="502763C2" w14:textId="77777777" w:rsidR="00B01D46" w:rsidRDefault="0067013E">
            <w:pPr>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Target Population</w:t>
            </w:r>
          </w:p>
        </w:tc>
        <w:tc>
          <w:tcPr>
            <w:tcW w:w="2068" w:type="dxa"/>
            <w:tcBorders>
              <w:top w:val="single" w:sz="4" w:space="0" w:color="auto"/>
              <w:bottom w:val="single" w:sz="4" w:space="0" w:color="auto"/>
            </w:tcBorders>
          </w:tcPr>
          <w:p w14:paraId="122AF6A6" w14:textId="77777777" w:rsidR="00B01D46" w:rsidRDefault="0067013E">
            <w:pPr>
              <w:spacing w:before="120" w:after="0" w:line="240" w:lineRule="auto"/>
              <w:ind w:right="65"/>
              <w:jc w:val="center"/>
              <w:rPr>
                <w:rFonts w:ascii="Times New Roman" w:hAnsi="Times New Roman" w:cs="Times New Roman"/>
                <w:b/>
                <w:sz w:val="24"/>
                <w:szCs w:val="24"/>
              </w:rPr>
            </w:pPr>
            <w:r>
              <w:rPr>
                <w:rFonts w:ascii="Times New Roman" w:hAnsi="Times New Roman" w:cs="Times New Roman"/>
                <w:b/>
                <w:sz w:val="24"/>
                <w:szCs w:val="24"/>
              </w:rPr>
              <w:t>Sample Size</w:t>
            </w:r>
          </w:p>
        </w:tc>
      </w:tr>
      <w:tr w:rsidR="00B01D46" w14:paraId="7AB3B301" w14:textId="77777777">
        <w:trPr>
          <w:cantSplit/>
          <w:trHeight w:val="19"/>
        </w:trPr>
        <w:tc>
          <w:tcPr>
            <w:tcW w:w="1665" w:type="dxa"/>
            <w:tcBorders>
              <w:top w:val="single" w:sz="4" w:space="0" w:color="auto"/>
            </w:tcBorders>
          </w:tcPr>
          <w:p w14:paraId="14B98C44"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UON</w:t>
            </w:r>
          </w:p>
        </w:tc>
        <w:tc>
          <w:tcPr>
            <w:tcW w:w="1839" w:type="dxa"/>
            <w:tcBorders>
              <w:top w:val="single" w:sz="4" w:space="0" w:color="auto"/>
            </w:tcBorders>
          </w:tcPr>
          <w:p w14:paraId="2D46C87F"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Clinical medicine and therapeutics</w:t>
            </w:r>
          </w:p>
        </w:tc>
        <w:tc>
          <w:tcPr>
            <w:tcW w:w="2394" w:type="dxa"/>
            <w:tcBorders>
              <w:top w:val="single" w:sz="4" w:space="0" w:color="auto"/>
            </w:tcBorders>
          </w:tcPr>
          <w:p w14:paraId="0F868808"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24</w:t>
            </w:r>
          </w:p>
        </w:tc>
        <w:tc>
          <w:tcPr>
            <w:tcW w:w="2068" w:type="dxa"/>
            <w:tcBorders>
              <w:top w:val="single" w:sz="4" w:space="0" w:color="auto"/>
            </w:tcBorders>
          </w:tcPr>
          <w:p w14:paraId="371D50DB"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15</w:t>
            </w:r>
          </w:p>
        </w:tc>
      </w:tr>
      <w:tr w:rsidR="00B01D46" w14:paraId="12947523" w14:textId="77777777">
        <w:trPr>
          <w:cantSplit/>
          <w:trHeight w:val="19"/>
        </w:trPr>
        <w:tc>
          <w:tcPr>
            <w:tcW w:w="1665" w:type="dxa"/>
          </w:tcPr>
          <w:p w14:paraId="5AE71836" w14:textId="77777777" w:rsidR="00B01D46" w:rsidRDefault="00B01D46">
            <w:pPr>
              <w:spacing w:after="0" w:line="240" w:lineRule="auto"/>
              <w:ind w:right="65"/>
              <w:jc w:val="both"/>
              <w:rPr>
                <w:rFonts w:ascii="Times New Roman" w:hAnsi="Times New Roman" w:cs="Times New Roman"/>
                <w:b/>
                <w:sz w:val="24"/>
                <w:szCs w:val="24"/>
              </w:rPr>
            </w:pPr>
          </w:p>
        </w:tc>
        <w:tc>
          <w:tcPr>
            <w:tcW w:w="1839" w:type="dxa"/>
          </w:tcPr>
          <w:p w14:paraId="6E98AA5A"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Dental Sciences</w:t>
            </w:r>
          </w:p>
        </w:tc>
        <w:tc>
          <w:tcPr>
            <w:tcW w:w="2394" w:type="dxa"/>
          </w:tcPr>
          <w:p w14:paraId="71CC3D9F"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11</w:t>
            </w:r>
          </w:p>
        </w:tc>
        <w:tc>
          <w:tcPr>
            <w:tcW w:w="2068" w:type="dxa"/>
          </w:tcPr>
          <w:p w14:paraId="4364F193"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7</w:t>
            </w:r>
          </w:p>
        </w:tc>
      </w:tr>
      <w:tr w:rsidR="00B01D46" w14:paraId="429F97CC" w14:textId="77777777">
        <w:trPr>
          <w:cantSplit/>
          <w:trHeight w:val="19"/>
        </w:trPr>
        <w:tc>
          <w:tcPr>
            <w:tcW w:w="1665" w:type="dxa"/>
          </w:tcPr>
          <w:p w14:paraId="645E864C" w14:textId="77777777" w:rsidR="00B01D46" w:rsidRDefault="00B01D46">
            <w:pPr>
              <w:spacing w:after="0" w:line="240" w:lineRule="auto"/>
              <w:ind w:right="65"/>
              <w:jc w:val="both"/>
              <w:rPr>
                <w:rFonts w:ascii="Times New Roman" w:hAnsi="Times New Roman" w:cs="Times New Roman"/>
                <w:b/>
                <w:sz w:val="24"/>
                <w:szCs w:val="24"/>
              </w:rPr>
            </w:pPr>
          </w:p>
        </w:tc>
        <w:tc>
          <w:tcPr>
            <w:tcW w:w="1839" w:type="dxa"/>
          </w:tcPr>
          <w:p w14:paraId="1952EF7F"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Nursing</w:t>
            </w:r>
          </w:p>
        </w:tc>
        <w:tc>
          <w:tcPr>
            <w:tcW w:w="2394" w:type="dxa"/>
          </w:tcPr>
          <w:p w14:paraId="1DBAA578"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23</w:t>
            </w:r>
          </w:p>
        </w:tc>
        <w:tc>
          <w:tcPr>
            <w:tcW w:w="2068" w:type="dxa"/>
          </w:tcPr>
          <w:p w14:paraId="1C6AA744"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15</w:t>
            </w:r>
          </w:p>
        </w:tc>
      </w:tr>
      <w:tr w:rsidR="00B01D46" w14:paraId="3D6D58FB" w14:textId="77777777">
        <w:trPr>
          <w:cantSplit/>
          <w:trHeight w:val="19"/>
        </w:trPr>
        <w:tc>
          <w:tcPr>
            <w:tcW w:w="1665" w:type="dxa"/>
          </w:tcPr>
          <w:p w14:paraId="7F8F3A82"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TOTAL</w:t>
            </w:r>
          </w:p>
        </w:tc>
        <w:tc>
          <w:tcPr>
            <w:tcW w:w="1839" w:type="dxa"/>
          </w:tcPr>
          <w:p w14:paraId="34C47F6B" w14:textId="77777777" w:rsidR="00B01D46" w:rsidRDefault="00B01D46">
            <w:pPr>
              <w:spacing w:after="0" w:line="240" w:lineRule="auto"/>
              <w:ind w:right="65"/>
              <w:jc w:val="both"/>
              <w:rPr>
                <w:rFonts w:ascii="Times New Roman" w:hAnsi="Times New Roman" w:cs="Times New Roman"/>
                <w:b/>
                <w:sz w:val="24"/>
                <w:szCs w:val="24"/>
              </w:rPr>
            </w:pPr>
          </w:p>
        </w:tc>
        <w:tc>
          <w:tcPr>
            <w:tcW w:w="2394" w:type="dxa"/>
          </w:tcPr>
          <w:p w14:paraId="7158FED0"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58</w:t>
            </w:r>
          </w:p>
        </w:tc>
        <w:tc>
          <w:tcPr>
            <w:tcW w:w="2068" w:type="dxa"/>
          </w:tcPr>
          <w:p w14:paraId="7E3474AF"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37</w:t>
            </w:r>
          </w:p>
        </w:tc>
      </w:tr>
      <w:tr w:rsidR="00B01D46" w14:paraId="3DCC0798" w14:textId="77777777">
        <w:trPr>
          <w:cantSplit/>
          <w:trHeight w:val="19"/>
        </w:trPr>
        <w:tc>
          <w:tcPr>
            <w:tcW w:w="1665" w:type="dxa"/>
          </w:tcPr>
          <w:p w14:paraId="26FB7552" w14:textId="77777777" w:rsidR="00B01D46" w:rsidRDefault="00B01D46">
            <w:pPr>
              <w:spacing w:after="0" w:line="240" w:lineRule="auto"/>
              <w:ind w:right="65"/>
              <w:jc w:val="both"/>
              <w:rPr>
                <w:rFonts w:ascii="Times New Roman" w:hAnsi="Times New Roman" w:cs="Times New Roman"/>
                <w:b/>
                <w:sz w:val="24"/>
                <w:szCs w:val="24"/>
              </w:rPr>
            </w:pPr>
          </w:p>
        </w:tc>
        <w:tc>
          <w:tcPr>
            <w:tcW w:w="1839" w:type="dxa"/>
          </w:tcPr>
          <w:p w14:paraId="17D07FFE" w14:textId="77777777" w:rsidR="00B01D46" w:rsidRDefault="00B01D46">
            <w:pPr>
              <w:spacing w:after="0" w:line="240" w:lineRule="auto"/>
              <w:ind w:right="65"/>
              <w:jc w:val="both"/>
              <w:rPr>
                <w:rFonts w:ascii="Times New Roman" w:hAnsi="Times New Roman" w:cs="Times New Roman"/>
                <w:b/>
                <w:sz w:val="24"/>
                <w:szCs w:val="24"/>
              </w:rPr>
            </w:pPr>
          </w:p>
        </w:tc>
        <w:tc>
          <w:tcPr>
            <w:tcW w:w="2394" w:type="dxa"/>
          </w:tcPr>
          <w:p w14:paraId="34CAE567" w14:textId="77777777" w:rsidR="00B01D46" w:rsidRDefault="00B01D46">
            <w:pPr>
              <w:spacing w:after="0" w:line="240" w:lineRule="auto"/>
              <w:ind w:right="65"/>
              <w:jc w:val="both"/>
              <w:rPr>
                <w:rFonts w:ascii="Times New Roman" w:hAnsi="Times New Roman" w:cs="Times New Roman"/>
                <w:b/>
                <w:sz w:val="24"/>
                <w:szCs w:val="24"/>
              </w:rPr>
            </w:pPr>
          </w:p>
        </w:tc>
        <w:tc>
          <w:tcPr>
            <w:tcW w:w="2068" w:type="dxa"/>
          </w:tcPr>
          <w:p w14:paraId="66CF67BF" w14:textId="77777777" w:rsidR="00B01D46" w:rsidRDefault="00B01D46">
            <w:pPr>
              <w:spacing w:after="0" w:line="240" w:lineRule="auto"/>
              <w:ind w:right="65"/>
              <w:jc w:val="both"/>
              <w:rPr>
                <w:rFonts w:ascii="Times New Roman" w:hAnsi="Times New Roman" w:cs="Times New Roman"/>
                <w:b/>
                <w:sz w:val="24"/>
                <w:szCs w:val="24"/>
              </w:rPr>
            </w:pPr>
          </w:p>
        </w:tc>
      </w:tr>
      <w:tr w:rsidR="00B01D46" w14:paraId="24B0328B" w14:textId="77777777">
        <w:trPr>
          <w:cantSplit/>
          <w:trHeight w:val="19"/>
        </w:trPr>
        <w:tc>
          <w:tcPr>
            <w:tcW w:w="1665" w:type="dxa"/>
          </w:tcPr>
          <w:p w14:paraId="574C19B3" w14:textId="77777777" w:rsidR="00B01D46" w:rsidRDefault="0067013E">
            <w:pPr>
              <w:spacing w:after="0" w:line="240" w:lineRule="auto"/>
              <w:ind w:right="65"/>
              <w:jc w:val="both"/>
              <w:rPr>
                <w:rFonts w:ascii="Times New Roman" w:hAnsi="Times New Roman" w:cs="Times New Roman"/>
                <w:sz w:val="24"/>
                <w:szCs w:val="24"/>
              </w:rPr>
            </w:pPr>
            <w:bookmarkStart w:id="966" w:name="_Hlk145863847"/>
            <w:r>
              <w:rPr>
                <w:rFonts w:ascii="Times New Roman" w:hAnsi="Times New Roman" w:cs="Times New Roman"/>
                <w:sz w:val="24"/>
                <w:szCs w:val="24"/>
              </w:rPr>
              <w:t>MOI</w:t>
            </w:r>
          </w:p>
        </w:tc>
        <w:tc>
          <w:tcPr>
            <w:tcW w:w="1839" w:type="dxa"/>
          </w:tcPr>
          <w:p w14:paraId="1D82CCCF"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Department of Medicine</w:t>
            </w:r>
          </w:p>
        </w:tc>
        <w:tc>
          <w:tcPr>
            <w:tcW w:w="2394" w:type="dxa"/>
          </w:tcPr>
          <w:p w14:paraId="3DF7E070"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18</w:t>
            </w:r>
          </w:p>
        </w:tc>
        <w:tc>
          <w:tcPr>
            <w:tcW w:w="2068" w:type="dxa"/>
          </w:tcPr>
          <w:p w14:paraId="696A0E37"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11</w:t>
            </w:r>
          </w:p>
        </w:tc>
      </w:tr>
      <w:tr w:rsidR="00B01D46" w14:paraId="7E030F85" w14:textId="77777777">
        <w:trPr>
          <w:cantSplit/>
          <w:trHeight w:val="19"/>
        </w:trPr>
        <w:tc>
          <w:tcPr>
            <w:tcW w:w="1665" w:type="dxa"/>
          </w:tcPr>
          <w:p w14:paraId="168FBAD1" w14:textId="77777777" w:rsidR="00B01D46" w:rsidRDefault="00B01D46">
            <w:pPr>
              <w:spacing w:after="0" w:line="240" w:lineRule="auto"/>
              <w:ind w:right="65"/>
              <w:jc w:val="both"/>
              <w:rPr>
                <w:rFonts w:ascii="Times New Roman" w:hAnsi="Times New Roman" w:cs="Times New Roman"/>
                <w:b/>
                <w:sz w:val="24"/>
                <w:szCs w:val="24"/>
              </w:rPr>
            </w:pPr>
          </w:p>
        </w:tc>
        <w:tc>
          <w:tcPr>
            <w:tcW w:w="1839" w:type="dxa"/>
          </w:tcPr>
          <w:p w14:paraId="22FE9FDF"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Maxillofacial Surgery, Oral Medium/Pathology/Radiology</w:t>
            </w:r>
          </w:p>
        </w:tc>
        <w:tc>
          <w:tcPr>
            <w:tcW w:w="2394" w:type="dxa"/>
          </w:tcPr>
          <w:p w14:paraId="1D47ED7A"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10</w:t>
            </w:r>
          </w:p>
        </w:tc>
        <w:tc>
          <w:tcPr>
            <w:tcW w:w="2068" w:type="dxa"/>
          </w:tcPr>
          <w:p w14:paraId="6B6E3563"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6</w:t>
            </w:r>
          </w:p>
        </w:tc>
      </w:tr>
      <w:tr w:rsidR="00B01D46" w14:paraId="26A47B01" w14:textId="77777777">
        <w:trPr>
          <w:cantSplit/>
          <w:trHeight w:val="19"/>
        </w:trPr>
        <w:tc>
          <w:tcPr>
            <w:tcW w:w="1665" w:type="dxa"/>
          </w:tcPr>
          <w:p w14:paraId="56776B8F" w14:textId="77777777" w:rsidR="00B01D46" w:rsidRDefault="00B01D46">
            <w:pPr>
              <w:spacing w:after="0" w:line="240" w:lineRule="auto"/>
              <w:ind w:right="65"/>
              <w:jc w:val="both"/>
              <w:rPr>
                <w:rFonts w:ascii="Times New Roman" w:hAnsi="Times New Roman" w:cs="Times New Roman"/>
                <w:b/>
                <w:sz w:val="24"/>
                <w:szCs w:val="24"/>
              </w:rPr>
            </w:pPr>
          </w:p>
        </w:tc>
        <w:tc>
          <w:tcPr>
            <w:tcW w:w="1839" w:type="dxa"/>
          </w:tcPr>
          <w:p w14:paraId="3E662BBC"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Nursing Education Management and Research</w:t>
            </w:r>
          </w:p>
        </w:tc>
        <w:tc>
          <w:tcPr>
            <w:tcW w:w="2394" w:type="dxa"/>
          </w:tcPr>
          <w:p w14:paraId="70A89C84"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12</w:t>
            </w:r>
          </w:p>
        </w:tc>
        <w:tc>
          <w:tcPr>
            <w:tcW w:w="2068" w:type="dxa"/>
          </w:tcPr>
          <w:p w14:paraId="0F897043" w14:textId="77777777" w:rsidR="00B01D46" w:rsidRDefault="0067013E">
            <w:pPr>
              <w:spacing w:after="0" w:line="240" w:lineRule="auto"/>
              <w:ind w:right="65"/>
              <w:jc w:val="both"/>
              <w:rPr>
                <w:rFonts w:ascii="Times New Roman" w:hAnsi="Times New Roman" w:cs="Times New Roman"/>
                <w:sz w:val="24"/>
                <w:szCs w:val="24"/>
              </w:rPr>
            </w:pPr>
            <w:r>
              <w:rPr>
                <w:rFonts w:ascii="Times New Roman" w:hAnsi="Times New Roman" w:cs="Times New Roman"/>
                <w:sz w:val="24"/>
                <w:szCs w:val="24"/>
              </w:rPr>
              <w:t>8</w:t>
            </w:r>
          </w:p>
        </w:tc>
      </w:tr>
      <w:bookmarkEnd w:id="966"/>
      <w:tr w:rsidR="00B01D46" w14:paraId="5F971B06" w14:textId="77777777">
        <w:trPr>
          <w:cantSplit/>
          <w:trHeight w:val="19"/>
        </w:trPr>
        <w:tc>
          <w:tcPr>
            <w:tcW w:w="1665" w:type="dxa"/>
            <w:tcBorders>
              <w:bottom w:val="single" w:sz="4" w:space="0" w:color="auto"/>
            </w:tcBorders>
          </w:tcPr>
          <w:p w14:paraId="0F0FA5D7"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1839" w:type="dxa"/>
            <w:tcBorders>
              <w:bottom w:val="single" w:sz="4" w:space="0" w:color="auto"/>
            </w:tcBorders>
          </w:tcPr>
          <w:p w14:paraId="6659DFBA" w14:textId="77777777" w:rsidR="00B01D46" w:rsidRDefault="00B01D46">
            <w:pPr>
              <w:spacing w:after="0" w:line="240" w:lineRule="auto"/>
              <w:ind w:right="65"/>
              <w:jc w:val="both"/>
              <w:rPr>
                <w:rFonts w:ascii="Times New Roman" w:hAnsi="Times New Roman" w:cs="Times New Roman"/>
                <w:b/>
                <w:sz w:val="24"/>
                <w:szCs w:val="24"/>
              </w:rPr>
            </w:pPr>
          </w:p>
        </w:tc>
        <w:tc>
          <w:tcPr>
            <w:tcW w:w="2394" w:type="dxa"/>
            <w:tcBorders>
              <w:bottom w:val="single" w:sz="4" w:space="0" w:color="auto"/>
            </w:tcBorders>
          </w:tcPr>
          <w:p w14:paraId="20E8CC5F"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40</w:t>
            </w:r>
          </w:p>
        </w:tc>
        <w:tc>
          <w:tcPr>
            <w:tcW w:w="2068" w:type="dxa"/>
            <w:tcBorders>
              <w:bottom w:val="single" w:sz="4" w:space="0" w:color="auto"/>
            </w:tcBorders>
          </w:tcPr>
          <w:p w14:paraId="1DF51E46"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25</w:t>
            </w:r>
          </w:p>
        </w:tc>
      </w:tr>
      <w:tr w:rsidR="00B01D46" w14:paraId="58B6E9A4" w14:textId="77777777">
        <w:trPr>
          <w:cantSplit/>
          <w:trHeight w:val="19"/>
        </w:trPr>
        <w:tc>
          <w:tcPr>
            <w:tcW w:w="1665" w:type="dxa"/>
            <w:tcBorders>
              <w:top w:val="single" w:sz="4" w:space="0" w:color="auto"/>
              <w:bottom w:val="single" w:sz="4" w:space="0" w:color="auto"/>
            </w:tcBorders>
          </w:tcPr>
          <w:p w14:paraId="42F4ACD7"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GRAND TOTAL</w:t>
            </w:r>
          </w:p>
        </w:tc>
        <w:tc>
          <w:tcPr>
            <w:tcW w:w="1839" w:type="dxa"/>
            <w:tcBorders>
              <w:top w:val="single" w:sz="4" w:space="0" w:color="auto"/>
              <w:bottom w:val="single" w:sz="4" w:space="0" w:color="auto"/>
            </w:tcBorders>
          </w:tcPr>
          <w:p w14:paraId="3F979104" w14:textId="77777777" w:rsidR="00B01D46" w:rsidRDefault="00B01D46">
            <w:pPr>
              <w:spacing w:after="0" w:line="240" w:lineRule="auto"/>
              <w:ind w:right="65"/>
              <w:jc w:val="both"/>
              <w:rPr>
                <w:rFonts w:ascii="Times New Roman" w:hAnsi="Times New Roman" w:cs="Times New Roman"/>
                <w:sz w:val="24"/>
                <w:szCs w:val="24"/>
              </w:rPr>
            </w:pPr>
          </w:p>
        </w:tc>
        <w:tc>
          <w:tcPr>
            <w:tcW w:w="2394" w:type="dxa"/>
            <w:tcBorders>
              <w:top w:val="single" w:sz="4" w:space="0" w:color="auto"/>
              <w:bottom w:val="single" w:sz="4" w:space="0" w:color="auto"/>
            </w:tcBorders>
          </w:tcPr>
          <w:p w14:paraId="34A32949"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98</w:t>
            </w:r>
          </w:p>
        </w:tc>
        <w:tc>
          <w:tcPr>
            <w:tcW w:w="2068" w:type="dxa"/>
            <w:tcBorders>
              <w:top w:val="single" w:sz="4" w:space="0" w:color="auto"/>
              <w:bottom w:val="single" w:sz="4" w:space="0" w:color="auto"/>
            </w:tcBorders>
          </w:tcPr>
          <w:p w14:paraId="72739F65" w14:textId="77777777" w:rsidR="00B01D46" w:rsidRDefault="0067013E">
            <w:pPr>
              <w:spacing w:after="0" w:line="240" w:lineRule="auto"/>
              <w:ind w:right="65"/>
              <w:jc w:val="both"/>
              <w:rPr>
                <w:rFonts w:ascii="Times New Roman" w:hAnsi="Times New Roman" w:cs="Times New Roman"/>
                <w:b/>
                <w:sz w:val="24"/>
                <w:szCs w:val="24"/>
              </w:rPr>
            </w:pPr>
            <w:r>
              <w:rPr>
                <w:rFonts w:ascii="Times New Roman" w:hAnsi="Times New Roman" w:cs="Times New Roman"/>
                <w:b/>
                <w:sz w:val="24"/>
                <w:szCs w:val="24"/>
              </w:rPr>
              <w:t>62</w:t>
            </w:r>
          </w:p>
        </w:tc>
      </w:tr>
    </w:tbl>
    <w:p w14:paraId="7C2E0D78" w14:textId="77777777" w:rsidR="00B01D46" w:rsidRDefault="00B01D46">
      <w:pPr>
        <w:spacing w:before="120" w:after="0"/>
        <w:ind w:right="65"/>
        <w:rPr>
          <w:rFonts w:ascii="Times New Roman" w:hAnsi="Times New Roman" w:cs="Times New Roman"/>
          <w:sz w:val="24"/>
          <w:szCs w:val="24"/>
        </w:rPr>
      </w:pPr>
    </w:p>
    <w:p w14:paraId="0DC7AD15" w14:textId="77777777" w:rsidR="00B01D46" w:rsidRDefault="0067013E">
      <w:pPr>
        <w:pStyle w:val="Heading4"/>
        <w:ind w:left="720" w:hanging="720"/>
      </w:pPr>
      <w:bookmarkStart w:id="967" w:name="_Toc165898031"/>
      <w:bookmarkStart w:id="968" w:name="_Toc165367654"/>
      <w:bookmarkStart w:id="969" w:name="_Toc164664017"/>
      <w:bookmarkStart w:id="970" w:name="_Toc165975800"/>
      <w:bookmarkStart w:id="971" w:name="_Toc184272896"/>
      <w:bookmarkStart w:id="972" w:name="_Toc165369196"/>
      <w:bookmarkStart w:id="973" w:name="_Toc165368380"/>
      <w:bookmarkStart w:id="974" w:name="_Toc165365178"/>
      <w:bookmarkStart w:id="975" w:name="_Toc165973079"/>
      <w:r>
        <w:lastRenderedPageBreak/>
        <w:t>4.6.1.3 Sampling Procedure of University Librarians, Medical Librarians and HODs</w:t>
      </w:r>
      <w:bookmarkEnd w:id="967"/>
      <w:bookmarkEnd w:id="968"/>
      <w:bookmarkEnd w:id="969"/>
      <w:bookmarkEnd w:id="970"/>
      <w:bookmarkEnd w:id="971"/>
      <w:bookmarkEnd w:id="972"/>
      <w:bookmarkEnd w:id="973"/>
      <w:bookmarkEnd w:id="974"/>
      <w:bookmarkEnd w:id="975"/>
    </w:p>
    <w:p w14:paraId="4047B51A" w14:textId="693F7C1D" w:rsidR="00B01D46" w:rsidRDefault="0067013E">
      <w:pPr>
        <w:spacing w:before="120" w:after="0" w:line="480" w:lineRule="auto"/>
        <w:ind w:right="65"/>
        <w:jc w:val="both"/>
        <w:rPr>
          <w:rFonts w:ascii="Times New Roman" w:hAnsi="Times New Roman" w:cs="Times New Roman"/>
          <w:sz w:val="24"/>
          <w:szCs w:val="24"/>
        </w:rPr>
      </w:pPr>
      <w:bookmarkStart w:id="976" w:name="_Hlk158378113"/>
      <w:r>
        <w:rPr>
          <w:rFonts w:ascii="Times New Roman" w:hAnsi="Times New Roman" w:cs="Times New Roman"/>
          <w:sz w:val="24"/>
          <w:szCs w:val="24"/>
        </w:rPr>
        <w:t xml:space="preserve">The purposive sample approach was used to pick two University Librarians, two Medical Librarians, and six heads of departments (three from each of the two universities under investigation). </w:t>
      </w:r>
      <w:bookmarkStart w:id="977" w:name="_Toc374800287"/>
      <w:bookmarkStart w:id="978" w:name="_Toc314156269"/>
      <w:bookmarkStart w:id="979" w:name="_Toc303422485"/>
      <w:bookmarkStart w:id="980" w:name="_Toc374802083"/>
      <w:bookmarkStart w:id="981" w:name="_Toc303423450"/>
      <w:bookmarkStart w:id="982" w:name="_Toc332821912"/>
      <w:bookmarkStart w:id="983" w:name="_Toc303428135"/>
      <w:bookmarkStart w:id="984" w:name="_Toc332822706"/>
      <w:bookmarkStart w:id="985" w:name="_Toc374802822"/>
      <w:bookmarkStart w:id="986" w:name="_Toc332823906"/>
      <w:bookmarkStart w:id="987" w:name="_Toc332823505"/>
      <w:bookmarkStart w:id="988" w:name="_Toc303429146"/>
      <w:bookmarkStart w:id="989" w:name="_Toc314155500"/>
      <w:bookmarkEnd w:id="916"/>
      <w:bookmarkEnd w:id="917"/>
      <w:bookmarkEnd w:id="918"/>
      <w:bookmarkEnd w:id="963"/>
      <w:bookmarkEnd w:id="964"/>
      <w:bookmarkEnd w:id="965"/>
      <w:r>
        <w:rPr>
          <w:rFonts w:ascii="Times New Roman" w:hAnsi="Times New Roman" w:cs="Times New Roman"/>
          <w:color w:val="202124"/>
          <w:sz w:val="24"/>
          <w:szCs w:val="24"/>
          <w:shd w:val="clear" w:color="auto" w:fill="FFFFFF"/>
        </w:rPr>
        <w:t xml:space="preserve">Purposive sampling is suitable where a study purposely targets certain respondents believed to have relevant information appropriate for the research inquiry (Kombo </w:t>
      </w:r>
      <w:r w:rsidR="00211A6A">
        <w:rPr>
          <w:rFonts w:ascii="Times New Roman" w:hAnsi="Times New Roman" w:cs="Times New Roman"/>
          <w:color w:val="202124"/>
          <w:sz w:val="24"/>
          <w:szCs w:val="24"/>
          <w:shd w:val="clear" w:color="auto" w:fill="FFFFFF"/>
        </w:rPr>
        <w:t>&amp;</w:t>
      </w:r>
      <w:r>
        <w:rPr>
          <w:rFonts w:ascii="Times New Roman" w:hAnsi="Times New Roman" w:cs="Times New Roman"/>
          <w:color w:val="202124"/>
          <w:sz w:val="24"/>
          <w:szCs w:val="24"/>
          <w:shd w:val="clear" w:color="auto" w:fill="FFFFFF"/>
        </w:rPr>
        <w:t xml:space="preserve"> Tromp, 2006). </w:t>
      </w:r>
      <w:bookmarkEnd w:id="976"/>
      <w:r>
        <w:rPr>
          <w:rFonts w:ascii="Times New Roman" w:hAnsi="Times New Roman" w:cs="Times New Roman"/>
          <w:color w:val="202124"/>
          <w:sz w:val="24"/>
          <w:szCs w:val="24"/>
          <w:shd w:val="clear" w:color="auto" w:fill="FFFFFF"/>
        </w:rPr>
        <w:t xml:space="preserve">Similarly, Cohen et al (2018) avers that the strength of purposive sampling is anchored in choosing informants who are well versed with relevant information regarding the phenomenon under study. </w:t>
      </w:r>
      <w:r>
        <w:rPr>
          <w:rFonts w:ascii="Times New Roman" w:hAnsi="Times New Roman" w:cs="Times New Roman"/>
          <w:sz w:val="24"/>
          <w:szCs w:val="24"/>
        </w:rPr>
        <w:t>Furthermore, Creswell, (2013) posit that both qualitative and quantitative studies can adopt the purposive sampling technique. This technique is of essence when the researcher is focused on discovering the phenomenon under study</w:t>
      </w:r>
      <w:r>
        <w:rPr>
          <w:rFonts w:ascii="Times New Roman" w:hAnsi="Times New Roman" w:cs="Times New Roman"/>
          <w:color w:val="202124"/>
          <w:sz w:val="24"/>
          <w:szCs w:val="24"/>
          <w:shd w:val="clear" w:color="auto" w:fill="FFFFFF"/>
        </w:rPr>
        <w:t xml:space="preserve"> </w:t>
      </w:r>
      <w:r>
        <w:rPr>
          <w:rFonts w:ascii="Times New Roman" w:hAnsi="Times New Roman" w:cs="Times New Roman"/>
          <w:sz w:val="24"/>
          <w:szCs w:val="24"/>
        </w:rPr>
        <w:t xml:space="preserve">since it entails applying logic and adequate judgement in selecting the proper habitations and seeing the right quantity of people who are suitable for the focus of a research </w:t>
      </w:r>
      <w:r>
        <w:rPr>
          <w:rFonts w:ascii="Times New Roman" w:hAnsi="Times New Roman" w:cs="Times New Roman"/>
          <w:color w:val="202124"/>
          <w:sz w:val="24"/>
          <w:szCs w:val="24"/>
          <w:shd w:val="clear" w:color="auto" w:fill="FFFFFF"/>
        </w:rPr>
        <w:t>(</w:t>
      </w:r>
      <w:r>
        <w:rPr>
          <w:rFonts w:ascii="Times New Roman" w:hAnsi="Times New Roman" w:cs="Times New Roman"/>
          <w:color w:val="222222"/>
          <w:sz w:val="24"/>
          <w:szCs w:val="24"/>
          <w:shd w:val="clear" w:color="auto" w:fill="FFFFFF"/>
        </w:rPr>
        <w:t>Holmes, 2013).</w:t>
      </w:r>
    </w:p>
    <w:p w14:paraId="19FB824F" w14:textId="77777777" w:rsidR="00B01D46" w:rsidRDefault="00B01D46">
      <w:pPr>
        <w:spacing w:after="0" w:line="240" w:lineRule="auto"/>
        <w:ind w:right="65"/>
        <w:jc w:val="both"/>
        <w:rPr>
          <w:rFonts w:ascii="Times New Roman" w:hAnsi="Times New Roman" w:cs="Times New Roman"/>
          <w:sz w:val="24"/>
          <w:szCs w:val="24"/>
        </w:rPr>
      </w:pPr>
    </w:p>
    <w:p w14:paraId="60C2DEB3" w14:textId="77777777" w:rsidR="00B01D46" w:rsidRDefault="0067013E">
      <w:pPr>
        <w:pStyle w:val="Heading2"/>
      </w:pPr>
      <w:bookmarkStart w:id="990" w:name="_Toc165367655"/>
      <w:bookmarkStart w:id="991" w:name="_Toc165898032"/>
      <w:bookmarkStart w:id="992" w:name="_Toc184272897"/>
      <w:bookmarkStart w:id="993" w:name="_Toc165973080"/>
      <w:bookmarkStart w:id="994" w:name="_Toc165369197"/>
      <w:bookmarkStart w:id="995" w:name="_Toc165975801"/>
      <w:bookmarkStart w:id="996" w:name="_Toc165368381"/>
      <w:bookmarkStart w:id="997" w:name="_Toc165365179"/>
      <w:r>
        <w:t>4.7 Data Collection Methods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14:paraId="2EE6563D" w14:textId="77777777" w:rsidR="00B01D46" w:rsidRDefault="0067013E">
      <w:pPr>
        <w:spacing w:line="480" w:lineRule="auto"/>
        <w:ind w:right="65"/>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procedure of gathering and analyzing data on particular variables in a research study helps the investigator to address the research topic. This process is known as data collection. The goal of data collecting, according to </w:t>
      </w:r>
      <w:r>
        <w:rPr>
          <w:rFonts w:ascii="Times New Roman" w:hAnsi="Times New Roman" w:cs="Times New Roman"/>
          <w:color w:val="222222"/>
          <w:sz w:val="24"/>
          <w:szCs w:val="24"/>
          <w:shd w:val="clear" w:color="auto" w:fill="FFFFFF"/>
        </w:rPr>
        <w:t>Mazhar et al (2021)</w:t>
      </w:r>
      <w:r>
        <w:rPr>
          <w:rFonts w:ascii="Times New Roman" w:hAnsi="Times New Roman" w:cs="Times New Roman"/>
          <w:sz w:val="24"/>
          <w:szCs w:val="24"/>
        </w:rPr>
        <w:t xml:space="preserve"> is to collect high-quality information that enables analysis to result in the construction of plausible and persuasive solutions to the research topic. This study's mixed-method strategy required the employment of both qualitative and quantitative data collection methods. Interviews, questionnaires, and document analysis were utilized to gather both qualitative and quantitative data. </w:t>
      </w:r>
      <w:bookmarkStart w:id="998" w:name="_Toc332822310"/>
      <w:bookmarkStart w:id="999" w:name="_Toc314153055"/>
      <w:bookmarkStart w:id="1000" w:name="_Toc332823506"/>
      <w:bookmarkStart w:id="1001" w:name="_Toc332820887"/>
      <w:bookmarkStart w:id="1002" w:name="_Toc332822707"/>
      <w:bookmarkStart w:id="1003" w:name="_Toc314155502"/>
      <w:bookmarkStart w:id="1004" w:name="_Toc314156271"/>
      <w:bookmarkStart w:id="1005" w:name="_Toc332821913"/>
      <w:bookmarkStart w:id="1006" w:name="_Toc332823907"/>
      <w:bookmarkStart w:id="1007" w:name="_Toc374800288"/>
      <w:bookmarkStart w:id="1008" w:name="_Toc374802084"/>
      <w:bookmarkStart w:id="1009" w:name="_Toc374802823"/>
      <w:bookmarkStart w:id="1010" w:name="_Toc303421429"/>
      <w:bookmarkStart w:id="1011" w:name="_Toc303429148"/>
      <w:bookmarkStart w:id="1012" w:name="_Toc303423982"/>
      <w:bookmarkStart w:id="1013" w:name="_Toc303423452"/>
      <w:bookmarkStart w:id="1014" w:name="_Toc303418896"/>
      <w:bookmarkStart w:id="1015" w:name="_Toc303422487"/>
      <w:bookmarkStart w:id="1016" w:name="_Toc303428137"/>
      <w:r>
        <w:rPr>
          <w:rFonts w:ascii="Times New Roman" w:eastAsia="Times New Roman" w:hAnsi="Times New Roman" w:cs="Times New Roman"/>
          <w:sz w:val="24"/>
          <w:szCs w:val="24"/>
        </w:rPr>
        <w:t xml:space="preserve">The data collection instruments yielded </w:t>
      </w:r>
      <w:r>
        <w:rPr>
          <w:rFonts w:ascii="Times New Roman" w:eastAsia="Times New Roman" w:hAnsi="Times New Roman" w:cs="Times New Roman"/>
          <w:sz w:val="24"/>
          <w:szCs w:val="24"/>
        </w:rPr>
        <w:lastRenderedPageBreak/>
        <w:t xml:space="preserve">accurate and sufficient data that was pertinent to the study's research problem. Mazhar (2021) allude that instrument selection affects the type, quantity, and quality of data that must be collected as well as the selection analysis that must be performed. The goal of the semi-structured interview was to gather qualitative information from </w:t>
      </w:r>
      <w:r>
        <w:rPr>
          <w:rFonts w:ascii="Times New Roman" w:hAnsi="Times New Roman" w:cs="Times New Roman"/>
          <w:sz w:val="24"/>
          <w:szCs w:val="24"/>
        </w:rPr>
        <w:t>heads of departments, head medical librarians, and university librarians</w:t>
      </w:r>
      <w:r>
        <w:rPr>
          <w:rFonts w:ascii="Times New Roman" w:eastAsia="Times New Roman" w:hAnsi="Times New Roman" w:cs="Times New Roman"/>
          <w:sz w:val="24"/>
          <w:szCs w:val="24"/>
        </w:rPr>
        <w:t xml:space="preserve">. </w:t>
      </w:r>
      <w:r>
        <w:rPr>
          <w:rFonts w:ascii="Times New Roman" w:hAnsi="Times New Roman" w:cs="Times New Roman"/>
          <w:sz w:val="24"/>
          <w:szCs w:val="24"/>
        </w:rPr>
        <w:t>students and lecturers</w:t>
      </w:r>
      <w:r>
        <w:rPr>
          <w:rFonts w:ascii="Times New Roman" w:eastAsia="Times New Roman" w:hAnsi="Times New Roman" w:cs="Times New Roman"/>
          <w:sz w:val="24"/>
          <w:szCs w:val="24"/>
        </w:rPr>
        <w:t xml:space="preserve"> were asked to complete a self-administered questionnaire in order to gather quantitative data. Correspondingly, </w:t>
      </w:r>
      <w:r>
        <w:rPr>
          <w:rFonts w:ascii="Times New Roman" w:hAnsi="Times New Roman" w:cs="Times New Roman"/>
          <w:sz w:val="24"/>
          <w:szCs w:val="24"/>
        </w:rPr>
        <w:t xml:space="preserve">Cohen et al. (2017) and Creswell (2012) agree that the selection of data collecting tools affects a research study's results. </w:t>
      </w:r>
    </w:p>
    <w:p w14:paraId="55873A80" w14:textId="77777777" w:rsidR="00B01D46" w:rsidRDefault="0067013E">
      <w:pPr>
        <w:pStyle w:val="Heading3"/>
      </w:pPr>
      <w:bookmarkStart w:id="1017" w:name="_Toc165975802"/>
      <w:bookmarkStart w:id="1018" w:name="_Toc165368382"/>
      <w:bookmarkStart w:id="1019" w:name="_Toc165365180"/>
      <w:bookmarkStart w:id="1020" w:name="_Toc165369198"/>
      <w:bookmarkStart w:id="1021" w:name="_Toc165367656"/>
      <w:bookmarkStart w:id="1022" w:name="_Toc164664018"/>
      <w:bookmarkStart w:id="1023" w:name="_Toc165898033"/>
      <w:bookmarkStart w:id="1024" w:name="_Toc165973081"/>
      <w:bookmarkStart w:id="1025" w:name="_Toc184272898"/>
      <w:r>
        <w:t xml:space="preserve">4.7.1 </w:t>
      </w:r>
      <w:bookmarkEnd w:id="998"/>
      <w:bookmarkEnd w:id="999"/>
      <w:bookmarkEnd w:id="1000"/>
      <w:bookmarkEnd w:id="1001"/>
      <w:bookmarkEnd w:id="1002"/>
      <w:bookmarkEnd w:id="1003"/>
      <w:bookmarkEnd w:id="1004"/>
      <w:bookmarkEnd w:id="1005"/>
      <w:bookmarkEnd w:id="1006"/>
      <w:r>
        <w:t>Interviews</w:t>
      </w:r>
      <w:bookmarkEnd w:id="1007"/>
      <w:bookmarkEnd w:id="1008"/>
      <w:bookmarkEnd w:id="1009"/>
      <w:bookmarkEnd w:id="1017"/>
      <w:bookmarkEnd w:id="1018"/>
      <w:bookmarkEnd w:id="1019"/>
      <w:bookmarkEnd w:id="1020"/>
      <w:bookmarkEnd w:id="1021"/>
      <w:bookmarkEnd w:id="1022"/>
      <w:bookmarkEnd w:id="1023"/>
      <w:bookmarkEnd w:id="1024"/>
      <w:bookmarkEnd w:id="1025"/>
    </w:p>
    <w:bookmarkEnd w:id="1010"/>
    <w:bookmarkEnd w:id="1011"/>
    <w:bookmarkEnd w:id="1012"/>
    <w:bookmarkEnd w:id="1013"/>
    <w:bookmarkEnd w:id="1014"/>
    <w:bookmarkEnd w:id="1015"/>
    <w:bookmarkEnd w:id="1016"/>
    <w:p w14:paraId="3FDC2042" w14:textId="4389479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An interview, according to </w:t>
      </w:r>
      <w:r>
        <w:rPr>
          <w:rFonts w:ascii="Times New Roman" w:hAnsi="Times New Roman" w:cs="Times New Roman"/>
          <w:color w:val="222222"/>
          <w:sz w:val="24"/>
          <w:szCs w:val="24"/>
          <w:shd w:val="clear" w:color="auto" w:fill="FFFFFF"/>
        </w:rPr>
        <w:t xml:space="preserve">Knott et al (2022) </w:t>
      </w:r>
      <w:r>
        <w:rPr>
          <w:rFonts w:ascii="Times New Roman" w:hAnsi="Times New Roman" w:cs="Times New Roman"/>
          <w:sz w:val="24"/>
          <w:szCs w:val="24"/>
        </w:rPr>
        <w:t xml:space="preserve">is a deliberate conversation between two or more persons. Similarly, Cohen et al. (2017), avers that, an interview is a flexible tool for data collection that permits the use of speech, nonverbal communication, visible said, and auditory multimodal channels.  Additionally, Tepperman, </w:t>
      </w:r>
      <w:r w:rsidR="00211A6A">
        <w:rPr>
          <w:rFonts w:ascii="Times New Roman" w:hAnsi="Times New Roman" w:cs="Times New Roman"/>
          <w:sz w:val="24"/>
          <w:szCs w:val="24"/>
        </w:rPr>
        <w:t>&amp;</w:t>
      </w:r>
      <w:r>
        <w:rPr>
          <w:rFonts w:ascii="Times New Roman" w:hAnsi="Times New Roman" w:cs="Times New Roman"/>
          <w:sz w:val="24"/>
          <w:szCs w:val="24"/>
        </w:rPr>
        <w:t>Albanese (2012), assert that both quantitative and qualitative data may be gathered through interviews. Furthermore, they claim that while qualitative data can be gathered through the use of a less formal, non-directive interview to investigate a broader variety of subjects, including the ideas and feelings of research participants, quantitative data can be gathered via the utilization of a formal, controlled interview.</w:t>
      </w:r>
    </w:p>
    <w:p w14:paraId="7ACE630F" w14:textId="048C4AA5"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Correspondingly, Cohen et al (2018) state that using interviews can aid in the gathering of not only accurate but trustworthy data that are pertinent to a study’s questions and objectives. Equally, interviews might be highly professional and structured with standardized questions for each responder, or they can be casual and unstructured chats, according to Cohen, Manion, </w:t>
      </w:r>
      <w:r w:rsidR="00211A6A">
        <w:rPr>
          <w:rFonts w:ascii="Times New Roman" w:hAnsi="Times New Roman" w:cs="Times New Roman"/>
          <w:sz w:val="24"/>
          <w:szCs w:val="24"/>
        </w:rPr>
        <w:t>&amp;</w:t>
      </w:r>
      <w:r>
        <w:rPr>
          <w:rFonts w:ascii="Times New Roman" w:hAnsi="Times New Roman" w:cs="Times New Roman"/>
          <w:sz w:val="24"/>
          <w:szCs w:val="24"/>
        </w:rPr>
        <w:t xml:space="preserve"> Marrison (2018). </w:t>
      </w:r>
    </w:p>
    <w:p w14:paraId="5ABB238B" w14:textId="77777777" w:rsidR="00B01D46" w:rsidRDefault="0067013E">
      <w:pPr>
        <w:autoSpaceDE w:val="0"/>
        <w:autoSpaceDN w:val="0"/>
        <w:adjustRightInd w:val="0"/>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lastRenderedPageBreak/>
        <w:t xml:space="preserve">Personal interviews were used to collect data from the university librarians, head medical librarians and HODs in both universities. Separate interview schedules were developed for these three groups of participants (See Appendices 3, 4 and 5). This is in line with their different job descriptions and interactions and perceptions of the concepts in the study. The researcher approached each of the interviewees beforehand to arrange for an appropriate time and duration for the interviews. Once this was granted, the researcher then supplied each respondent with a list of themes that would be explored during the actual interviews with a request that the interviewees use it to prepare beforehand for the interviews. </w:t>
      </w:r>
    </w:p>
    <w:p w14:paraId="584F7751" w14:textId="77777777" w:rsidR="00B01D46" w:rsidRDefault="0067013E">
      <w:pPr>
        <w:spacing w:line="480" w:lineRule="auto"/>
        <w:ind w:right="65"/>
        <w:jc w:val="both"/>
        <w:rPr>
          <w:rFonts w:ascii="Times New Roman" w:hAnsi="Times New Roman" w:cs="Times New Roman"/>
          <w:i/>
          <w:iCs/>
          <w:sz w:val="24"/>
          <w:szCs w:val="24"/>
        </w:rPr>
      </w:pPr>
      <w:r>
        <w:rPr>
          <w:rFonts w:ascii="Times New Roman" w:hAnsi="Times New Roman" w:cs="Times New Roman"/>
          <w:sz w:val="24"/>
          <w:szCs w:val="24"/>
        </w:rPr>
        <w:t>Subsequently, the researcher personally carried out an individual face-to-face interview with each of the respondents. During the interviews, the researcher was able to clarify questions, correct misunderstandings and probe responses for more information that all added to the collection of in-depth information from the respondents. Using open-ended questions in the interviews enabled collection of a variety of information in detail that provided a lot of information for the study. Examples of such questions were: -</w:t>
      </w:r>
      <w:r>
        <w:rPr>
          <w:rFonts w:ascii="Times New Roman" w:hAnsi="Times New Roman" w:cs="Times New Roman"/>
          <w:i/>
          <w:iCs/>
          <w:sz w:val="24"/>
          <w:szCs w:val="24"/>
        </w:rPr>
        <w:t xml:space="preserve">What is your opinion on </w:t>
      </w:r>
      <w:r>
        <w:rPr>
          <w:rFonts w:ascii="Times New Roman" w:hAnsi="Times New Roman" w:cs="Times New Roman"/>
          <w:bCs/>
          <w:i/>
          <w:iCs/>
          <w:sz w:val="24"/>
          <w:szCs w:val="24"/>
        </w:rPr>
        <w:t>Information Literacy Skills</w:t>
      </w:r>
      <w:r>
        <w:rPr>
          <w:rFonts w:ascii="Times New Roman" w:hAnsi="Times New Roman" w:cs="Times New Roman"/>
          <w:b/>
          <w:i/>
          <w:iCs/>
          <w:sz w:val="24"/>
          <w:szCs w:val="24"/>
        </w:rPr>
        <w:t xml:space="preserve"> </w:t>
      </w:r>
      <w:r>
        <w:rPr>
          <w:rFonts w:ascii="Times New Roman" w:hAnsi="Times New Roman" w:cs="Times New Roman"/>
          <w:i/>
          <w:iCs/>
          <w:sz w:val="24"/>
          <w:szCs w:val="24"/>
        </w:rPr>
        <w:t xml:space="preserve">competency of the medical Students in your department? How adequate are the ILS in enabling medical undergraduate students in your department carry out their studies effectively? Does your institution have a formal information literacy policy and curriculum; Briefly state the procedure of formulating the ILS policy and curriculum? </w:t>
      </w:r>
      <w:r>
        <w:rPr>
          <w:rFonts w:ascii="Times New Roman" w:hAnsi="Times New Roman" w:cs="Times New Roman"/>
          <w:sz w:val="24"/>
          <w:szCs w:val="24"/>
        </w:rPr>
        <w:t>As the interviews progressed, notes were taken by hand as well as recording of the conversations using an audio-recording device. Permission to record the conversations was obtained via the informed consent letter.</w:t>
      </w:r>
    </w:p>
    <w:p w14:paraId="7BA146DF"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Manion et al (2019); Kothari (2014) agree that interviews enable a researcher to discover in much more depth than compared to any other method of collecting data. </w:t>
      </w:r>
      <w:r>
        <w:rPr>
          <w:rFonts w:ascii="Times New Roman" w:hAnsi="Times New Roman" w:cs="Times New Roman"/>
          <w:sz w:val="24"/>
          <w:szCs w:val="24"/>
        </w:rPr>
        <w:lastRenderedPageBreak/>
        <w:t xml:space="preserve">Respondents are not only given the opportunity to explain in a manner that comparable methods do not, but they are also given the option of sharing information with investigators in their own phrases and perspectives, instead of being compelled to fit their viewpoints into the researcher's potentially restricted choice of responses.  (Saunders, Lewis and Thornhill, 2007). </w:t>
      </w:r>
    </w:p>
    <w:p w14:paraId="7528E127" w14:textId="77777777" w:rsidR="00B01D46" w:rsidRDefault="0067013E">
      <w:pPr>
        <w:autoSpaceDE w:val="0"/>
        <w:autoSpaceDN w:val="0"/>
        <w:adjustRightInd w:val="0"/>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Nonetheless, interviews have the drawback of depending on respondents' capacity to remember precise and truthful details about their life, situations, ideas, feelings, or behaviors. Therefore, according to </w:t>
      </w:r>
      <w:r>
        <w:rPr>
          <w:rFonts w:ascii="Times New Roman" w:hAnsi="Times New Roman" w:cs="Times New Roman"/>
          <w:color w:val="222222"/>
          <w:sz w:val="24"/>
          <w:szCs w:val="24"/>
          <w:shd w:val="clear" w:color="auto" w:fill="FFFFFF"/>
        </w:rPr>
        <w:t xml:space="preserve">Patten (2016) </w:t>
      </w:r>
      <w:r>
        <w:rPr>
          <w:rFonts w:ascii="Times New Roman" w:hAnsi="Times New Roman" w:cs="Times New Roman"/>
          <w:sz w:val="24"/>
          <w:szCs w:val="24"/>
        </w:rPr>
        <w:t>during an interview, hesitancy, specific inhibitive reactions, and so on from the respondents may raise certain suspicions about the veracity of the replies, and the interviewer can subsequently pose indirect questions to confirm his doubts.</w:t>
      </w:r>
    </w:p>
    <w:p w14:paraId="3C529705" w14:textId="77777777" w:rsidR="00B01D46" w:rsidRDefault="0067013E">
      <w:pPr>
        <w:pStyle w:val="Heading3"/>
      </w:pPr>
      <w:bookmarkStart w:id="1026" w:name="_Toc165975803"/>
      <w:bookmarkStart w:id="1027" w:name="_Toc165367657"/>
      <w:bookmarkStart w:id="1028" w:name="_Toc165973082"/>
      <w:bookmarkStart w:id="1029" w:name="_Toc184272899"/>
      <w:bookmarkStart w:id="1030" w:name="_Toc165368383"/>
      <w:bookmarkStart w:id="1031" w:name="_Toc165369199"/>
      <w:bookmarkStart w:id="1032" w:name="_Toc164664019"/>
      <w:bookmarkStart w:id="1033" w:name="_Toc165365181"/>
      <w:bookmarkStart w:id="1034" w:name="_Toc165898034"/>
      <w:bookmarkStart w:id="1035" w:name="_Toc303418899"/>
      <w:bookmarkStart w:id="1036" w:name="_Toc374800289"/>
      <w:bookmarkStart w:id="1037" w:name="_Toc314153057"/>
      <w:bookmarkStart w:id="1038" w:name="_Toc303428140"/>
      <w:bookmarkStart w:id="1039" w:name="_Toc332823908"/>
      <w:bookmarkStart w:id="1040" w:name="_Toc332823507"/>
      <w:bookmarkStart w:id="1041" w:name="_Toc303429151"/>
      <w:bookmarkStart w:id="1042" w:name="_Toc314155504"/>
      <w:bookmarkStart w:id="1043" w:name="_Toc303421432"/>
      <w:bookmarkStart w:id="1044" w:name="_Toc303422490"/>
      <w:bookmarkStart w:id="1045" w:name="_Toc332821914"/>
      <w:bookmarkStart w:id="1046" w:name="_Toc303423985"/>
      <w:bookmarkStart w:id="1047" w:name="_Toc314156273"/>
      <w:bookmarkStart w:id="1048" w:name="_Toc374802824"/>
      <w:bookmarkStart w:id="1049" w:name="_Toc332822708"/>
      <w:bookmarkStart w:id="1050" w:name="_Toc374802085"/>
      <w:bookmarkStart w:id="1051" w:name="_Toc332822311"/>
      <w:bookmarkStart w:id="1052" w:name="_Toc332820888"/>
      <w:bookmarkStart w:id="1053" w:name="_Toc303423455"/>
      <w:r>
        <w:t>4.7.2 Self- administered Questionnaire</w:t>
      </w:r>
      <w:bookmarkEnd w:id="1026"/>
      <w:bookmarkEnd w:id="1027"/>
      <w:bookmarkEnd w:id="1028"/>
      <w:bookmarkEnd w:id="1029"/>
      <w:bookmarkEnd w:id="1030"/>
      <w:bookmarkEnd w:id="1031"/>
      <w:bookmarkEnd w:id="1032"/>
      <w:bookmarkEnd w:id="1033"/>
      <w:bookmarkEnd w:id="1034"/>
    </w:p>
    <w:p w14:paraId="47786C6A" w14:textId="7777777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Style w:val="info-text"/>
          <w:rFonts w:ascii="Times New Roman" w:eastAsiaTheme="majorEastAsia" w:hAnsi="Times New Roman" w:cs="Times New Roman"/>
          <w:sz w:val="24"/>
          <w:szCs w:val="24"/>
        </w:rPr>
        <w:t xml:space="preserve">According to </w:t>
      </w:r>
      <w:r>
        <w:rPr>
          <w:rFonts w:ascii="Times New Roman" w:hAnsi="Times New Roman" w:cs="Times New Roman"/>
          <w:color w:val="222222"/>
          <w:sz w:val="24"/>
          <w:szCs w:val="24"/>
          <w:shd w:val="clear" w:color="auto" w:fill="FFFFFF"/>
        </w:rPr>
        <w:t>Zheng</w:t>
      </w:r>
      <w:r>
        <w:rPr>
          <w:rStyle w:val="info-text"/>
          <w:rFonts w:ascii="Times New Roman" w:eastAsiaTheme="majorEastAsia" w:hAnsi="Times New Roman" w:cs="Times New Roman"/>
          <w:sz w:val="24"/>
          <w:szCs w:val="24"/>
        </w:rPr>
        <w:t xml:space="preserve"> et al (2020), the key tool in descriptive survey study is the questionnaire. Questionnaires are used by researchers to gather data pertaining to the opinions, emotions, views, beliefs, convictions, principles, perception, personality, and behavioral goals of study respondents in a broad population (</w:t>
      </w:r>
      <w:r>
        <w:rPr>
          <w:rFonts w:ascii="Times New Roman" w:hAnsi="Times New Roman" w:cs="Times New Roman"/>
          <w:color w:val="222222"/>
          <w:sz w:val="24"/>
          <w:szCs w:val="24"/>
          <w:shd w:val="clear" w:color="auto" w:fill="FFFFFF"/>
        </w:rPr>
        <w:t>Siedlecki, 2020</w:t>
      </w:r>
      <w:r>
        <w:rPr>
          <w:rStyle w:val="info-text"/>
          <w:rFonts w:ascii="Times New Roman" w:eastAsiaTheme="majorEastAsia" w:hAnsi="Times New Roman" w:cs="Times New Roman"/>
          <w:sz w:val="24"/>
          <w:szCs w:val="24"/>
        </w:rPr>
        <w:t>). Similarly, Cohen et al. (2018) assert that a questionnaire is a popular and useful technique for obtaining information from surveys because it offers organized quantitative data that can be provided without the investigator's presence, and is often relatively straightforward to interpret and analyze.</w:t>
      </w:r>
    </w:p>
    <w:p w14:paraId="71E3F0ED"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Additionally, Creswell (2012) proclaim that the two types of questionnaire design are the open-ended (unstructured) and closed-ended (structured) questionnaires. Open-ended questionnaire is where the respondent is at liberty to give his/her responses without any restrictions, whereas in closed-ended questionnaire research participants </w:t>
      </w:r>
      <w:r>
        <w:rPr>
          <w:rFonts w:ascii="Times New Roman" w:hAnsi="Times New Roman" w:cs="Times New Roman"/>
          <w:sz w:val="24"/>
          <w:szCs w:val="24"/>
        </w:rPr>
        <w:lastRenderedPageBreak/>
        <w:t>are confined to select answers from the many-choice answers provided. the open-ended responses allow an investigator to discover motives (</w:t>
      </w:r>
      <w:r>
        <w:rPr>
          <w:rFonts w:ascii="Times New Roman" w:hAnsi="Times New Roman" w:cs="Times New Roman"/>
          <w:color w:val="222222"/>
          <w:sz w:val="24"/>
          <w:szCs w:val="24"/>
          <w:shd w:val="clear" w:color="auto" w:fill="FFFFFF"/>
        </w:rPr>
        <w:t>Nassaji, 2015</w:t>
      </w:r>
      <w:r>
        <w:rPr>
          <w:rFonts w:ascii="Times New Roman" w:hAnsi="Times New Roman" w:cs="Times New Roman"/>
          <w:sz w:val="24"/>
          <w:szCs w:val="24"/>
        </w:rPr>
        <w:t>)</w:t>
      </w:r>
    </w:p>
    <w:p w14:paraId="509EACCE"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This study utilized questionnaire as means of collecting data because, the questionnaires are cost effective in collecting data from a number of participants who would otherwise not be reached through face-to-face interviews. Additionally, the questionnaires are convenient to the participants since the respondents can complete them at their own convenience (</w:t>
      </w:r>
      <w:r>
        <w:rPr>
          <w:rFonts w:ascii="Times New Roman" w:hAnsi="Times New Roman" w:cs="Times New Roman"/>
          <w:color w:val="222222"/>
          <w:sz w:val="24"/>
          <w:szCs w:val="24"/>
          <w:shd w:val="clear" w:color="auto" w:fill="FFFFFF"/>
        </w:rPr>
        <w:t>Atmowardoyo, (2018)</w:t>
      </w:r>
      <w:r>
        <w:rPr>
          <w:rFonts w:ascii="Times New Roman" w:hAnsi="Times New Roman" w:cs="Times New Roman"/>
          <w:sz w:val="24"/>
          <w:szCs w:val="24"/>
        </w:rPr>
        <w:t xml:space="preserve">; Creswell, 2012). The study utilized open-ended (unstructured) and closed-ended (structured) questionnaires, because, according to </w:t>
      </w:r>
      <w:r>
        <w:rPr>
          <w:rFonts w:ascii="Times New Roman" w:hAnsi="Times New Roman" w:cs="Times New Roman"/>
          <w:color w:val="222222"/>
          <w:sz w:val="24"/>
          <w:szCs w:val="24"/>
          <w:shd w:val="clear" w:color="auto" w:fill="FFFFFF"/>
        </w:rPr>
        <w:t xml:space="preserve">Erickson, (2017) </w:t>
      </w:r>
      <w:r>
        <w:rPr>
          <w:rFonts w:ascii="Times New Roman" w:hAnsi="Times New Roman" w:cs="Times New Roman"/>
          <w:sz w:val="24"/>
          <w:szCs w:val="24"/>
        </w:rPr>
        <w:t xml:space="preserve">the shortcomings of questionnaires can be hugely minimized by mixing structured and unstructured questions. Furthermore, Mazhar (2021) state that there are two categories of questionnaire, that is </w:t>
      </w:r>
      <w:r>
        <w:rPr>
          <w:rFonts w:ascii="Times New Roman" w:eastAsia="Times New Roman" w:hAnsi="Times New Roman" w:cs="Times New Roman"/>
          <w:sz w:val="24"/>
          <w:szCs w:val="24"/>
        </w:rPr>
        <w:t>self-completed and interviewer-completed questionnaires. </w:t>
      </w:r>
      <w:r>
        <w:rPr>
          <w:rFonts w:ascii="Times New Roman" w:hAnsi="Times New Roman" w:cs="Times New Roman"/>
          <w:sz w:val="24"/>
          <w:szCs w:val="24"/>
        </w:rPr>
        <w:t>The study adopted self-completed questionnaires to collect data from students and lecturers from the two selected universities. The choice of a questionnaire as one of the data collection instruments for these particular respondents was informed by the fact that they are widely dispersed</w:t>
      </w:r>
    </w:p>
    <w:p w14:paraId="72584CA6" w14:textId="77777777" w:rsidR="00B01D46" w:rsidRDefault="0067013E">
      <w:pPr>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questions in the data collection instruments were divided into different sections reflecting the thematic areas captured in the research questions, theoretical framework and literature review. These included questions drawing on the status of ILS among medical undergraduate students; adequacy of ILS policies and curriculum; ILS understanding among medical undergraduate students; ILS possessed by staff facilitating ILS instruction; and ICT integration in ILS learning and instruction. Self-administered questionnaires were designed to enable collection of facts, attitudes and opinions and establish the respondents’ experiences and knowledge about different concepts of importance to the study, such ILS curriculum </w:t>
      </w:r>
      <w:r>
        <w:rPr>
          <w:rFonts w:ascii="Times New Roman" w:hAnsi="Times New Roman" w:cs="Times New Roman"/>
          <w:sz w:val="24"/>
          <w:szCs w:val="24"/>
        </w:rPr>
        <w:lastRenderedPageBreak/>
        <w:t>design, implementation and review. Closed-ended type questions were used in the questionnaire to enable standardized data to be collected (for example: “what skills does ILS policy cover?” For this question, respondents were provided with a limited set of responses and they were required to pick one from. Closed-ended questions enabled collection of quantitative data that was easily coded and analysed thereafter. Open-ended questions were also included in the questionnaire to allow respondents to answer them as they saw fit and provide their own opinions and observations on certain aspects of the research questions (for example ― “What strategies do you think should be utilized to improve information literacy skills training among medical undergraduate students?”). Open-ended questions allowed gleaning of information in rich details that were hitherto unknown to the researcher and which the researcher had not thought of beforehand. These types of questions gathered qualitative data. The self-administered questionnaires were advantageous for the study as they enabled the researcher to collect data cost-effectively from a large group of people who would otherwise not have been reached by face-to-face encounters. They were also convenient for the respondents who could complete them at their own convenience. Separate questionnaires were developed for the students and lecturers (see Appendices 1 and 2).</w:t>
      </w:r>
    </w:p>
    <w:p w14:paraId="40817923" w14:textId="77777777" w:rsidR="00B01D46" w:rsidRDefault="0067013E">
      <w:pPr>
        <w:pStyle w:val="Heading3"/>
      </w:pPr>
      <w:bookmarkStart w:id="1054" w:name="_Toc184272900"/>
      <w:bookmarkStart w:id="1055" w:name="_Toc164664020"/>
      <w:bookmarkStart w:id="1056" w:name="_Toc165365182"/>
      <w:bookmarkStart w:id="1057" w:name="_Toc165898035"/>
      <w:bookmarkStart w:id="1058" w:name="_Toc165367658"/>
      <w:bookmarkStart w:id="1059" w:name="_Toc165975804"/>
      <w:bookmarkStart w:id="1060" w:name="_Toc165368384"/>
      <w:bookmarkStart w:id="1061" w:name="_Toc165369200"/>
      <w:bookmarkStart w:id="1062" w:name="_Toc165973083"/>
      <w:r>
        <w:t>4.7.3 Document Analysis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14:paraId="4210FEDE"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This includes a thorough assessment of papers created throughout a wide spectrum of social sciences, ranging from the written word to visual pictures.  Document review helps in triangulation to help reduce biasness and increase credibility and confidence in the research findings. The documents which were analyzed include: Commission for University Education guidelines; university policies, university calendars, strategic plans, syllabi and course outlines from participating universities, </w:t>
      </w:r>
      <w:r>
        <w:rPr>
          <w:rFonts w:ascii="Times New Roman" w:hAnsi="Times New Roman" w:cs="Times New Roman"/>
          <w:sz w:val="24"/>
          <w:szCs w:val="24"/>
        </w:rPr>
        <w:lastRenderedPageBreak/>
        <w:t xml:space="preserve">past research publications in ILS; relevant official documents and research documents on university education were also analyzed. </w:t>
      </w:r>
    </w:p>
    <w:p w14:paraId="210E6B9C" w14:textId="77777777" w:rsidR="00B01D46" w:rsidRDefault="0067013E">
      <w:pPr>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t>By triangulating data from documents review and interviews, the researcher attempted to provide a confluence of evidence to enhance credibility and reduce the impact of potential biases that can exist in a single study (Mazhar, 2021). In sum, documents review provided background and context, supplementary data, a means of tracking change and development, and verification of findings from other data sources.</w:t>
      </w:r>
    </w:p>
    <w:p w14:paraId="4142F4CC" w14:textId="77777777" w:rsidR="00B01D46" w:rsidRDefault="0067013E">
      <w:pPr>
        <w:pStyle w:val="Heading2"/>
      </w:pPr>
      <w:bookmarkStart w:id="1063" w:name="_Toc184272901"/>
      <w:bookmarkStart w:id="1064" w:name="_Toc165367659"/>
      <w:bookmarkStart w:id="1065" w:name="_Toc164664021"/>
      <w:bookmarkStart w:id="1066" w:name="_Toc165973084"/>
      <w:bookmarkStart w:id="1067" w:name="_Toc165898036"/>
      <w:bookmarkStart w:id="1068" w:name="_Toc165975805"/>
      <w:bookmarkStart w:id="1069" w:name="_Toc165368385"/>
      <w:bookmarkStart w:id="1070" w:name="_Toc165365183"/>
      <w:bookmarkStart w:id="1071" w:name="_Toc165369201"/>
      <w:r>
        <w:t>4.8 Data Collection Procedures</w:t>
      </w:r>
      <w:bookmarkEnd w:id="1063"/>
      <w:bookmarkEnd w:id="1064"/>
      <w:bookmarkEnd w:id="1065"/>
      <w:bookmarkEnd w:id="1066"/>
      <w:bookmarkEnd w:id="1067"/>
      <w:bookmarkEnd w:id="1068"/>
      <w:bookmarkEnd w:id="1069"/>
      <w:bookmarkEnd w:id="1070"/>
      <w:bookmarkEnd w:id="1071"/>
    </w:p>
    <w:p w14:paraId="40B607A2" w14:textId="77777777" w:rsidR="00B01D46" w:rsidRDefault="0067013E">
      <w:pPr>
        <w:spacing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used mixed methods, which allowed the researcher to obtain quantitative data from medical undergraduate students and lecturers, as well as qualitative data from university librarians, heads of departments, and heads of medical librarians.</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The use of mixed method guarantees that data acquired by one approach may be confirmed by the other </w:t>
      </w:r>
      <w:r>
        <w:rPr>
          <w:rFonts w:ascii="Times New Roman" w:hAnsi="Times New Roman" w:cs="Times New Roman"/>
          <w:sz w:val="24"/>
          <w:szCs w:val="24"/>
        </w:rPr>
        <w:t xml:space="preserve">(Cohen et al, 2018).  </w:t>
      </w:r>
      <w:r>
        <w:rPr>
          <w:rFonts w:ascii="Times New Roman" w:eastAsia="Times New Roman" w:hAnsi="Times New Roman" w:cs="Times New Roman"/>
          <w:sz w:val="24"/>
          <w:szCs w:val="24"/>
        </w:rPr>
        <w:t xml:space="preserve">Before beginning data collection, the researcher generated data collecting tools, which comprised of questionnaires and interview schedules. These instruments were validated through to face and content validities by choosing a sample of specialists in the field of study to provide a critical assessment of the translation of the constructs in the research tools </w:t>
      </w:r>
      <w:r>
        <w:rPr>
          <w:rFonts w:ascii="Times New Roman" w:hAnsi="Times New Roman" w:cs="Times New Roman"/>
          <w:sz w:val="24"/>
          <w:szCs w:val="24"/>
        </w:rPr>
        <w:t xml:space="preserve">(Komp &amp; Tromp, 2008; Cohen et al, 2018). Correspondingly the research subject the data collection instruments to Cronbach’s alpha values of above 0.7 </w:t>
      </w:r>
      <w:r>
        <w:rPr>
          <w:rFonts w:ascii="Times New Roman" w:eastAsia="Times New Roman" w:hAnsi="Times New Roman" w:cs="Times New Roman"/>
          <w:sz w:val="24"/>
          <w:szCs w:val="24"/>
        </w:rPr>
        <w:t xml:space="preserve">to test internal consistency, which entails correlating replies to items in the questionnaire with one another </w:t>
      </w:r>
      <w:r>
        <w:rPr>
          <w:rFonts w:ascii="Times New Roman" w:hAnsi="Times New Roman" w:cs="Times New Roman"/>
          <w:sz w:val="24"/>
          <w:szCs w:val="24"/>
        </w:rPr>
        <w:t xml:space="preserve">(Kothari, 2014; and Creswell, 2013). Data collection tools were adjusted to suit the research problem. </w:t>
      </w:r>
      <w:r>
        <w:rPr>
          <w:rFonts w:ascii="Times New Roman" w:eastAsia="Times New Roman" w:hAnsi="Times New Roman" w:cs="Times New Roman"/>
          <w:sz w:val="24"/>
          <w:szCs w:val="24"/>
        </w:rPr>
        <w:t>After acquiring study permissions and gatekeeper authorization letters the data gathering exercise began.</w:t>
      </w:r>
    </w:p>
    <w:p w14:paraId="224F9D4E"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lastRenderedPageBreak/>
        <w:t xml:space="preserve">A week to commencement of data collection exercise, the researcher visited the two selected universities for an introduction session and to book appointments with the university librarians, head of departments, head medical librarians, lecturers and class representatives. Heads of departments set up meetings with the lecturers where the lecturer distributed the questionnaires to individual lecturers. The respective heads of departments, university librarians and heads medical librarians personally gave the appointment dates of when they would be available for the exercise. The class representatives helped set up meetings with researchers to give students in their classes the questionnaires. Some respondents consented and they were interviewed and others filled the questionnaires which were picked up later. All the lecturers filled and returned the questionnaires. Some of the students however, declined entirely to take part in the study explaining that their schedule was too tight and did not have time to attend to the questionnaire. </w:t>
      </w:r>
    </w:p>
    <w:p w14:paraId="63528FCD" w14:textId="77777777" w:rsidR="00B01D46" w:rsidRDefault="0067013E">
      <w:pPr>
        <w:spacing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Throughout the interviews, the conversations were audio recorded, and the researcher also took handwritten notes as a backup to the audio recording. Creswell (2013) praise audio recording interviews because they can be played back and listened to frequently to acquire clarity, it gives a permanent record, and it is full in terms of the speech that transpired.</w:t>
      </w:r>
      <w:r>
        <w:rPr>
          <w:rFonts w:ascii="Times New Roman" w:hAnsi="Times New Roman" w:cs="Times New Roman"/>
          <w:sz w:val="24"/>
          <w:szCs w:val="24"/>
        </w:rPr>
        <w:t xml:space="preserve"> Two interviews were done in a day depending on the availability of the interviewee.  In some cases, interview appointments had to be rescheduled on numerous occasions due to the participants’ busy nature of work. The interviews done on each day were transcribed at the end of every day to avoid any confusion with other interviews. Questionnaires were collected at the two universities’ colleges of Health Sciences.</w:t>
      </w:r>
    </w:p>
    <w:p w14:paraId="71639CD6" w14:textId="77777777" w:rsidR="00B01D46" w:rsidRDefault="0067013E">
      <w:pPr>
        <w:pStyle w:val="Heading2"/>
      </w:pPr>
      <w:bookmarkStart w:id="1072" w:name="_Toc165973085"/>
      <w:bookmarkStart w:id="1073" w:name="_Toc165975806"/>
      <w:bookmarkStart w:id="1074" w:name="_Toc165368386"/>
      <w:bookmarkStart w:id="1075" w:name="_Toc165367660"/>
      <w:bookmarkStart w:id="1076" w:name="_Toc165369202"/>
      <w:bookmarkStart w:id="1077" w:name="_Toc165898037"/>
      <w:bookmarkStart w:id="1078" w:name="_Toc164664022"/>
      <w:bookmarkStart w:id="1079" w:name="_Toc184272902"/>
      <w:bookmarkStart w:id="1080" w:name="_Toc165365184"/>
      <w:r>
        <w:lastRenderedPageBreak/>
        <w:t>4.9 Data Validity and Reliability</w:t>
      </w:r>
      <w:bookmarkEnd w:id="1072"/>
      <w:bookmarkEnd w:id="1073"/>
      <w:bookmarkEnd w:id="1074"/>
      <w:bookmarkEnd w:id="1075"/>
      <w:bookmarkEnd w:id="1076"/>
      <w:bookmarkEnd w:id="1077"/>
      <w:bookmarkEnd w:id="1078"/>
      <w:bookmarkEnd w:id="1079"/>
      <w:bookmarkEnd w:id="1080"/>
    </w:p>
    <w:p w14:paraId="1584B721" w14:textId="77777777" w:rsidR="00B01D46" w:rsidRDefault="0067013E">
      <w:pPr>
        <w:pStyle w:val="Default"/>
        <w:spacing w:after="240" w:line="480" w:lineRule="auto"/>
        <w:ind w:right="65"/>
        <w:jc w:val="both"/>
        <w:rPr>
          <w:color w:val="auto"/>
        </w:rPr>
      </w:pPr>
      <w:r>
        <w:rPr>
          <w:color w:val="auto"/>
        </w:rPr>
        <w:t xml:space="preserve">Scholars in research methodology (Cohen et al 2017; </w:t>
      </w:r>
      <w:r>
        <w:t xml:space="preserve">Kothari, 2014; </w:t>
      </w:r>
      <w:r>
        <w:rPr>
          <w:color w:val="auto"/>
        </w:rPr>
        <w:t>Saunders</w:t>
      </w:r>
      <w:r>
        <w:t xml:space="preserve">, Lewis and Thornhill, 2012; </w:t>
      </w:r>
      <w:r>
        <w:rPr>
          <w:color w:val="auto"/>
        </w:rPr>
        <w:t>Creswell, 2013) concur that the worthiness of the precision of data gathering processes is critical to the success of any research endeavor. That is, the equipment or techniques used to gather the data must produce the sort of data that the researcher need to correctly answer the research study questions. Furthermore, Cohen et al. (2017) state that for data to be credible and legitimate, the data collection approach must produce information that is both relevant to the study objectives and correct.</w:t>
      </w:r>
    </w:p>
    <w:p w14:paraId="1F722A5B" w14:textId="77777777" w:rsidR="00B01D46" w:rsidRDefault="0067013E">
      <w:pPr>
        <w:pStyle w:val="Heading3"/>
      </w:pPr>
      <w:bookmarkStart w:id="1081" w:name="_Toc165367661"/>
      <w:bookmarkStart w:id="1082" w:name="_Toc165368387"/>
      <w:bookmarkStart w:id="1083" w:name="_Toc165365185"/>
      <w:bookmarkStart w:id="1084" w:name="_Toc165973086"/>
      <w:bookmarkStart w:id="1085" w:name="_Toc165369203"/>
      <w:bookmarkStart w:id="1086" w:name="_Toc164664023"/>
      <w:bookmarkStart w:id="1087" w:name="_Toc165898038"/>
      <w:bookmarkStart w:id="1088" w:name="_Toc165975807"/>
      <w:bookmarkStart w:id="1089" w:name="_Toc184272903"/>
      <w:r>
        <w:t>4.9.1 Validity</w:t>
      </w:r>
      <w:bookmarkEnd w:id="1081"/>
      <w:bookmarkEnd w:id="1082"/>
      <w:bookmarkEnd w:id="1083"/>
      <w:bookmarkEnd w:id="1084"/>
      <w:bookmarkEnd w:id="1085"/>
      <w:bookmarkEnd w:id="1086"/>
      <w:bookmarkEnd w:id="1087"/>
      <w:bookmarkEnd w:id="1088"/>
      <w:bookmarkEnd w:id="1089"/>
    </w:p>
    <w:p w14:paraId="79CFB5D4" w14:textId="77777777" w:rsidR="00B01D46" w:rsidRDefault="0067013E">
      <w:pPr>
        <w:pStyle w:val="Default"/>
        <w:spacing w:line="480" w:lineRule="auto"/>
        <w:ind w:right="65"/>
        <w:jc w:val="both"/>
        <w:rPr>
          <w:color w:val="auto"/>
        </w:rPr>
      </w:pPr>
      <w:bookmarkStart w:id="1090" w:name="_Hlk184732801"/>
      <w:r>
        <w:rPr>
          <w:color w:val="auto"/>
        </w:rPr>
        <w:t>Validity is the extent to which data collection method(s) accurately and exactly measure what they were supposed to measure, or the amount to which research results are actually related to what they claim to be about (Saunders</w:t>
      </w:r>
      <w:r>
        <w:t>, Lewis and Thornhill, 2012</w:t>
      </w:r>
      <w:r>
        <w:rPr>
          <w:color w:val="auto"/>
        </w:rPr>
        <w:t xml:space="preserve">). </w:t>
      </w:r>
    </w:p>
    <w:p w14:paraId="307F7EE0" w14:textId="77777777" w:rsidR="00B01D46" w:rsidRDefault="0067013E">
      <w:pPr>
        <w:tabs>
          <w:tab w:val="left" w:pos="5490"/>
        </w:tabs>
        <w:spacing w:before="120" w:after="0" w:line="480" w:lineRule="auto"/>
        <w:ind w:right="65"/>
        <w:jc w:val="both"/>
        <w:rPr>
          <w:rFonts w:ascii="Times New Roman" w:hAnsi="Times New Roman" w:cs="Times New Roman"/>
          <w:sz w:val="24"/>
          <w:szCs w:val="24"/>
        </w:rPr>
      </w:pPr>
      <w:bookmarkStart w:id="1091" w:name="_Hlk158378211"/>
      <w:r>
        <w:rPr>
          <w:rFonts w:ascii="Times New Roman" w:hAnsi="Times New Roman" w:cs="Times New Roman"/>
          <w:sz w:val="24"/>
          <w:szCs w:val="24"/>
        </w:rPr>
        <w:t>The study espoused both content and face validities. Content validity is an estimate of how well data acquired through a certain data collection tool represents a particular set of indicators or specific ideas (</w:t>
      </w:r>
      <w:r>
        <w:rPr>
          <w:rFonts w:ascii="Times New Roman" w:hAnsi="Times New Roman" w:cs="Times New Roman"/>
          <w:color w:val="222222"/>
          <w:sz w:val="24"/>
          <w:szCs w:val="24"/>
          <w:shd w:val="clear" w:color="auto" w:fill="FFFFFF"/>
        </w:rPr>
        <w:t>Erickson</w:t>
      </w:r>
      <w:r>
        <w:rPr>
          <w:rFonts w:ascii="Times New Roman" w:hAnsi="Times New Roman" w:cs="Times New Roman"/>
          <w:sz w:val="24"/>
          <w:szCs w:val="24"/>
        </w:rPr>
        <w:t xml:space="preserve">, 2017). </w:t>
      </w:r>
    </w:p>
    <w:p w14:paraId="263330C4" w14:textId="77777777" w:rsidR="00B01D46" w:rsidRDefault="0067013E">
      <w:pPr>
        <w:pStyle w:val="Default"/>
        <w:spacing w:before="120" w:line="480" w:lineRule="auto"/>
        <w:ind w:right="65"/>
        <w:jc w:val="both"/>
        <w:rPr>
          <w:color w:val="auto"/>
        </w:rPr>
      </w:pPr>
      <w:r>
        <w:rPr>
          <w:color w:val="auto"/>
        </w:rPr>
        <w:t xml:space="preserve">Face validity implies that the questions meant to test an idea should appear to test the ideas on the surface of the schedule (Saunders et al., 2012). To ensure that the questionnaires and interview schedules are valid, the researcher sent out the tools for collecting data to ILS experts for recommendations, suggestions and proposals on desired changes that needed to be made in terms of question suitability, questionnaire structure, and interview schedule (Saunders et al., 2012). </w:t>
      </w:r>
      <w:bookmarkEnd w:id="1091"/>
      <w:r>
        <w:t xml:space="preserve">These specialists included academicians from Moi University's School of Information Sciences as well as four </w:t>
      </w:r>
      <w:r>
        <w:lastRenderedPageBreak/>
        <w:t xml:space="preserve">university librarians from around Kenya. Their feedback was used to improve the data collection instruments. </w:t>
      </w:r>
      <w:bookmarkEnd w:id="1090"/>
      <w:r>
        <w:t>Similarly, the researcher adapted questions from survey techniques used in past comparable studies. The researcher believes that these instruments must have been tested for validity before usage in these studies. As such,</w:t>
      </w:r>
      <w:r>
        <w:rPr>
          <w:color w:val="auto"/>
        </w:rPr>
        <w:t xml:space="preserve"> the study adapted and modified questionnaires used in another relevant research, namely Kingori (2015); Kanguha (2015); Kavulya (2004) Baro &amp; Zuokemefa (2011); and Foo &amp; Majid (2009). </w:t>
      </w:r>
    </w:p>
    <w:p w14:paraId="14E29D6E" w14:textId="77777777" w:rsidR="00B01D46" w:rsidRDefault="0067013E">
      <w:pPr>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t>Other method for determining validity is to triangulate the interviews, questionnaires and document review (Yeasmin and Rahman, 2012). Furthermore, the shortcomings of a particular technique are offset via the positive aspects of the other (Cohen, 2018).</w:t>
      </w:r>
    </w:p>
    <w:p w14:paraId="54BE50B6" w14:textId="77777777" w:rsidR="00B01D46" w:rsidRDefault="0067013E">
      <w:pPr>
        <w:pStyle w:val="Heading3"/>
      </w:pPr>
      <w:bookmarkStart w:id="1092" w:name="_Toc165367662"/>
      <w:bookmarkStart w:id="1093" w:name="_Toc165369204"/>
      <w:bookmarkStart w:id="1094" w:name="_Toc165898039"/>
      <w:bookmarkStart w:id="1095" w:name="_Toc164664024"/>
      <w:bookmarkStart w:id="1096" w:name="_Toc184272904"/>
      <w:bookmarkStart w:id="1097" w:name="_Toc165973087"/>
      <w:bookmarkStart w:id="1098" w:name="_Toc165368388"/>
      <w:bookmarkStart w:id="1099" w:name="_Toc165365186"/>
      <w:bookmarkStart w:id="1100" w:name="_Toc165975808"/>
      <w:bookmarkEnd w:id="713"/>
      <w:r>
        <w:t>4.9.2 Reliability</w:t>
      </w:r>
      <w:bookmarkEnd w:id="1092"/>
      <w:bookmarkEnd w:id="1093"/>
      <w:bookmarkEnd w:id="1094"/>
      <w:bookmarkEnd w:id="1095"/>
      <w:bookmarkEnd w:id="1096"/>
      <w:bookmarkEnd w:id="1097"/>
      <w:bookmarkEnd w:id="1098"/>
      <w:bookmarkEnd w:id="1099"/>
      <w:bookmarkEnd w:id="1100"/>
    </w:p>
    <w:p w14:paraId="242B4876" w14:textId="77777777" w:rsidR="00B01D46" w:rsidRDefault="0067013E">
      <w:pPr>
        <w:spacing w:after="0" w:line="480" w:lineRule="auto"/>
        <w:ind w:right="65"/>
        <w:jc w:val="both"/>
        <w:rPr>
          <w:rFonts w:ascii="Times New Roman" w:hAnsi="Times New Roman" w:cs="Times New Roman"/>
          <w:sz w:val="24"/>
          <w:szCs w:val="24"/>
        </w:rPr>
      </w:pPr>
      <w:bookmarkStart w:id="1101" w:name="_Hlk184732691"/>
      <w:r>
        <w:rPr>
          <w:rFonts w:ascii="Times New Roman" w:hAnsi="Times New Roman" w:cs="Times New Roman"/>
          <w:sz w:val="24"/>
          <w:szCs w:val="24"/>
        </w:rPr>
        <w:t>Reliability entails showing that the procedures of a study, like data gathering strategies and analysis processes, would yield comparable results if conducted on another period or by a different scholar (Cohen et al 2018;  Creswell, (2013); Saunders, Lewis and Thornhill (2012) have identified various ways of ascertaining reliability, namely; test-retest technique method which is issuing the same data collecting tool two times to the same respondents; equivalent-form approach which employs two comparable tools, whereby each item in each form vary from one another, but they are meant to assess a similar idea. Split-half technique is an approach in which a tool is divided into two separate sections, and theme results from a single section are tallied with results from the other; internal consistency technique, in which the rating derived in one item is tallied with ratings gathered from other questions in the instrument. Following the pre-test, Cronbach's alpha, a statistical significance measure, was employed to assess the internal uniformity of responses to the questionnaire's particular inquiries.</w:t>
      </w:r>
    </w:p>
    <w:p w14:paraId="2B879163" w14:textId="77777777" w:rsidR="00B01D46" w:rsidRDefault="0067013E">
      <w:pPr>
        <w:pStyle w:val="Heading3"/>
        <w:rPr>
          <w:rStyle w:val="Heading3Char"/>
          <w:rFonts w:eastAsiaTheme="majorEastAsia"/>
          <w:b/>
          <w:bCs/>
        </w:rPr>
      </w:pPr>
      <w:bookmarkStart w:id="1102" w:name="_Toc184272905"/>
      <w:bookmarkEnd w:id="1101"/>
      <w:r>
        <w:rPr>
          <w:rStyle w:val="Heading3Char"/>
          <w:rFonts w:eastAsiaTheme="majorEastAsia"/>
          <w:b/>
          <w:bCs/>
        </w:rPr>
        <w:lastRenderedPageBreak/>
        <w:t>4.9.3 Pilot Study</w:t>
      </w:r>
      <w:bookmarkEnd w:id="1102"/>
    </w:p>
    <w:p w14:paraId="0AE1577D" w14:textId="42147522"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Piloting of data collection instruments was carried out to achieve reliability and validity. This is a preliminary test or 'trying out' or carrying out trials on the data collection instruments (Kothari, 2014; </w:t>
      </w:r>
      <w:bookmarkStart w:id="1103" w:name="_Hlk182149036"/>
      <w:r>
        <w:rPr>
          <w:rFonts w:ascii="Times New Roman" w:hAnsi="Times New Roman" w:cs="Times New Roman"/>
          <w:sz w:val="24"/>
          <w:szCs w:val="24"/>
        </w:rPr>
        <w:t xml:space="preserve">Komp </w:t>
      </w:r>
      <w:r w:rsidR="00211A6A">
        <w:rPr>
          <w:rFonts w:ascii="Times New Roman" w:hAnsi="Times New Roman" w:cs="Times New Roman"/>
          <w:sz w:val="24"/>
          <w:szCs w:val="24"/>
        </w:rPr>
        <w:t>&amp;</w:t>
      </w:r>
      <w:r>
        <w:rPr>
          <w:rFonts w:ascii="Times New Roman" w:hAnsi="Times New Roman" w:cs="Times New Roman"/>
          <w:sz w:val="24"/>
          <w:szCs w:val="24"/>
        </w:rPr>
        <w:t xml:space="preserve"> Trompo</w:t>
      </w:r>
      <w:bookmarkEnd w:id="1103"/>
      <w:r>
        <w:rPr>
          <w:rFonts w:ascii="Times New Roman" w:hAnsi="Times New Roman" w:cs="Times New Roman"/>
          <w:sz w:val="24"/>
          <w:szCs w:val="24"/>
        </w:rPr>
        <w:t xml:space="preserve">, 2011). A pilot study allows a researcher to gain an early warning about where research procedures may fail or whether planned methodologies or instruments are unsuitable or overly complicated (Doody </w:t>
      </w:r>
      <w:r w:rsidR="00211A6A">
        <w:rPr>
          <w:rFonts w:ascii="Times New Roman" w:hAnsi="Times New Roman" w:cs="Times New Roman"/>
          <w:sz w:val="24"/>
          <w:szCs w:val="24"/>
        </w:rPr>
        <w:t>&amp;</w:t>
      </w:r>
      <w:r>
        <w:rPr>
          <w:rFonts w:ascii="Times New Roman" w:hAnsi="Times New Roman" w:cs="Times New Roman"/>
          <w:sz w:val="24"/>
          <w:szCs w:val="24"/>
        </w:rPr>
        <w:t xml:space="preserve"> Doody, 2018). Conducting a pilot study allows the researcher to acquire and improve the abilities required before beginning the larger inquiry. The researcher gets preliminary data, checks whether the instruments are effective, evaluates the data-analysis process, and clarifies what resources are necessary (Doody </w:t>
      </w:r>
      <w:r w:rsidR="00211A6A">
        <w:rPr>
          <w:rFonts w:ascii="Times New Roman" w:hAnsi="Times New Roman" w:cs="Times New Roman"/>
          <w:sz w:val="24"/>
          <w:szCs w:val="24"/>
        </w:rPr>
        <w:t>&amp;</w:t>
      </w:r>
      <w:r>
        <w:rPr>
          <w:rFonts w:ascii="Times New Roman" w:hAnsi="Times New Roman" w:cs="Times New Roman"/>
          <w:sz w:val="24"/>
          <w:szCs w:val="24"/>
        </w:rPr>
        <w:t xml:space="preserve"> Doody, 2018). The data collection tools were piloted at AMREF University because the institution trains medical doctors, hence, it had similar characteristics related to medical training. The interview schedules were administered to the university librarian, two heads of departments, and one reference librarian, and questionnaires were administered to forty (40) sixth-year students in medicine. This translated to forty-four (44) participants. This was deemed adequate for piloting because according to Doody </w:t>
      </w:r>
      <w:r w:rsidR="00211A6A">
        <w:rPr>
          <w:rFonts w:ascii="Times New Roman" w:hAnsi="Times New Roman" w:cs="Times New Roman"/>
          <w:sz w:val="24"/>
          <w:szCs w:val="24"/>
        </w:rPr>
        <w:t>&amp;</w:t>
      </w:r>
      <w:r>
        <w:rPr>
          <w:rFonts w:ascii="Times New Roman" w:hAnsi="Times New Roman" w:cs="Times New Roman"/>
          <w:sz w:val="24"/>
          <w:szCs w:val="24"/>
        </w:rPr>
        <w:t xml:space="preserve"> Doody, (2018), thirty-five (35) participants and above are a reasonable representative.  Once the exercise was completed, the researcher assessed the results and adjusted the instruments appropriately. </w:t>
      </w:r>
      <w:r>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 xml:space="preserve">The number was informed by Creswell (2013) who suggests that 30 representative participants is a reasonable minimum recommended for a pilot study. Once the pilot study was complete, the outcome of the interviews and the questionnaire were assessed consulting scholars with experience in ILS. Further, the statistician used the outcome of the questionnaires to test the reliability of the instruments using Cronbach values of </w:t>
      </w:r>
      <w:r>
        <w:rPr>
          <w:rFonts w:ascii="Times New Roman" w:hAnsi="Times New Roman" w:cs="Times New Roman"/>
          <w:sz w:val="24"/>
          <w:szCs w:val="24"/>
        </w:rPr>
        <w:lastRenderedPageBreak/>
        <w:t xml:space="preserve">above 0.7. The responses obtained were used to adjust the data collection instruments to suit the study.    </w:t>
      </w:r>
    </w:p>
    <w:p w14:paraId="01E605B2" w14:textId="77777777" w:rsidR="00B01D46" w:rsidRDefault="0067013E">
      <w:pPr>
        <w:pStyle w:val="Heading3"/>
      </w:pPr>
      <w:bookmarkStart w:id="1104" w:name="_Toc184272906"/>
      <w:r>
        <w:t>4.9.4 Cronbach’s Alpha</w:t>
      </w:r>
      <w:bookmarkEnd w:id="1104"/>
    </w:p>
    <w:p w14:paraId="70752260"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Additionally, the questionnaires' reliability was assessed using Cronbach's Alpha.</w:t>
      </w:r>
    </w:p>
    <w:p w14:paraId="58B4BD3A" w14:textId="77777777" w:rsidR="00B01D46" w:rsidRDefault="0067013E">
      <w:pPr>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Cronbach's alpha was applied to assess the internal consistency of the data collection tools, this entails </w:t>
      </w:r>
      <w:r>
        <w:rPr>
          <w:rFonts w:ascii="Times New Roman" w:hAnsi="Times New Roman" w:cs="Times New Roman"/>
          <w:color w:val="333333"/>
          <w:sz w:val="24"/>
          <w:szCs w:val="24"/>
          <w:shd w:val="clear" w:color="auto" w:fill="FFFFFF"/>
        </w:rPr>
        <w:t>how intently connected a set of items are as a set</w:t>
      </w:r>
      <w:r>
        <w:rPr>
          <w:rFonts w:ascii="Times New Roman" w:hAnsi="Times New Roman" w:cs="Times New Roman"/>
          <w:sz w:val="24"/>
          <w:szCs w:val="24"/>
        </w:rPr>
        <w:t>. Cronbach's alpha is made up of an alpha coefficient with a value spanning from zero to one as shown in table 4.7 below. An item with a reliability coefficient below 0.5 is deemed unacceptable, 0.5 to 0.6 is unfortunate, 0.6 to 0.7 is dubious, 0.7 to 0.8 is acceptable, 0.8 to 0.9 is decent while above 0.9 is exceptional.</w:t>
      </w:r>
    </w:p>
    <w:p w14:paraId="28CC50AF" w14:textId="77777777" w:rsidR="00B01D46" w:rsidRDefault="0067013E">
      <w:pPr>
        <w:pStyle w:val="Caption"/>
      </w:pPr>
      <w:bookmarkStart w:id="1105" w:name="_Toc165975809"/>
      <w:bookmarkStart w:id="1106" w:name="_Toc165973088"/>
      <w:bookmarkStart w:id="1107" w:name="_Toc184271987"/>
      <w:bookmarkStart w:id="1108" w:name="_Toc184276897"/>
      <w:r>
        <w:t>Table 4.8: Cronbach’s Alpha Table</w:t>
      </w:r>
      <w:bookmarkEnd w:id="1105"/>
      <w:bookmarkEnd w:id="1106"/>
      <w:bookmarkEnd w:id="1107"/>
      <w:bookmarkEnd w:id="1108"/>
    </w:p>
    <w:p w14:paraId="414011A8"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4F3FF894" wp14:editId="64301E2E">
            <wp:extent cx="2466340" cy="1628775"/>
            <wp:effectExtent l="0" t="0" r="0" b="0"/>
            <wp:docPr id="2140515909" name="Picture 2140515909" descr="Cronbach's Alpha: Definition, Interpretation, SP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15909" name="Picture 2140515909" descr="Cronbach's Alpha: Definition, Interpretation, SPSS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470150" cy="1630872"/>
                    </a:xfrm>
                    <a:prstGeom prst="rect">
                      <a:avLst/>
                    </a:prstGeom>
                    <a:noFill/>
                    <a:ln>
                      <a:noFill/>
                    </a:ln>
                  </pic:spPr>
                </pic:pic>
              </a:graphicData>
            </a:graphic>
          </wp:inline>
        </w:drawing>
      </w:r>
    </w:p>
    <w:p w14:paraId="51F229D4" w14:textId="77777777" w:rsidR="00B01D46" w:rsidRDefault="0067013E">
      <w:pPr>
        <w:spacing w:after="0" w:line="240" w:lineRule="auto"/>
        <w:rPr>
          <w:rFonts w:ascii="Times New Roman" w:hAnsi="Times New Roman"/>
          <w:bCs/>
          <w:i/>
          <w:sz w:val="24"/>
          <w:szCs w:val="18"/>
        </w:rPr>
      </w:pPr>
      <w:bookmarkStart w:id="1109" w:name="_Toc165365188"/>
      <w:bookmarkStart w:id="1110" w:name="_Toc165975810"/>
      <w:bookmarkStart w:id="1111" w:name="_Toc165363414"/>
      <w:bookmarkStart w:id="1112" w:name="_Toc165973089"/>
      <w:bookmarkStart w:id="1113" w:name="_Toc165898041"/>
      <w:bookmarkStart w:id="1114" w:name="_Hlk159789959"/>
      <w:r>
        <w:br w:type="page"/>
      </w:r>
    </w:p>
    <w:p w14:paraId="523B9503" w14:textId="77777777" w:rsidR="00B01D46" w:rsidRDefault="0067013E">
      <w:pPr>
        <w:pStyle w:val="Caption"/>
      </w:pPr>
      <w:bookmarkStart w:id="1115" w:name="_Toc184276898"/>
      <w:bookmarkStart w:id="1116" w:name="_Toc184271988"/>
      <w:r>
        <w:lastRenderedPageBreak/>
        <w:t>Table 4.9: Cronbach’s Alpha Values</w:t>
      </w:r>
      <w:bookmarkEnd w:id="1109"/>
      <w:bookmarkEnd w:id="1110"/>
      <w:bookmarkEnd w:id="1111"/>
      <w:bookmarkEnd w:id="1112"/>
      <w:bookmarkEnd w:id="1113"/>
      <w:bookmarkEnd w:id="1115"/>
      <w:bookmarkEnd w:id="1116"/>
    </w:p>
    <w:tbl>
      <w:tblPr>
        <w:tblStyle w:val="TableGrid"/>
        <w:tblW w:w="8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5"/>
        <w:gridCol w:w="1350"/>
        <w:gridCol w:w="1521"/>
      </w:tblGrid>
      <w:tr w:rsidR="00B01D46" w14:paraId="13B8B8FE" w14:textId="77777777">
        <w:trPr>
          <w:trHeight w:val="20"/>
        </w:trPr>
        <w:tc>
          <w:tcPr>
            <w:tcW w:w="5305" w:type="dxa"/>
            <w:tcBorders>
              <w:top w:val="single" w:sz="4" w:space="0" w:color="auto"/>
              <w:bottom w:val="single" w:sz="4" w:space="0" w:color="auto"/>
            </w:tcBorders>
          </w:tcPr>
          <w:bookmarkEnd w:id="1114"/>
          <w:p w14:paraId="52D07C9D"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 xml:space="preserve">Research Objectives </w:t>
            </w:r>
          </w:p>
        </w:tc>
        <w:tc>
          <w:tcPr>
            <w:tcW w:w="1350" w:type="dxa"/>
            <w:tcBorders>
              <w:top w:val="single" w:sz="4" w:space="0" w:color="auto"/>
              <w:bottom w:val="single" w:sz="4" w:space="0" w:color="auto"/>
            </w:tcBorders>
          </w:tcPr>
          <w:p w14:paraId="23497BC9"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Number of Items</w:t>
            </w:r>
          </w:p>
        </w:tc>
        <w:tc>
          <w:tcPr>
            <w:tcW w:w="1521" w:type="dxa"/>
            <w:tcBorders>
              <w:top w:val="single" w:sz="4" w:space="0" w:color="auto"/>
              <w:bottom w:val="single" w:sz="4" w:space="0" w:color="auto"/>
            </w:tcBorders>
          </w:tcPr>
          <w:p w14:paraId="551EA54F"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Cronbach’s Alpha</w:t>
            </w:r>
          </w:p>
        </w:tc>
      </w:tr>
      <w:tr w:rsidR="00B01D46" w14:paraId="03F608DD" w14:textId="77777777">
        <w:trPr>
          <w:trHeight w:val="20"/>
        </w:trPr>
        <w:tc>
          <w:tcPr>
            <w:tcW w:w="5305" w:type="dxa"/>
            <w:tcBorders>
              <w:top w:val="single" w:sz="4" w:space="0" w:color="auto"/>
            </w:tcBorders>
          </w:tcPr>
          <w:p w14:paraId="309DB454" w14:textId="77777777" w:rsidR="00B01D46" w:rsidRDefault="0067013E">
            <w:pPr>
              <w:spacing w:after="0" w:line="240" w:lineRule="auto"/>
              <w:ind w:right="65"/>
              <w:rPr>
                <w:rFonts w:ascii="Times New Roman" w:hAnsi="Times New Roman" w:cs="Times New Roman"/>
                <w:b/>
                <w:bCs/>
                <w:sz w:val="24"/>
                <w:szCs w:val="24"/>
              </w:rPr>
            </w:pPr>
            <w:r>
              <w:rPr>
                <w:rFonts w:ascii="Times New Roman" w:hAnsi="Times New Roman" w:cs="Times New Roman"/>
                <w:sz w:val="24"/>
                <w:szCs w:val="24"/>
              </w:rPr>
              <w:t>To assess the status of information literacy skills of medical undergraduate students at Moi University and the University of Nairobi.</w:t>
            </w:r>
          </w:p>
        </w:tc>
        <w:tc>
          <w:tcPr>
            <w:tcW w:w="1350" w:type="dxa"/>
            <w:tcBorders>
              <w:top w:val="single" w:sz="4" w:space="0" w:color="auto"/>
            </w:tcBorders>
          </w:tcPr>
          <w:p w14:paraId="2D1BBC01"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12</w:t>
            </w:r>
          </w:p>
        </w:tc>
        <w:tc>
          <w:tcPr>
            <w:tcW w:w="1521" w:type="dxa"/>
            <w:tcBorders>
              <w:top w:val="single" w:sz="4" w:space="0" w:color="auto"/>
            </w:tcBorders>
          </w:tcPr>
          <w:p w14:paraId="1C0842C4"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0.803</w:t>
            </w:r>
          </w:p>
        </w:tc>
      </w:tr>
      <w:tr w:rsidR="00B01D46" w14:paraId="4603C302" w14:textId="77777777">
        <w:trPr>
          <w:trHeight w:val="20"/>
        </w:trPr>
        <w:tc>
          <w:tcPr>
            <w:tcW w:w="5305" w:type="dxa"/>
          </w:tcPr>
          <w:p w14:paraId="10BEA77B" w14:textId="77777777" w:rsidR="00B01D46" w:rsidRDefault="0067013E">
            <w:pPr>
              <w:spacing w:after="0" w:line="240" w:lineRule="auto"/>
              <w:ind w:right="65"/>
              <w:rPr>
                <w:rFonts w:ascii="Times New Roman" w:hAnsi="Times New Roman" w:cs="Times New Roman"/>
                <w:b/>
                <w:bCs/>
                <w:sz w:val="24"/>
                <w:szCs w:val="24"/>
              </w:rPr>
            </w:pPr>
            <w:r>
              <w:rPr>
                <w:rFonts w:ascii="Times New Roman" w:hAnsi="Times New Roman" w:cs="Times New Roman"/>
                <w:sz w:val="24"/>
                <w:szCs w:val="24"/>
              </w:rPr>
              <w:t>To examine the information literacy skills policies and curricula supporting the adequacy of   ILS among medical undergraduate students at the two universities</w:t>
            </w:r>
          </w:p>
        </w:tc>
        <w:tc>
          <w:tcPr>
            <w:tcW w:w="1350" w:type="dxa"/>
          </w:tcPr>
          <w:p w14:paraId="7D2BDF10"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16</w:t>
            </w:r>
          </w:p>
        </w:tc>
        <w:tc>
          <w:tcPr>
            <w:tcW w:w="1521" w:type="dxa"/>
          </w:tcPr>
          <w:p w14:paraId="171970A9"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0.707</w:t>
            </w:r>
          </w:p>
        </w:tc>
      </w:tr>
      <w:tr w:rsidR="00B01D46" w14:paraId="2D189D89" w14:textId="77777777">
        <w:trPr>
          <w:trHeight w:val="20"/>
        </w:trPr>
        <w:tc>
          <w:tcPr>
            <w:tcW w:w="5305" w:type="dxa"/>
          </w:tcPr>
          <w:p w14:paraId="195D05BC" w14:textId="77777777" w:rsidR="00B01D46" w:rsidRDefault="0067013E">
            <w:pPr>
              <w:spacing w:after="0" w:line="240" w:lineRule="auto"/>
              <w:ind w:right="65"/>
              <w:rPr>
                <w:rFonts w:ascii="Times New Roman" w:hAnsi="Times New Roman" w:cs="Times New Roman"/>
                <w:b/>
                <w:bCs/>
                <w:sz w:val="24"/>
                <w:szCs w:val="24"/>
              </w:rPr>
            </w:pPr>
            <w:r>
              <w:rPr>
                <w:rFonts w:ascii="Times New Roman" w:hAnsi="Times New Roman" w:cs="Times New Roman"/>
                <w:sz w:val="24"/>
                <w:szCs w:val="24"/>
              </w:rPr>
              <w:t>To explore the ILS understanding among medical undergraduate students</w:t>
            </w:r>
          </w:p>
        </w:tc>
        <w:tc>
          <w:tcPr>
            <w:tcW w:w="1350" w:type="dxa"/>
          </w:tcPr>
          <w:p w14:paraId="20B1C741"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6</w:t>
            </w:r>
          </w:p>
        </w:tc>
        <w:tc>
          <w:tcPr>
            <w:tcW w:w="1521" w:type="dxa"/>
          </w:tcPr>
          <w:p w14:paraId="5F35C6CD"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0.672</w:t>
            </w:r>
          </w:p>
        </w:tc>
      </w:tr>
      <w:tr w:rsidR="00B01D46" w14:paraId="17FD59EC" w14:textId="77777777">
        <w:trPr>
          <w:trHeight w:val="20"/>
        </w:trPr>
        <w:tc>
          <w:tcPr>
            <w:tcW w:w="5305" w:type="dxa"/>
          </w:tcPr>
          <w:p w14:paraId="24605C4D" w14:textId="77777777" w:rsidR="00B01D46" w:rsidRDefault="0067013E">
            <w:pPr>
              <w:spacing w:after="0" w:line="240" w:lineRule="auto"/>
              <w:ind w:right="65"/>
              <w:rPr>
                <w:rFonts w:ascii="Times New Roman" w:hAnsi="Times New Roman" w:cs="Times New Roman"/>
                <w:b/>
                <w:bCs/>
                <w:sz w:val="24"/>
                <w:szCs w:val="24"/>
              </w:rPr>
            </w:pPr>
            <w:r>
              <w:rPr>
                <w:rFonts w:ascii="Times New Roman" w:hAnsi="Times New Roman" w:cs="Times New Roman"/>
                <w:sz w:val="24"/>
                <w:szCs w:val="24"/>
              </w:rPr>
              <w:t xml:space="preserve">To analyze the knowledge and skills possessed by staff engaged in facilitating ILS among medical undergraduate students </w:t>
            </w:r>
          </w:p>
        </w:tc>
        <w:tc>
          <w:tcPr>
            <w:tcW w:w="1350" w:type="dxa"/>
          </w:tcPr>
          <w:p w14:paraId="1FC1AD0C"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9</w:t>
            </w:r>
          </w:p>
        </w:tc>
        <w:tc>
          <w:tcPr>
            <w:tcW w:w="1521" w:type="dxa"/>
          </w:tcPr>
          <w:p w14:paraId="64186C3D"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0.831</w:t>
            </w:r>
          </w:p>
        </w:tc>
      </w:tr>
      <w:tr w:rsidR="00B01D46" w14:paraId="600FEBC2" w14:textId="77777777">
        <w:trPr>
          <w:trHeight w:val="20"/>
        </w:trPr>
        <w:tc>
          <w:tcPr>
            <w:tcW w:w="5305" w:type="dxa"/>
            <w:tcBorders>
              <w:bottom w:val="single" w:sz="4" w:space="0" w:color="auto"/>
            </w:tcBorders>
          </w:tcPr>
          <w:p w14:paraId="6D6F6C94" w14:textId="77777777" w:rsidR="00B01D46" w:rsidRDefault="0067013E">
            <w:pPr>
              <w:spacing w:after="0" w:line="240" w:lineRule="auto"/>
              <w:ind w:right="65"/>
              <w:rPr>
                <w:rFonts w:ascii="Times New Roman" w:hAnsi="Times New Roman" w:cs="Times New Roman"/>
                <w:b/>
                <w:bCs/>
                <w:sz w:val="24"/>
                <w:szCs w:val="24"/>
              </w:rPr>
            </w:pPr>
            <w:r>
              <w:rPr>
                <w:rFonts w:ascii="Times New Roman" w:hAnsi="Times New Roman" w:cs="Times New Roman"/>
                <w:sz w:val="24"/>
                <w:szCs w:val="24"/>
              </w:rPr>
              <w:t>To examine the role of ICT in facilitating and promoting information literacy skills among medical undergraduate students at the two universities</w:t>
            </w:r>
          </w:p>
        </w:tc>
        <w:tc>
          <w:tcPr>
            <w:tcW w:w="1350" w:type="dxa"/>
            <w:tcBorders>
              <w:bottom w:val="single" w:sz="4" w:space="0" w:color="auto"/>
            </w:tcBorders>
          </w:tcPr>
          <w:p w14:paraId="66A54C4B"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18</w:t>
            </w:r>
          </w:p>
        </w:tc>
        <w:tc>
          <w:tcPr>
            <w:tcW w:w="1521" w:type="dxa"/>
            <w:tcBorders>
              <w:bottom w:val="single" w:sz="4" w:space="0" w:color="auto"/>
            </w:tcBorders>
          </w:tcPr>
          <w:p w14:paraId="6E6CD40D" w14:textId="77777777" w:rsidR="00B01D46" w:rsidRDefault="0067013E">
            <w:pPr>
              <w:autoSpaceDE w:val="0"/>
              <w:autoSpaceDN w:val="0"/>
              <w:adjustRightInd w:val="0"/>
              <w:spacing w:after="0" w:line="240" w:lineRule="auto"/>
              <w:ind w:right="65"/>
              <w:jc w:val="both"/>
              <w:rPr>
                <w:rFonts w:ascii="Times New Roman" w:hAnsi="Times New Roman" w:cs="Times New Roman"/>
                <w:b/>
                <w:bCs/>
                <w:sz w:val="24"/>
                <w:szCs w:val="24"/>
              </w:rPr>
            </w:pPr>
            <w:r>
              <w:rPr>
                <w:rFonts w:ascii="Times New Roman" w:hAnsi="Times New Roman" w:cs="Times New Roman"/>
                <w:b/>
                <w:bCs/>
                <w:sz w:val="24"/>
                <w:szCs w:val="24"/>
              </w:rPr>
              <w:t>0.877</w:t>
            </w:r>
          </w:p>
        </w:tc>
      </w:tr>
    </w:tbl>
    <w:p w14:paraId="5DD46730" w14:textId="77777777" w:rsidR="00B01D46" w:rsidRDefault="00B01D46">
      <w:pPr>
        <w:spacing w:line="240" w:lineRule="auto"/>
        <w:ind w:right="65"/>
        <w:jc w:val="both"/>
        <w:rPr>
          <w:rFonts w:ascii="Times New Roman" w:hAnsi="Times New Roman" w:cs="Times New Roman"/>
          <w:sz w:val="24"/>
          <w:szCs w:val="24"/>
        </w:rPr>
      </w:pPr>
    </w:p>
    <w:p w14:paraId="388783FD"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Additionally, the study utilized triangulation method to realize reliability and validity. According to Saunders et al (2013) and Kothari (2014) triangulation allows validation of collected study data by cross corroboration of the adopted data collection instruments. The research tools were triangulated employing interviews, questionnaires, and a review of documents.</w:t>
      </w:r>
    </w:p>
    <w:p w14:paraId="41DF5BCC" w14:textId="77777777" w:rsidR="00B01D46" w:rsidRDefault="0067013E">
      <w:pPr>
        <w:pStyle w:val="Heading2"/>
      </w:pPr>
      <w:bookmarkStart w:id="1117" w:name="_Toc165367665"/>
      <w:bookmarkStart w:id="1118" w:name="_Toc165365189"/>
      <w:bookmarkStart w:id="1119" w:name="_Toc165898042"/>
      <w:bookmarkStart w:id="1120" w:name="_Toc165368391"/>
      <w:bookmarkStart w:id="1121" w:name="_Toc165369207"/>
      <w:bookmarkStart w:id="1122" w:name="_Toc165975811"/>
      <w:bookmarkStart w:id="1123" w:name="_Toc184272907"/>
      <w:bookmarkStart w:id="1124" w:name="_Toc164664025"/>
      <w:bookmarkStart w:id="1125" w:name="_Toc165973090"/>
      <w:r>
        <w:t>4.11 Data Analysis Strategies</w:t>
      </w:r>
      <w:bookmarkEnd w:id="1117"/>
      <w:bookmarkEnd w:id="1118"/>
      <w:bookmarkEnd w:id="1119"/>
      <w:bookmarkEnd w:id="1120"/>
      <w:bookmarkEnd w:id="1121"/>
      <w:bookmarkEnd w:id="1122"/>
      <w:bookmarkEnd w:id="1123"/>
      <w:bookmarkEnd w:id="1124"/>
      <w:bookmarkEnd w:id="1125"/>
    </w:p>
    <w:p w14:paraId="30D1879D" w14:textId="77777777" w:rsidR="00B01D46" w:rsidRDefault="0067013E">
      <w:pPr>
        <w:autoSpaceDE w:val="0"/>
        <w:autoSpaceDN w:val="0"/>
        <w:adjustRightInd w:val="0"/>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data was analyzed statistically and qualitatively to provide answers to the study questions. The study examined qualitative data, segmented it into significant logical units, coded the data into significant descriptions or group labels, and grouped the groups of data into themes that responded to the research objectives and questions (Creswell, 2012). Similarly, while analyzing statistical data, the researcher assigned code groups based on a pre-established coding scheme. The chosen coding method suited the study's research objectives and represented the reasoning derived from the data (Babbie, 2007). The codes were then transformed into numerical </w:t>
      </w:r>
      <w:r>
        <w:rPr>
          <w:rFonts w:ascii="Times New Roman" w:hAnsi="Times New Roman" w:cs="Times New Roman"/>
          <w:sz w:val="24"/>
          <w:szCs w:val="24"/>
        </w:rPr>
        <w:lastRenderedPageBreak/>
        <w:t xml:space="preserve">formats (Creswell, 2013). The ensuing data from these numerical representations enabled the study's description, explanation, summary, comparison and understanding data by means of percentages graphs and charts. Table 4.8 summarizes the mapping of research questions to data sources, respondents, and the strategy used to analyze data in each. </w:t>
      </w:r>
    </w:p>
    <w:p w14:paraId="714C5817" w14:textId="77777777" w:rsidR="00B01D46" w:rsidRDefault="0067013E">
      <w:pPr>
        <w:pStyle w:val="Caption"/>
      </w:pPr>
      <w:bookmarkStart w:id="1126" w:name="_Toc165363416"/>
      <w:bookmarkStart w:id="1127" w:name="_Toc165898043"/>
      <w:bookmarkStart w:id="1128" w:name="_Toc184276899"/>
      <w:bookmarkStart w:id="1129" w:name="_Toc165975812"/>
      <w:bookmarkStart w:id="1130" w:name="_Toc165973091"/>
      <w:bookmarkStart w:id="1131" w:name="_Toc184271989"/>
      <w:bookmarkStart w:id="1132" w:name="_Toc165365190"/>
      <w:r>
        <w:t>Table 4.10: Mapping Research Questions to Sources of Data and Data Analysis Approach</w:t>
      </w:r>
      <w:bookmarkEnd w:id="1126"/>
      <w:bookmarkEnd w:id="1127"/>
      <w:bookmarkEnd w:id="1128"/>
      <w:bookmarkEnd w:id="1129"/>
      <w:bookmarkEnd w:id="1130"/>
      <w:bookmarkEnd w:id="1131"/>
      <w:bookmarkEnd w:id="1132"/>
    </w:p>
    <w:tbl>
      <w:tblPr>
        <w:tblStyle w:val="TableGrid"/>
        <w:tblW w:w="7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55"/>
        <w:gridCol w:w="1710"/>
        <w:gridCol w:w="1448"/>
        <w:gridCol w:w="1785"/>
      </w:tblGrid>
      <w:tr w:rsidR="00B01D46" w14:paraId="215F01EE" w14:textId="77777777">
        <w:trPr>
          <w:trHeight w:val="486"/>
        </w:trPr>
        <w:tc>
          <w:tcPr>
            <w:tcW w:w="3055" w:type="dxa"/>
            <w:tcBorders>
              <w:top w:val="single" w:sz="4" w:space="0" w:color="auto"/>
              <w:bottom w:val="single" w:sz="4" w:space="0" w:color="auto"/>
            </w:tcBorders>
          </w:tcPr>
          <w:p w14:paraId="18DC6431" w14:textId="77777777" w:rsidR="00B01D46" w:rsidRDefault="0067013E">
            <w:pPr>
              <w:pStyle w:val="Default"/>
              <w:ind w:right="72"/>
              <w:jc w:val="both"/>
              <w:rPr>
                <w:color w:val="auto"/>
                <w:sz w:val="22"/>
              </w:rPr>
            </w:pPr>
            <w:r>
              <w:rPr>
                <w:b/>
                <w:bCs/>
                <w:color w:val="auto"/>
                <w:sz w:val="22"/>
              </w:rPr>
              <w:t xml:space="preserve">Research Questions </w:t>
            </w:r>
          </w:p>
          <w:p w14:paraId="59FC6CC3" w14:textId="77777777" w:rsidR="00B01D46" w:rsidRDefault="00B01D46">
            <w:pPr>
              <w:pStyle w:val="NormalWeb"/>
              <w:spacing w:before="0" w:beforeAutospacing="0" w:after="0" w:afterAutospacing="0"/>
              <w:ind w:right="72"/>
              <w:jc w:val="both"/>
              <w:rPr>
                <w:b/>
                <w:bCs/>
                <w:sz w:val="22"/>
              </w:rPr>
            </w:pPr>
          </w:p>
        </w:tc>
        <w:tc>
          <w:tcPr>
            <w:tcW w:w="1710" w:type="dxa"/>
            <w:tcBorders>
              <w:top w:val="single" w:sz="4" w:space="0" w:color="auto"/>
              <w:bottom w:val="single" w:sz="4" w:space="0" w:color="auto"/>
            </w:tcBorders>
          </w:tcPr>
          <w:p w14:paraId="43E56130" w14:textId="77777777" w:rsidR="00B01D46" w:rsidRDefault="0067013E">
            <w:pPr>
              <w:pStyle w:val="Default"/>
              <w:ind w:right="72"/>
              <w:jc w:val="both"/>
              <w:rPr>
                <w:color w:val="auto"/>
                <w:sz w:val="22"/>
              </w:rPr>
            </w:pPr>
            <w:r>
              <w:rPr>
                <w:b/>
                <w:bCs/>
                <w:color w:val="auto"/>
                <w:sz w:val="22"/>
              </w:rPr>
              <w:t>Data sources</w:t>
            </w:r>
          </w:p>
          <w:p w14:paraId="51CE3AF0" w14:textId="77777777" w:rsidR="00B01D46" w:rsidRDefault="00B01D46">
            <w:pPr>
              <w:pStyle w:val="NormalWeb"/>
              <w:spacing w:before="0" w:beforeAutospacing="0" w:after="0" w:afterAutospacing="0"/>
              <w:ind w:right="72"/>
              <w:jc w:val="both"/>
              <w:rPr>
                <w:b/>
                <w:bCs/>
                <w:sz w:val="22"/>
              </w:rPr>
            </w:pPr>
          </w:p>
        </w:tc>
        <w:tc>
          <w:tcPr>
            <w:tcW w:w="1448" w:type="dxa"/>
            <w:tcBorders>
              <w:top w:val="single" w:sz="4" w:space="0" w:color="auto"/>
              <w:bottom w:val="single" w:sz="4" w:space="0" w:color="auto"/>
            </w:tcBorders>
          </w:tcPr>
          <w:p w14:paraId="6FB7F47B" w14:textId="77777777" w:rsidR="00B01D46" w:rsidRDefault="0067013E">
            <w:pPr>
              <w:pStyle w:val="Default"/>
              <w:ind w:right="-15"/>
              <w:jc w:val="both"/>
              <w:rPr>
                <w:color w:val="auto"/>
                <w:sz w:val="22"/>
              </w:rPr>
            </w:pPr>
            <w:r>
              <w:rPr>
                <w:b/>
                <w:bCs/>
                <w:color w:val="auto"/>
                <w:sz w:val="22"/>
              </w:rPr>
              <w:t>Respondents</w:t>
            </w:r>
          </w:p>
          <w:p w14:paraId="7F2B1714" w14:textId="77777777" w:rsidR="00B01D46" w:rsidRDefault="00B01D46">
            <w:pPr>
              <w:pStyle w:val="NormalWeb"/>
              <w:spacing w:before="0" w:beforeAutospacing="0" w:after="0" w:afterAutospacing="0"/>
              <w:ind w:right="-15"/>
              <w:jc w:val="both"/>
              <w:rPr>
                <w:b/>
                <w:bCs/>
                <w:sz w:val="22"/>
              </w:rPr>
            </w:pPr>
          </w:p>
        </w:tc>
        <w:tc>
          <w:tcPr>
            <w:tcW w:w="1785" w:type="dxa"/>
            <w:tcBorders>
              <w:top w:val="single" w:sz="4" w:space="0" w:color="auto"/>
              <w:bottom w:val="single" w:sz="4" w:space="0" w:color="auto"/>
            </w:tcBorders>
          </w:tcPr>
          <w:p w14:paraId="332158F8" w14:textId="77777777" w:rsidR="00B01D46" w:rsidRDefault="0067013E">
            <w:pPr>
              <w:pStyle w:val="Default"/>
              <w:ind w:right="72"/>
              <w:jc w:val="both"/>
              <w:rPr>
                <w:b/>
                <w:bCs/>
                <w:color w:val="auto"/>
                <w:sz w:val="22"/>
              </w:rPr>
            </w:pPr>
            <w:r>
              <w:rPr>
                <w:b/>
                <w:bCs/>
                <w:color w:val="auto"/>
                <w:sz w:val="22"/>
              </w:rPr>
              <w:t>Data analysis technique</w:t>
            </w:r>
          </w:p>
        </w:tc>
      </w:tr>
      <w:tr w:rsidR="00B01D46" w14:paraId="26BAA7A2" w14:textId="77777777">
        <w:trPr>
          <w:trHeight w:val="1401"/>
        </w:trPr>
        <w:tc>
          <w:tcPr>
            <w:tcW w:w="3055" w:type="dxa"/>
            <w:tcBorders>
              <w:top w:val="single" w:sz="4" w:space="0" w:color="auto"/>
            </w:tcBorders>
          </w:tcPr>
          <w:p w14:paraId="54D9C726" w14:textId="77777777" w:rsidR="00B01D46" w:rsidRDefault="0067013E">
            <w:pPr>
              <w:pStyle w:val="NormalWeb"/>
              <w:shd w:val="clear" w:color="auto" w:fill="FFFFFF"/>
              <w:tabs>
                <w:tab w:val="left" w:pos="360"/>
              </w:tabs>
              <w:autoSpaceDE w:val="0"/>
              <w:autoSpaceDN w:val="0"/>
              <w:adjustRightInd w:val="0"/>
              <w:spacing w:before="0" w:beforeAutospacing="0" w:after="0" w:afterAutospacing="0"/>
              <w:ind w:right="72"/>
              <w:jc w:val="both"/>
              <w:rPr>
                <w:rFonts w:eastAsia="Calibri"/>
                <w:sz w:val="22"/>
              </w:rPr>
            </w:pPr>
            <w:r>
              <w:rPr>
                <w:rFonts w:eastAsia="Calibri"/>
                <w:sz w:val="22"/>
              </w:rPr>
              <w:t xml:space="preserve">What is the status of ILS </w:t>
            </w:r>
            <w:r>
              <w:rPr>
                <w:sz w:val="22"/>
              </w:rPr>
              <w:t>among medical undergraduate students at the University of Nairobi and Moi University?</w:t>
            </w:r>
          </w:p>
        </w:tc>
        <w:tc>
          <w:tcPr>
            <w:tcW w:w="1710" w:type="dxa"/>
            <w:tcBorders>
              <w:top w:val="single" w:sz="4" w:space="0" w:color="auto"/>
            </w:tcBorders>
          </w:tcPr>
          <w:p w14:paraId="41B9E5C8" w14:textId="77777777" w:rsidR="00B01D46" w:rsidRDefault="0067013E">
            <w:pPr>
              <w:pStyle w:val="Default"/>
              <w:ind w:right="72"/>
              <w:jc w:val="both"/>
              <w:rPr>
                <w:color w:val="auto"/>
                <w:sz w:val="22"/>
              </w:rPr>
            </w:pPr>
            <w:r>
              <w:rPr>
                <w:color w:val="auto"/>
                <w:sz w:val="22"/>
              </w:rPr>
              <w:t xml:space="preserve">Interview schedule </w:t>
            </w:r>
          </w:p>
          <w:p w14:paraId="13B0EF7E" w14:textId="77777777" w:rsidR="00B01D46" w:rsidRDefault="00B01D46">
            <w:pPr>
              <w:pStyle w:val="Default"/>
              <w:ind w:right="72"/>
              <w:jc w:val="both"/>
              <w:rPr>
                <w:color w:val="auto"/>
                <w:sz w:val="22"/>
              </w:rPr>
            </w:pPr>
          </w:p>
          <w:p w14:paraId="05E07358" w14:textId="77777777" w:rsidR="00B01D46" w:rsidRDefault="00B01D46">
            <w:pPr>
              <w:pStyle w:val="Default"/>
              <w:ind w:right="72"/>
              <w:jc w:val="both"/>
              <w:rPr>
                <w:color w:val="auto"/>
                <w:sz w:val="22"/>
              </w:rPr>
            </w:pPr>
          </w:p>
          <w:p w14:paraId="0EB59DC9" w14:textId="77777777" w:rsidR="00B01D46" w:rsidRDefault="00B01D46">
            <w:pPr>
              <w:pStyle w:val="Default"/>
              <w:ind w:right="72"/>
              <w:jc w:val="both"/>
              <w:rPr>
                <w:color w:val="auto"/>
                <w:sz w:val="22"/>
              </w:rPr>
            </w:pPr>
          </w:p>
          <w:p w14:paraId="6872DEF1" w14:textId="77777777" w:rsidR="00B01D46" w:rsidRDefault="0067013E">
            <w:pPr>
              <w:pStyle w:val="Default"/>
              <w:ind w:right="72"/>
              <w:jc w:val="both"/>
              <w:rPr>
                <w:color w:val="auto"/>
                <w:sz w:val="22"/>
              </w:rPr>
            </w:pPr>
            <w:r>
              <w:rPr>
                <w:color w:val="auto"/>
                <w:sz w:val="22"/>
              </w:rPr>
              <w:t xml:space="preserve">Survey Questionnaire </w:t>
            </w:r>
          </w:p>
          <w:p w14:paraId="19DFA2DD" w14:textId="77777777" w:rsidR="00B01D46" w:rsidRDefault="00B01D46">
            <w:pPr>
              <w:pStyle w:val="NormalWeb"/>
              <w:spacing w:before="0" w:beforeAutospacing="0" w:after="0" w:afterAutospacing="0"/>
              <w:ind w:right="72"/>
              <w:jc w:val="both"/>
              <w:rPr>
                <w:bCs/>
                <w:sz w:val="22"/>
              </w:rPr>
            </w:pPr>
          </w:p>
        </w:tc>
        <w:tc>
          <w:tcPr>
            <w:tcW w:w="1448" w:type="dxa"/>
            <w:tcBorders>
              <w:top w:val="single" w:sz="4" w:space="0" w:color="auto"/>
            </w:tcBorders>
          </w:tcPr>
          <w:p w14:paraId="3377AD8F" w14:textId="77777777" w:rsidR="00B01D46" w:rsidRDefault="0067013E">
            <w:pPr>
              <w:pStyle w:val="NormalWeb"/>
              <w:spacing w:before="0" w:beforeAutospacing="0" w:after="0" w:afterAutospacing="0"/>
              <w:ind w:right="-15"/>
              <w:jc w:val="both"/>
              <w:rPr>
                <w:sz w:val="22"/>
              </w:rPr>
            </w:pPr>
            <w:r>
              <w:rPr>
                <w:sz w:val="22"/>
              </w:rPr>
              <w:t xml:space="preserve">University Librarians, Medical Librarians, </w:t>
            </w:r>
          </w:p>
          <w:p w14:paraId="114A2669" w14:textId="77777777" w:rsidR="00B01D46" w:rsidRDefault="0067013E">
            <w:pPr>
              <w:pStyle w:val="NormalWeb"/>
              <w:spacing w:before="0" w:beforeAutospacing="0" w:after="0" w:afterAutospacing="0"/>
              <w:ind w:right="-15"/>
              <w:jc w:val="both"/>
              <w:rPr>
                <w:sz w:val="22"/>
              </w:rPr>
            </w:pPr>
            <w:r>
              <w:rPr>
                <w:sz w:val="22"/>
              </w:rPr>
              <w:t xml:space="preserve">HODS </w:t>
            </w:r>
          </w:p>
          <w:p w14:paraId="64B04D5A" w14:textId="77777777" w:rsidR="00B01D46" w:rsidRDefault="0067013E">
            <w:pPr>
              <w:pStyle w:val="NormalWeb"/>
              <w:spacing w:before="0" w:beforeAutospacing="0" w:after="0" w:afterAutospacing="0"/>
              <w:ind w:right="-15"/>
              <w:jc w:val="both"/>
              <w:rPr>
                <w:sz w:val="22"/>
              </w:rPr>
            </w:pPr>
            <w:r>
              <w:rPr>
                <w:sz w:val="22"/>
              </w:rPr>
              <w:t>Lecturers</w:t>
            </w:r>
          </w:p>
          <w:p w14:paraId="5A947346" w14:textId="77777777" w:rsidR="00B01D46" w:rsidRDefault="0067013E">
            <w:pPr>
              <w:pStyle w:val="NormalWeb"/>
              <w:spacing w:before="0" w:beforeAutospacing="0" w:after="0" w:afterAutospacing="0"/>
              <w:ind w:right="-15"/>
              <w:jc w:val="both"/>
              <w:rPr>
                <w:b/>
                <w:bCs/>
                <w:sz w:val="22"/>
              </w:rPr>
            </w:pPr>
            <w:r>
              <w:rPr>
                <w:sz w:val="22"/>
              </w:rPr>
              <w:t xml:space="preserve">Students </w:t>
            </w:r>
          </w:p>
        </w:tc>
        <w:tc>
          <w:tcPr>
            <w:tcW w:w="1785" w:type="dxa"/>
            <w:tcBorders>
              <w:top w:val="single" w:sz="4" w:space="0" w:color="auto"/>
            </w:tcBorders>
          </w:tcPr>
          <w:p w14:paraId="0C172EC2" w14:textId="77777777" w:rsidR="00B01D46" w:rsidRDefault="0067013E">
            <w:pPr>
              <w:pStyle w:val="Default"/>
              <w:ind w:right="72"/>
              <w:jc w:val="both"/>
              <w:rPr>
                <w:color w:val="auto"/>
                <w:sz w:val="22"/>
              </w:rPr>
            </w:pPr>
            <w:r>
              <w:rPr>
                <w:color w:val="auto"/>
                <w:sz w:val="22"/>
              </w:rPr>
              <w:t xml:space="preserve">Qualitative data: thematic analysis </w:t>
            </w:r>
          </w:p>
          <w:p w14:paraId="70697249" w14:textId="77777777" w:rsidR="00B01D46" w:rsidRDefault="00B01D46">
            <w:pPr>
              <w:pStyle w:val="Default"/>
              <w:ind w:right="72"/>
              <w:jc w:val="both"/>
              <w:rPr>
                <w:color w:val="auto"/>
                <w:sz w:val="22"/>
              </w:rPr>
            </w:pPr>
          </w:p>
          <w:p w14:paraId="18524200" w14:textId="77777777" w:rsidR="00B01D46" w:rsidRDefault="0067013E">
            <w:pPr>
              <w:pStyle w:val="NormalWeb"/>
              <w:spacing w:before="0" w:beforeAutospacing="0" w:after="0" w:afterAutospacing="0"/>
              <w:ind w:right="72"/>
              <w:jc w:val="both"/>
              <w:rPr>
                <w:bCs/>
                <w:sz w:val="22"/>
              </w:rPr>
            </w:pPr>
            <w:r>
              <w:rPr>
                <w:sz w:val="22"/>
              </w:rPr>
              <w:t>Quantitative data</w:t>
            </w:r>
          </w:p>
        </w:tc>
      </w:tr>
      <w:tr w:rsidR="00B01D46" w14:paraId="6E87E035" w14:textId="77777777">
        <w:trPr>
          <w:trHeight w:val="1553"/>
        </w:trPr>
        <w:tc>
          <w:tcPr>
            <w:tcW w:w="3055" w:type="dxa"/>
          </w:tcPr>
          <w:p w14:paraId="61BDBD14" w14:textId="77777777" w:rsidR="00B01D46" w:rsidRDefault="0067013E">
            <w:pPr>
              <w:spacing w:after="0" w:line="240" w:lineRule="auto"/>
              <w:ind w:right="72"/>
              <w:jc w:val="both"/>
              <w:rPr>
                <w:rFonts w:ascii="Times New Roman" w:eastAsia="Calibri" w:hAnsi="Times New Roman" w:cs="Times New Roman"/>
                <w:szCs w:val="24"/>
              </w:rPr>
            </w:pPr>
            <w:r>
              <w:rPr>
                <w:rFonts w:ascii="Times New Roman" w:hAnsi="Times New Roman" w:cs="Times New Roman"/>
                <w:szCs w:val="24"/>
              </w:rPr>
              <w:t xml:space="preserve">How does information literacy skills policy and curriculum guide in imparting ILS to medical, undergraduate students? </w:t>
            </w:r>
          </w:p>
        </w:tc>
        <w:tc>
          <w:tcPr>
            <w:tcW w:w="1710" w:type="dxa"/>
          </w:tcPr>
          <w:p w14:paraId="470B9031" w14:textId="77777777" w:rsidR="00B01D46" w:rsidRDefault="00B01D46">
            <w:pPr>
              <w:pStyle w:val="Default"/>
              <w:ind w:right="72"/>
              <w:jc w:val="both"/>
              <w:rPr>
                <w:color w:val="auto"/>
                <w:sz w:val="22"/>
              </w:rPr>
            </w:pPr>
          </w:p>
          <w:p w14:paraId="21A77F2B" w14:textId="77777777" w:rsidR="00B01D46" w:rsidRDefault="00B01D46">
            <w:pPr>
              <w:pStyle w:val="Default"/>
              <w:ind w:right="72"/>
              <w:jc w:val="both"/>
              <w:rPr>
                <w:color w:val="auto"/>
                <w:sz w:val="22"/>
              </w:rPr>
            </w:pPr>
          </w:p>
          <w:p w14:paraId="31C66685" w14:textId="77777777" w:rsidR="00B01D46" w:rsidRDefault="0067013E">
            <w:pPr>
              <w:pStyle w:val="Default"/>
              <w:ind w:right="72"/>
              <w:jc w:val="both"/>
              <w:rPr>
                <w:color w:val="auto"/>
                <w:sz w:val="22"/>
              </w:rPr>
            </w:pPr>
            <w:r>
              <w:rPr>
                <w:color w:val="auto"/>
                <w:sz w:val="22"/>
              </w:rPr>
              <w:t xml:space="preserve">Interview schedule </w:t>
            </w:r>
          </w:p>
          <w:p w14:paraId="2357C440" w14:textId="77777777" w:rsidR="00B01D46" w:rsidRDefault="00B01D46">
            <w:pPr>
              <w:pStyle w:val="NormalWeb"/>
              <w:spacing w:before="0" w:beforeAutospacing="0" w:after="0" w:afterAutospacing="0"/>
              <w:ind w:right="72"/>
              <w:jc w:val="both"/>
              <w:rPr>
                <w:sz w:val="22"/>
              </w:rPr>
            </w:pPr>
          </w:p>
          <w:p w14:paraId="79108D1C" w14:textId="77777777" w:rsidR="00B01D46" w:rsidRDefault="0067013E">
            <w:pPr>
              <w:pStyle w:val="NormalWeb"/>
              <w:spacing w:before="0" w:beforeAutospacing="0" w:after="0" w:afterAutospacing="0"/>
              <w:ind w:right="72"/>
              <w:jc w:val="both"/>
              <w:rPr>
                <w:bCs/>
                <w:sz w:val="22"/>
              </w:rPr>
            </w:pPr>
            <w:r>
              <w:rPr>
                <w:sz w:val="22"/>
              </w:rPr>
              <w:t xml:space="preserve">Survey questionnaire </w:t>
            </w:r>
          </w:p>
        </w:tc>
        <w:tc>
          <w:tcPr>
            <w:tcW w:w="1448" w:type="dxa"/>
          </w:tcPr>
          <w:p w14:paraId="0B025E6A" w14:textId="77777777" w:rsidR="00B01D46" w:rsidRDefault="00B01D46">
            <w:pPr>
              <w:autoSpaceDE w:val="0"/>
              <w:autoSpaceDN w:val="0"/>
              <w:adjustRightInd w:val="0"/>
              <w:spacing w:after="0" w:line="240" w:lineRule="auto"/>
              <w:ind w:right="-15"/>
              <w:jc w:val="both"/>
              <w:rPr>
                <w:rFonts w:ascii="Times New Roman" w:hAnsi="Times New Roman" w:cs="Times New Roman"/>
                <w:szCs w:val="24"/>
              </w:rPr>
            </w:pPr>
          </w:p>
          <w:p w14:paraId="74ECCA11" w14:textId="77777777" w:rsidR="00B01D46" w:rsidRDefault="0067013E">
            <w:pPr>
              <w:pStyle w:val="NormalWeb"/>
              <w:spacing w:before="0" w:beforeAutospacing="0" w:after="0" w:afterAutospacing="0"/>
              <w:ind w:right="-15"/>
              <w:jc w:val="both"/>
              <w:rPr>
                <w:sz w:val="22"/>
              </w:rPr>
            </w:pPr>
            <w:r>
              <w:rPr>
                <w:sz w:val="22"/>
              </w:rPr>
              <w:t xml:space="preserve">University Librarians, Medical Librarians, </w:t>
            </w:r>
          </w:p>
          <w:p w14:paraId="3B10EBE8" w14:textId="77777777" w:rsidR="00B01D46" w:rsidRDefault="0067013E">
            <w:pPr>
              <w:pStyle w:val="NormalWeb"/>
              <w:spacing w:before="0" w:beforeAutospacing="0" w:after="0" w:afterAutospacing="0"/>
              <w:ind w:right="-15"/>
              <w:jc w:val="both"/>
              <w:rPr>
                <w:sz w:val="22"/>
              </w:rPr>
            </w:pPr>
            <w:r>
              <w:rPr>
                <w:sz w:val="22"/>
              </w:rPr>
              <w:t xml:space="preserve">HODS </w:t>
            </w:r>
          </w:p>
          <w:p w14:paraId="1336F555" w14:textId="77777777" w:rsidR="00B01D46" w:rsidRDefault="0067013E">
            <w:pPr>
              <w:pStyle w:val="NormalWeb"/>
              <w:spacing w:before="0" w:beforeAutospacing="0" w:after="0" w:afterAutospacing="0"/>
              <w:ind w:right="-15"/>
              <w:jc w:val="both"/>
              <w:rPr>
                <w:sz w:val="22"/>
              </w:rPr>
            </w:pPr>
            <w:r>
              <w:rPr>
                <w:sz w:val="22"/>
              </w:rPr>
              <w:t>Lecturers</w:t>
            </w:r>
          </w:p>
          <w:p w14:paraId="3E6E6D62" w14:textId="77777777" w:rsidR="00B01D46" w:rsidRDefault="0067013E">
            <w:pPr>
              <w:pStyle w:val="NormalWeb"/>
              <w:spacing w:before="0" w:beforeAutospacing="0" w:after="0" w:afterAutospacing="0"/>
              <w:ind w:right="-15"/>
              <w:jc w:val="both"/>
              <w:rPr>
                <w:b/>
                <w:bCs/>
                <w:sz w:val="22"/>
              </w:rPr>
            </w:pPr>
            <w:r>
              <w:rPr>
                <w:sz w:val="22"/>
              </w:rPr>
              <w:t xml:space="preserve">Students </w:t>
            </w:r>
          </w:p>
        </w:tc>
        <w:tc>
          <w:tcPr>
            <w:tcW w:w="1785" w:type="dxa"/>
          </w:tcPr>
          <w:p w14:paraId="2D672896" w14:textId="77777777" w:rsidR="00B01D46" w:rsidRDefault="00B01D46">
            <w:pPr>
              <w:pStyle w:val="Default"/>
              <w:ind w:right="72"/>
              <w:jc w:val="both"/>
              <w:rPr>
                <w:color w:val="auto"/>
                <w:sz w:val="22"/>
              </w:rPr>
            </w:pPr>
          </w:p>
          <w:p w14:paraId="698CD01E" w14:textId="77777777" w:rsidR="00B01D46" w:rsidRDefault="0067013E">
            <w:pPr>
              <w:pStyle w:val="Default"/>
              <w:ind w:right="72"/>
              <w:jc w:val="both"/>
              <w:rPr>
                <w:color w:val="auto"/>
                <w:sz w:val="22"/>
              </w:rPr>
            </w:pPr>
            <w:r>
              <w:rPr>
                <w:color w:val="auto"/>
                <w:sz w:val="22"/>
              </w:rPr>
              <w:t xml:space="preserve">Qualitative data: thematic analysis </w:t>
            </w:r>
          </w:p>
          <w:p w14:paraId="5A18EFA1" w14:textId="77777777" w:rsidR="00B01D46" w:rsidRDefault="00B01D46">
            <w:pPr>
              <w:autoSpaceDE w:val="0"/>
              <w:autoSpaceDN w:val="0"/>
              <w:adjustRightInd w:val="0"/>
              <w:spacing w:after="0" w:line="240" w:lineRule="auto"/>
              <w:ind w:right="72"/>
              <w:jc w:val="both"/>
              <w:rPr>
                <w:rFonts w:ascii="Times New Roman" w:hAnsi="Times New Roman" w:cs="Times New Roman"/>
                <w:szCs w:val="24"/>
              </w:rPr>
            </w:pPr>
          </w:p>
          <w:p w14:paraId="09ADE070" w14:textId="77777777" w:rsidR="00B01D46" w:rsidRDefault="0067013E">
            <w:pPr>
              <w:autoSpaceDE w:val="0"/>
              <w:autoSpaceDN w:val="0"/>
              <w:adjustRightInd w:val="0"/>
              <w:spacing w:after="0" w:line="240" w:lineRule="auto"/>
              <w:ind w:right="72"/>
              <w:jc w:val="both"/>
              <w:rPr>
                <w:rFonts w:ascii="Times New Roman" w:hAnsi="Times New Roman" w:cs="Times New Roman"/>
                <w:szCs w:val="24"/>
              </w:rPr>
            </w:pPr>
            <w:r>
              <w:rPr>
                <w:rFonts w:ascii="Times New Roman" w:hAnsi="Times New Roman" w:cs="Times New Roman"/>
                <w:szCs w:val="24"/>
              </w:rPr>
              <w:t>Quantitative data: SPSS</w:t>
            </w:r>
          </w:p>
        </w:tc>
      </w:tr>
      <w:tr w:rsidR="00B01D46" w14:paraId="02F86404" w14:textId="77777777">
        <w:trPr>
          <w:trHeight w:val="1416"/>
        </w:trPr>
        <w:tc>
          <w:tcPr>
            <w:tcW w:w="3055" w:type="dxa"/>
          </w:tcPr>
          <w:p w14:paraId="6DB141F2" w14:textId="77777777" w:rsidR="00B01D46" w:rsidRDefault="0067013E">
            <w:pPr>
              <w:shd w:val="clear" w:color="auto" w:fill="FFFFFF"/>
              <w:tabs>
                <w:tab w:val="left" w:pos="360"/>
              </w:tabs>
              <w:spacing w:after="0" w:line="240" w:lineRule="auto"/>
              <w:ind w:right="72"/>
              <w:jc w:val="both"/>
              <w:rPr>
                <w:rFonts w:ascii="Times New Roman" w:hAnsi="Times New Roman" w:cs="Times New Roman"/>
                <w:bCs/>
                <w:szCs w:val="24"/>
              </w:rPr>
            </w:pPr>
            <w:r>
              <w:rPr>
                <w:rFonts w:ascii="Times New Roman" w:eastAsia="Calibri" w:hAnsi="Times New Roman" w:cs="Times New Roman"/>
                <w:szCs w:val="24"/>
              </w:rPr>
              <w:t>How is the understanding of ILS among medical undergraduate students?</w:t>
            </w:r>
          </w:p>
        </w:tc>
        <w:tc>
          <w:tcPr>
            <w:tcW w:w="1710" w:type="dxa"/>
          </w:tcPr>
          <w:p w14:paraId="443BC1F2" w14:textId="77777777" w:rsidR="00B01D46" w:rsidRDefault="0067013E">
            <w:pPr>
              <w:pStyle w:val="NormalWeb"/>
              <w:spacing w:before="0" w:beforeAutospacing="0" w:after="0" w:afterAutospacing="0"/>
              <w:ind w:right="72"/>
              <w:jc w:val="both"/>
              <w:rPr>
                <w:b/>
                <w:bCs/>
                <w:sz w:val="22"/>
              </w:rPr>
            </w:pPr>
            <w:r>
              <w:rPr>
                <w:sz w:val="22"/>
              </w:rPr>
              <w:t>Interview schedule</w:t>
            </w:r>
          </w:p>
        </w:tc>
        <w:tc>
          <w:tcPr>
            <w:tcW w:w="1448" w:type="dxa"/>
          </w:tcPr>
          <w:p w14:paraId="438C4372" w14:textId="77777777" w:rsidR="00B01D46" w:rsidRDefault="0067013E">
            <w:pPr>
              <w:pStyle w:val="NormalWeb"/>
              <w:spacing w:before="0" w:beforeAutospacing="0" w:after="0" w:afterAutospacing="0"/>
              <w:ind w:right="-15"/>
              <w:jc w:val="both"/>
              <w:rPr>
                <w:sz w:val="22"/>
              </w:rPr>
            </w:pPr>
            <w:r>
              <w:rPr>
                <w:sz w:val="22"/>
              </w:rPr>
              <w:t>HOD</w:t>
            </w:r>
          </w:p>
          <w:p w14:paraId="770440C8" w14:textId="77777777" w:rsidR="00B01D46" w:rsidRDefault="0067013E">
            <w:pPr>
              <w:pStyle w:val="NormalWeb"/>
              <w:spacing w:before="0" w:beforeAutospacing="0" w:after="0" w:afterAutospacing="0"/>
              <w:ind w:right="-15"/>
              <w:jc w:val="both"/>
              <w:rPr>
                <w:b/>
                <w:bCs/>
                <w:sz w:val="22"/>
              </w:rPr>
            </w:pPr>
            <w:r>
              <w:rPr>
                <w:sz w:val="22"/>
              </w:rPr>
              <w:t>University Librarians</w:t>
            </w:r>
          </w:p>
        </w:tc>
        <w:tc>
          <w:tcPr>
            <w:tcW w:w="1785" w:type="dxa"/>
          </w:tcPr>
          <w:p w14:paraId="793626B9" w14:textId="77777777" w:rsidR="00B01D46" w:rsidRDefault="0067013E">
            <w:pPr>
              <w:pStyle w:val="Default"/>
              <w:ind w:right="72"/>
              <w:jc w:val="both"/>
              <w:rPr>
                <w:color w:val="auto"/>
                <w:sz w:val="22"/>
              </w:rPr>
            </w:pPr>
            <w:r>
              <w:rPr>
                <w:color w:val="auto"/>
                <w:sz w:val="22"/>
              </w:rPr>
              <w:t xml:space="preserve">Qualitative data: thematic analysis </w:t>
            </w:r>
          </w:p>
          <w:p w14:paraId="2D7880F8" w14:textId="77777777" w:rsidR="00B01D46" w:rsidRDefault="00B01D46">
            <w:pPr>
              <w:pStyle w:val="NormalWeb"/>
              <w:spacing w:before="0" w:beforeAutospacing="0" w:after="0" w:afterAutospacing="0"/>
              <w:ind w:right="72"/>
              <w:jc w:val="both"/>
              <w:rPr>
                <w:sz w:val="22"/>
              </w:rPr>
            </w:pPr>
          </w:p>
        </w:tc>
      </w:tr>
      <w:tr w:rsidR="00B01D46" w14:paraId="62686796" w14:textId="77777777">
        <w:trPr>
          <w:trHeight w:val="1630"/>
        </w:trPr>
        <w:tc>
          <w:tcPr>
            <w:tcW w:w="3055" w:type="dxa"/>
          </w:tcPr>
          <w:p w14:paraId="0E21B098" w14:textId="77777777" w:rsidR="00B01D46" w:rsidRDefault="0067013E">
            <w:pPr>
              <w:shd w:val="clear" w:color="auto" w:fill="FFFFFF"/>
              <w:tabs>
                <w:tab w:val="left" w:pos="360"/>
              </w:tabs>
              <w:spacing w:after="0" w:line="240" w:lineRule="auto"/>
              <w:ind w:right="72"/>
              <w:rPr>
                <w:rFonts w:ascii="Times New Roman" w:hAnsi="Times New Roman" w:cs="Times New Roman"/>
                <w:szCs w:val="24"/>
              </w:rPr>
            </w:pPr>
            <w:r>
              <w:rPr>
                <w:rFonts w:ascii="Times New Roman" w:eastAsia="Calibri" w:hAnsi="Times New Roman" w:cs="Times New Roman"/>
                <w:szCs w:val="24"/>
              </w:rPr>
              <w:t xml:space="preserve">What are the knowledge and skills possessed by staff facilitating ILS among </w:t>
            </w:r>
            <w:r>
              <w:rPr>
                <w:rFonts w:ascii="Times New Roman" w:hAnsi="Times New Roman" w:cs="Times New Roman"/>
                <w:szCs w:val="24"/>
              </w:rPr>
              <w:t>medical undergraduate students</w:t>
            </w:r>
            <w:r>
              <w:rPr>
                <w:rFonts w:ascii="Times New Roman" w:eastAsia="Calibri" w:hAnsi="Times New Roman" w:cs="Times New Roman"/>
                <w:szCs w:val="24"/>
              </w:rPr>
              <w:t>?</w:t>
            </w:r>
          </w:p>
        </w:tc>
        <w:tc>
          <w:tcPr>
            <w:tcW w:w="1710" w:type="dxa"/>
          </w:tcPr>
          <w:p w14:paraId="3D80611B" w14:textId="77777777" w:rsidR="00B01D46" w:rsidRDefault="00B01D46">
            <w:pPr>
              <w:pStyle w:val="NormalWeb"/>
              <w:spacing w:before="0" w:beforeAutospacing="0" w:after="0" w:afterAutospacing="0"/>
              <w:ind w:right="72"/>
              <w:jc w:val="both"/>
              <w:rPr>
                <w:sz w:val="22"/>
              </w:rPr>
            </w:pPr>
          </w:p>
          <w:p w14:paraId="011A27E6" w14:textId="77777777" w:rsidR="00B01D46" w:rsidRDefault="0067013E">
            <w:pPr>
              <w:pStyle w:val="NormalWeb"/>
              <w:spacing w:before="0" w:beforeAutospacing="0" w:after="0" w:afterAutospacing="0"/>
              <w:ind w:right="72"/>
              <w:jc w:val="both"/>
              <w:rPr>
                <w:sz w:val="22"/>
              </w:rPr>
            </w:pPr>
            <w:r>
              <w:rPr>
                <w:sz w:val="22"/>
              </w:rPr>
              <w:t>Interview schedule</w:t>
            </w:r>
          </w:p>
          <w:p w14:paraId="637942EC" w14:textId="77777777" w:rsidR="00B01D46" w:rsidRDefault="00B01D46">
            <w:pPr>
              <w:pStyle w:val="NormalWeb"/>
              <w:spacing w:before="0" w:beforeAutospacing="0" w:after="0" w:afterAutospacing="0"/>
              <w:ind w:right="72"/>
              <w:jc w:val="both"/>
              <w:rPr>
                <w:sz w:val="22"/>
              </w:rPr>
            </w:pPr>
          </w:p>
          <w:p w14:paraId="3E09438F" w14:textId="77777777" w:rsidR="00B01D46" w:rsidRDefault="00B01D46">
            <w:pPr>
              <w:pStyle w:val="NormalWeb"/>
              <w:spacing w:before="0" w:beforeAutospacing="0" w:after="0" w:afterAutospacing="0"/>
              <w:ind w:right="72"/>
              <w:jc w:val="both"/>
              <w:rPr>
                <w:sz w:val="22"/>
              </w:rPr>
            </w:pPr>
          </w:p>
          <w:p w14:paraId="04719281" w14:textId="77777777" w:rsidR="00B01D46" w:rsidRDefault="0067013E">
            <w:pPr>
              <w:pStyle w:val="NormalWeb"/>
              <w:spacing w:before="0" w:beforeAutospacing="0" w:after="0" w:afterAutospacing="0"/>
              <w:ind w:right="72"/>
              <w:jc w:val="both"/>
              <w:rPr>
                <w:sz w:val="22"/>
              </w:rPr>
            </w:pPr>
            <w:r>
              <w:rPr>
                <w:sz w:val="22"/>
              </w:rPr>
              <w:t>Survey questionnaire</w:t>
            </w:r>
          </w:p>
        </w:tc>
        <w:tc>
          <w:tcPr>
            <w:tcW w:w="1448" w:type="dxa"/>
          </w:tcPr>
          <w:p w14:paraId="140E1244" w14:textId="77777777" w:rsidR="00B01D46" w:rsidRDefault="0067013E">
            <w:pPr>
              <w:pStyle w:val="NormalWeb"/>
              <w:spacing w:before="0" w:beforeAutospacing="0" w:after="0" w:afterAutospacing="0"/>
              <w:ind w:right="-15"/>
              <w:jc w:val="both"/>
              <w:rPr>
                <w:sz w:val="22"/>
              </w:rPr>
            </w:pPr>
            <w:r>
              <w:rPr>
                <w:sz w:val="22"/>
              </w:rPr>
              <w:t xml:space="preserve">University Librarians, Medical Librarians, </w:t>
            </w:r>
          </w:p>
          <w:p w14:paraId="7ADF8567" w14:textId="77777777" w:rsidR="00B01D46" w:rsidRDefault="0067013E">
            <w:pPr>
              <w:pStyle w:val="NormalWeb"/>
              <w:spacing w:before="0" w:beforeAutospacing="0" w:after="0" w:afterAutospacing="0"/>
              <w:ind w:right="-15"/>
              <w:jc w:val="both"/>
              <w:rPr>
                <w:sz w:val="22"/>
              </w:rPr>
            </w:pPr>
            <w:r>
              <w:rPr>
                <w:sz w:val="22"/>
              </w:rPr>
              <w:t xml:space="preserve">HODS </w:t>
            </w:r>
          </w:p>
          <w:p w14:paraId="6C0DC44A" w14:textId="77777777" w:rsidR="00B01D46" w:rsidRDefault="00B01D46">
            <w:pPr>
              <w:pStyle w:val="NormalWeb"/>
              <w:spacing w:before="0" w:beforeAutospacing="0" w:after="0" w:afterAutospacing="0"/>
              <w:ind w:right="-15"/>
              <w:jc w:val="both"/>
              <w:rPr>
                <w:sz w:val="22"/>
              </w:rPr>
            </w:pPr>
          </w:p>
          <w:p w14:paraId="67303F18" w14:textId="77777777" w:rsidR="00B01D46" w:rsidRDefault="0067013E">
            <w:pPr>
              <w:pStyle w:val="NormalWeb"/>
              <w:spacing w:before="0" w:beforeAutospacing="0" w:after="0" w:afterAutospacing="0"/>
              <w:ind w:right="-15"/>
              <w:jc w:val="both"/>
              <w:rPr>
                <w:sz w:val="22"/>
              </w:rPr>
            </w:pPr>
            <w:r>
              <w:rPr>
                <w:sz w:val="22"/>
              </w:rPr>
              <w:t>Lecturers</w:t>
            </w:r>
          </w:p>
          <w:p w14:paraId="40F1716E" w14:textId="77777777" w:rsidR="00B01D46" w:rsidRDefault="0067013E">
            <w:pPr>
              <w:pStyle w:val="NormalWeb"/>
              <w:spacing w:before="0" w:beforeAutospacing="0" w:after="0" w:afterAutospacing="0"/>
              <w:ind w:right="-15"/>
              <w:jc w:val="both"/>
              <w:rPr>
                <w:bCs/>
                <w:sz w:val="22"/>
              </w:rPr>
            </w:pPr>
            <w:r>
              <w:rPr>
                <w:sz w:val="22"/>
              </w:rPr>
              <w:t>Students</w:t>
            </w:r>
          </w:p>
        </w:tc>
        <w:tc>
          <w:tcPr>
            <w:tcW w:w="1785" w:type="dxa"/>
          </w:tcPr>
          <w:p w14:paraId="09997084" w14:textId="77777777" w:rsidR="00B01D46" w:rsidRDefault="0067013E">
            <w:pPr>
              <w:pStyle w:val="Default"/>
              <w:ind w:right="72"/>
              <w:jc w:val="both"/>
              <w:rPr>
                <w:color w:val="auto"/>
                <w:sz w:val="22"/>
              </w:rPr>
            </w:pPr>
            <w:r>
              <w:rPr>
                <w:color w:val="auto"/>
                <w:sz w:val="22"/>
              </w:rPr>
              <w:t xml:space="preserve">Qualitative data: thematic analysis </w:t>
            </w:r>
          </w:p>
          <w:p w14:paraId="5E7E2C7A" w14:textId="77777777" w:rsidR="00B01D46" w:rsidRDefault="00B01D46">
            <w:pPr>
              <w:autoSpaceDE w:val="0"/>
              <w:autoSpaceDN w:val="0"/>
              <w:adjustRightInd w:val="0"/>
              <w:spacing w:after="0" w:line="240" w:lineRule="auto"/>
              <w:ind w:right="72"/>
              <w:jc w:val="both"/>
              <w:rPr>
                <w:rFonts w:ascii="Times New Roman" w:hAnsi="Times New Roman" w:cs="Times New Roman"/>
                <w:szCs w:val="24"/>
              </w:rPr>
            </w:pPr>
          </w:p>
          <w:p w14:paraId="297D2AD3" w14:textId="77777777" w:rsidR="00B01D46" w:rsidRDefault="00B01D46">
            <w:pPr>
              <w:autoSpaceDE w:val="0"/>
              <w:autoSpaceDN w:val="0"/>
              <w:adjustRightInd w:val="0"/>
              <w:spacing w:after="0" w:line="240" w:lineRule="auto"/>
              <w:ind w:right="72"/>
              <w:jc w:val="both"/>
              <w:rPr>
                <w:rFonts w:ascii="Times New Roman" w:hAnsi="Times New Roman" w:cs="Times New Roman"/>
                <w:szCs w:val="24"/>
              </w:rPr>
            </w:pPr>
          </w:p>
          <w:p w14:paraId="41E0A6B6" w14:textId="77777777" w:rsidR="00B01D46" w:rsidRDefault="0067013E">
            <w:pPr>
              <w:pStyle w:val="NormalWeb"/>
              <w:spacing w:before="0" w:beforeAutospacing="0" w:after="0" w:afterAutospacing="0"/>
              <w:ind w:right="72"/>
              <w:jc w:val="both"/>
              <w:rPr>
                <w:bCs/>
                <w:sz w:val="22"/>
              </w:rPr>
            </w:pPr>
            <w:r>
              <w:rPr>
                <w:sz w:val="22"/>
              </w:rPr>
              <w:t>Quantitative data: SPSS/ thematic</w:t>
            </w:r>
          </w:p>
        </w:tc>
      </w:tr>
      <w:tr w:rsidR="00B01D46" w14:paraId="5132A996" w14:textId="77777777">
        <w:trPr>
          <w:trHeight w:val="1678"/>
        </w:trPr>
        <w:tc>
          <w:tcPr>
            <w:tcW w:w="3055" w:type="dxa"/>
            <w:tcBorders>
              <w:bottom w:val="single" w:sz="4" w:space="0" w:color="auto"/>
            </w:tcBorders>
          </w:tcPr>
          <w:p w14:paraId="5A5ACCAB" w14:textId="77777777" w:rsidR="00B01D46" w:rsidRDefault="0067013E">
            <w:pPr>
              <w:pStyle w:val="Default"/>
              <w:ind w:right="72"/>
              <w:jc w:val="both"/>
              <w:rPr>
                <w:rFonts w:eastAsia="Calibri"/>
                <w:color w:val="auto"/>
                <w:sz w:val="22"/>
              </w:rPr>
            </w:pPr>
            <w:r>
              <w:rPr>
                <w:sz w:val="22"/>
              </w:rPr>
              <w:t>How is ICT facilitating learning of ILS among</w:t>
            </w:r>
            <w:r>
              <w:rPr>
                <w:rFonts w:eastAsia="Calibri"/>
                <w:sz w:val="22"/>
              </w:rPr>
              <w:t xml:space="preserve"> </w:t>
            </w:r>
            <w:r>
              <w:rPr>
                <w:sz w:val="22"/>
              </w:rPr>
              <w:t>medical undergraduate students?</w:t>
            </w:r>
          </w:p>
        </w:tc>
        <w:tc>
          <w:tcPr>
            <w:tcW w:w="1710" w:type="dxa"/>
            <w:tcBorders>
              <w:bottom w:val="single" w:sz="4" w:space="0" w:color="auto"/>
            </w:tcBorders>
          </w:tcPr>
          <w:p w14:paraId="686A9A87" w14:textId="77777777" w:rsidR="00B01D46" w:rsidRDefault="0067013E">
            <w:pPr>
              <w:pStyle w:val="Default"/>
              <w:ind w:right="72"/>
              <w:jc w:val="both"/>
              <w:rPr>
                <w:color w:val="auto"/>
                <w:sz w:val="22"/>
              </w:rPr>
            </w:pPr>
            <w:r>
              <w:rPr>
                <w:color w:val="auto"/>
                <w:sz w:val="22"/>
              </w:rPr>
              <w:t xml:space="preserve">Interview schedule </w:t>
            </w:r>
          </w:p>
          <w:p w14:paraId="5CB72826" w14:textId="77777777" w:rsidR="00B01D46" w:rsidRDefault="00B01D46">
            <w:pPr>
              <w:pStyle w:val="Default"/>
              <w:ind w:right="72"/>
              <w:jc w:val="both"/>
              <w:rPr>
                <w:color w:val="auto"/>
                <w:sz w:val="22"/>
              </w:rPr>
            </w:pPr>
          </w:p>
          <w:p w14:paraId="798C2459" w14:textId="77777777" w:rsidR="00B01D46" w:rsidRDefault="00B01D46">
            <w:pPr>
              <w:pStyle w:val="Default"/>
              <w:ind w:right="72"/>
              <w:jc w:val="both"/>
              <w:rPr>
                <w:color w:val="auto"/>
                <w:sz w:val="22"/>
              </w:rPr>
            </w:pPr>
          </w:p>
          <w:p w14:paraId="105B75C7" w14:textId="77777777" w:rsidR="00B01D46" w:rsidRDefault="00B01D46">
            <w:pPr>
              <w:pStyle w:val="Default"/>
              <w:ind w:right="72"/>
              <w:jc w:val="both"/>
              <w:rPr>
                <w:color w:val="auto"/>
                <w:sz w:val="22"/>
              </w:rPr>
            </w:pPr>
          </w:p>
          <w:p w14:paraId="1FC2081F" w14:textId="77777777" w:rsidR="00B01D46" w:rsidRDefault="0067013E">
            <w:pPr>
              <w:pStyle w:val="NormalWeb"/>
              <w:spacing w:before="0" w:beforeAutospacing="0" w:after="0" w:afterAutospacing="0"/>
              <w:ind w:right="72"/>
              <w:jc w:val="both"/>
              <w:rPr>
                <w:bCs/>
                <w:sz w:val="22"/>
              </w:rPr>
            </w:pPr>
            <w:r>
              <w:rPr>
                <w:sz w:val="22"/>
              </w:rPr>
              <w:t xml:space="preserve">Survey questionnaire </w:t>
            </w:r>
          </w:p>
        </w:tc>
        <w:tc>
          <w:tcPr>
            <w:tcW w:w="1448" w:type="dxa"/>
            <w:tcBorders>
              <w:bottom w:val="single" w:sz="4" w:space="0" w:color="auto"/>
            </w:tcBorders>
          </w:tcPr>
          <w:p w14:paraId="71BE42E8" w14:textId="77777777" w:rsidR="00B01D46" w:rsidRDefault="0067013E">
            <w:pPr>
              <w:pStyle w:val="NormalWeb"/>
              <w:spacing w:before="0" w:beforeAutospacing="0" w:after="0" w:afterAutospacing="0"/>
              <w:ind w:right="-15"/>
              <w:jc w:val="both"/>
              <w:rPr>
                <w:sz w:val="22"/>
              </w:rPr>
            </w:pPr>
            <w:r>
              <w:rPr>
                <w:sz w:val="22"/>
              </w:rPr>
              <w:t xml:space="preserve">University Librarians, Medical Librarians, </w:t>
            </w:r>
          </w:p>
          <w:p w14:paraId="2B19C095" w14:textId="77777777" w:rsidR="00B01D46" w:rsidRDefault="0067013E">
            <w:pPr>
              <w:pStyle w:val="NormalWeb"/>
              <w:spacing w:before="0" w:beforeAutospacing="0" w:after="0" w:afterAutospacing="0"/>
              <w:ind w:right="-15"/>
              <w:jc w:val="both"/>
              <w:rPr>
                <w:sz w:val="22"/>
              </w:rPr>
            </w:pPr>
            <w:r>
              <w:rPr>
                <w:sz w:val="22"/>
              </w:rPr>
              <w:t xml:space="preserve">HODS </w:t>
            </w:r>
          </w:p>
          <w:p w14:paraId="15FDE92D" w14:textId="77777777" w:rsidR="00B01D46" w:rsidRDefault="0067013E">
            <w:pPr>
              <w:pStyle w:val="NormalWeb"/>
              <w:spacing w:before="0" w:beforeAutospacing="0" w:after="0" w:afterAutospacing="0"/>
              <w:ind w:right="-15"/>
              <w:jc w:val="both"/>
              <w:rPr>
                <w:sz w:val="22"/>
              </w:rPr>
            </w:pPr>
            <w:r>
              <w:rPr>
                <w:sz w:val="22"/>
              </w:rPr>
              <w:t>Lecturers</w:t>
            </w:r>
          </w:p>
          <w:p w14:paraId="48E71D0B" w14:textId="77777777" w:rsidR="00B01D46" w:rsidRDefault="0067013E">
            <w:pPr>
              <w:pStyle w:val="NormalWeb"/>
              <w:spacing w:before="0" w:beforeAutospacing="0" w:after="0" w:afterAutospacing="0"/>
              <w:ind w:right="-15"/>
              <w:jc w:val="both"/>
              <w:rPr>
                <w:bCs/>
                <w:sz w:val="22"/>
              </w:rPr>
            </w:pPr>
            <w:r>
              <w:rPr>
                <w:sz w:val="22"/>
              </w:rPr>
              <w:t>Students</w:t>
            </w:r>
          </w:p>
        </w:tc>
        <w:tc>
          <w:tcPr>
            <w:tcW w:w="1785" w:type="dxa"/>
            <w:tcBorders>
              <w:bottom w:val="single" w:sz="4" w:space="0" w:color="auto"/>
            </w:tcBorders>
          </w:tcPr>
          <w:p w14:paraId="65520397" w14:textId="77777777" w:rsidR="00B01D46" w:rsidRDefault="0067013E">
            <w:pPr>
              <w:pStyle w:val="Default"/>
              <w:ind w:right="72"/>
              <w:jc w:val="both"/>
              <w:rPr>
                <w:color w:val="auto"/>
                <w:sz w:val="22"/>
              </w:rPr>
            </w:pPr>
            <w:r>
              <w:rPr>
                <w:color w:val="auto"/>
                <w:sz w:val="22"/>
              </w:rPr>
              <w:t xml:space="preserve">Qualitative data: thematic analysis </w:t>
            </w:r>
          </w:p>
          <w:p w14:paraId="16609478" w14:textId="77777777" w:rsidR="00B01D46" w:rsidRDefault="00B01D46">
            <w:pPr>
              <w:autoSpaceDE w:val="0"/>
              <w:autoSpaceDN w:val="0"/>
              <w:adjustRightInd w:val="0"/>
              <w:spacing w:after="0" w:line="240" w:lineRule="auto"/>
              <w:ind w:right="72"/>
              <w:jc w:val="both"/>
              <w:rPr>
                <w:rFonts w:ascii="Times New Roman" w:hAnsi="Times New Roman" w:cs="Times New Roman"/>
                <w:szCs w:val="24"/>
              </w:rPr>
            </w:pPr>
          </w:p>
          <w:p w14:paraId="122C868E" w14:textId="77777777" w:rsidR="00B01D46" w:rsidRDefault="0067013E">
            <w:pPr>
              <w:pStyle w:val="NormalWeb"/>
              <w:spacing w:before="0" w:beforeAutospacing="0" w:after="0" w:afterAutospacing="0"/>
              <w:ind w:right="72"/>
              <w:jc w:val="both"/>
              <w:rPr>
                <w:sz w:val="22"/>
              </w:rPr>
            </w:pPr>
            <w:r>
              <w:rPr>
                <w:sz w:val="22"/>
              </w:rPr>
              <w:t>Quantitative data: SPSS/ thematic</w:t>
            </w:r>
          </w:p>
        </w:tc>
      </w:tr>
    </w:tbl>
    <w:p w14:paraId="1FA0BB95" w14:textId="77777777" w:rsidR="00B01D46" w:rsidRDefault="0067013E">
      <w:pPr>
        <w:pStyle w:val="Heading2"/>
      </w:pPr>
      <w:bookmarkStart w:id="1133" w:name="_Toc374802845"/>
      <w:bookmarkStart w:id="1134" w:name="_Toc165365191"/>
      <w:bookmarkStart w:id="1135" w:name="_Toc303423466"/>
      <w:bookmarkStart w:id="1136" w:name="_Toc332822729"/>
      <w:bookmarkStart w:id="1137" w:name="_Toc332823528"/>
      <w:bookmarkStart w:id="1138" w:name="_Toc303429162"/>
      <w:bookmarkStart w:id="1139" w:name="_Toc165369209"/>
      <w:bookmarkStart w:id="1140" w:name="_Toc303428151"/>
      <w:bookmarkStart w:id="1141" w:name="_Toc184272908"/>
      <w:bookmarkStart w:id="1142" w:name="_Toc314156285"/>
      <w:bookmarkStart w:id="1143" w:name="_Toc374800310"/>
      <w:bookmarkStart w:id="1144" w:name="_Toc332821935"/>
      <w:bookmarkStart w:id="1145" w:name="_Toc303422501"/>
      <w:bookmarkStart w:id="1146" w:name="_Toc332823929"/>
      <w:bookmarkStart w:id="1147" w:name="_Toc165973092"/>
      <w:bookmarkStart w:id="1148" w:name="_Toc164664026"/>
      <w:bookmarkStart w:id="1149" w:name="_Toc374802106"/>
      <w:bookmarkStart w:id="1150" w:name="_Toc165368393"/>
      <w:bookmarkStart w:id="1151" w:name="_Toc165975813"/>
      <w:bookmarkStart w:id="1152" w:name="_Toc314155516"/>
      <w:bookmarkStart w:id="1153" w:name="_Toc165898044"/>
      <w:r>
        <w:lastRenderedPageBreak/>
        <w:t>4.12 Ethical Issues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14:paraId="7448FFAB" w14:textId="77777777" w:rsidR="00B01D46" w:rsidRDefault="0067013E">
      <w:pPr>
        <w:spacing w:before="120" w:after="0" w:line="480" w:lineRule="auto"/>
        <w:ind w:right="65"/>
        <w:jc w:val="both"/>
        <w:rPr>
          <w:rFonts w:ascii="Times New Roman" w:hAnsi="Times New Roman" w:cs="Times New Roman"/>
          <w:sz w:val="24"/>
          <w:szCs w:val="24"/>
        </w:rPr>
      </w:pPr>
      <w:bookmarkStart w:id="1154" w:name="_Hlk184733698"/>
      <w:r>
        <w:rPr>
          <w:rFonts w:ascii="Times New Roman" w:hAnsi="Times New Roman" w:cs="Times New Roman"/>
          <w:sz w:val="24"/>
          <w:szCs w:val="24"/>
        </w:rPr>
        <w:t>Cohen et al. (2017) assert that ethical matters are concern with what is good and bad, and what is right and wrong. Ethical research concerns what researchers ought and ought not to do in their research and research behaviour. Further, Cohen et al (2017) enumerate the various ethical considerations that every researcher should note and embrace when planning to conduct a research study;</w:t>
      </w:r>
    </w:p>
    <w:p w14:paraId="2F853A55"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 Acquainted consent </w:t>
      </w:r>
    </w:p>
    <w:p w14:paraId="251BA86C"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b) Privacy and innominateness </w:t>
      </w:r>
    </w:p>
    <w:p w14:paraId="3118ED09"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c) Recognition and imperceptible </w:t>
      </w:r>
    </w:p>
    <w:p w14:paraId="244A35C8"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d) benevolence </w:t>
      </w:r>
    </w:p>
    <w:p w14:paraId="4DFE0662"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e) Goodwill and obligation of care </w:t>
      </w:r>
    </w:p>
    <w:p w14:paraId="2547B771"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f) Responsibilities</w:t>
      </w:r>
    </w:p>
    <w:p w14:paraId="4B553BB9"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 g) Obtaining access </w:t>
      </w:r>
    </w:p>
    <w:p w14:paraId="1FE10199"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h) Directly and concealed research </w:t>
      </w:r>
    </w:p>
    <w:p w14:paraId="160718CF"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i) Transparency and accessible compared to discrete comprehension and spaces </w:t>
      </w:r>
    </w:p>
    <w:p w14:paraId="294F88F4"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j) Connection and variations authority interactions in research </w:t>
      </w:r>
    </w:p>
    <w:p w14:paraId="6B45C49E"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k) Research interests </w:t>
      </w:r>
    </w:p>
    <w:bookmarkEnd w:id="1154"/>
    <w:p w14:paraId="6E94C247" w14:textId="77777777" w:rsidR="00B01D46" w:rsidRDefault="00B01D46">
      <w:pPr>
        <w:spacing w:after="0" w:line="240" w:lineRule="auto"/>
        <w:ind w:right="65"/>
        <w:jc w:val="both"/>
        <w:rPr>
          <w:rFonts w:ascii="Times New Roman" w:hAnsi="Times New Roman" w:cs="Times New Roman"/>
          <w:sz w:val="24"/>
          <w:szCs w:val="24"/>
        </w:rPr>
      </w:pPr>
    </w:p>
    <w:p w14:paraId="5BEE18C0" w14:textId="25DE7A3C"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Simons </w:t>
      </w:r>
      <w:r w:rsidR="00211A6A">
        <w:rPr>
          <w:rFonts w:ascii="Times New Roman" w:hAnsi="Times New Roman" w:cs="Times New Roman"/>
          <w:sz w:val="24"/>
          <w:szCs w:val="24"/>
        </w:rPr>
        <w:t xml:space="preserve">&amp; </w:t>
      </w:r>
      <w:r>
        <w:rPr>
          <w:rFonts w:ascii="Times New Roman" w:hAnsi="Times New Roman" w:cs="Times New Roman"/>
          <w:sz w:val="24"/>
          <w:szCs w:val="24"/>
        </w:rPr>
        <w:t xml:space="preserve">usher (2012) argue that ethics are “situated” i.e., they ought to be interpreted in specific, local situations. Each stage in the study process/sequence raises ethical issues. Sikes (2006) states that ethics touch “researchers and their research choices, research topics, methodologies and methods, and writing style”. As such, ethical concerns may emanate from the type of study being carried out; the context for the research; the procedures to be adopted; strategies for collecting data; the various categories respondents/participants; and the categories of data collected, </w:t>
      </w:r>
      <w:r>
        <w:rPr>
          <w:rFonts w:ascii="Times New Roman" w:hAnsi="Times New Roman" w:cs="Times New Roman"/>
          <w:sz w:val="24"/>
          <w:szCs w:val="24"/>
        </w:rPr>
        <w:lastRenderedPageBreak/>
        <w:t xml:space="preserve">analyzed and reported (Oliver, 2012). In this regard, the researcher sought consent from the respondents to voluntarily engage in the study. </w:t>
      </w:r>
      <w:bookmarkStart w:id="1155" w:name="_Hlk158378315"/>
      <w:r>
        <w:rPr>
          <w:rFonts w:ascii="Times New Roman" w:hAnsi="Times New Roman" w:cs="Times New Roman"/>
          <w:sz w:val="24"/>
          <w:szCs w:val="24"/>
        </w:rPr>
        <w:t>The participants were guaranteed of their privacy, confidentially and anonymity. The participants were also informed that it was within their right to withdraw from the study at any stage if they so wish without any authorizations. Additionally, the researcher complied with Moi University research ethical guidelines. Also, the study obtained a research permit from NACOSTI in Kenya.</w:t>
      </w:r>
      <w:bookmarkEnd w:id="1155"/>
    </w:p>
    <w:p w14:paraId="58385A6F" w14:textId="77777777" w:rsidR="00B01D46" w:rsidRDefault="0067013E">
      <w:pPr>
        <w:pStyle w:val="Heading2"/>
      </w:pPr>
      <w:bookmarkStart w:id="1156" w:name="_Toc332821939"/>
      <w:bookmarkStart w:id="1157" w:name="_Toc165369210"/>
      <w:bookmarkStart w:id="1158" w:name="_Toc164664027"/>
      <w:bookmarkStart w:id="1159" w:name="_Toc374802110"/>
      <w:bookmarkStart w:id="1160" w:name="_Toc303423468"/>
      <w:bookmarkStart w:id="1161" w:name="_Toc165363418"/>
      <w:bookmarkStart w:id="1162" w:name="_Toc303428153"/>
      <w:bookmarkStart w:id="1163" w:name="_Toc303429164"/>
      <w:bookmarkStart w:id="1164" w:name="_Toc303422503"/>
      <w:bookmarkStart w:id="1165" w:name="_Toc314155517"/>
      <w:bookmarkStart w:id="1166" w:name="_Toc165975814"/>
      <w:bookmarkStart w:id="1167" w:name="_Toc165368394"/>
      <w:bookmarkStart w:id="1168" w:name="_Toc314156286"/>
      <w:bookmarkStart w:id="1169" w:name="_Toc184272909"/>
      <w:bookmarkStart w:id="1170" w:name="_Toc165365192"/>
      <w:bookmarkStart w:id="1171" w:name="_Toc374800314"/>
      <w:bookmarkStart w:id="1172" w:name="_Toc332823532"/>
      <w:bookmarkStart w:id="1173" w:name="_Toc374802849"/>
      <w:bookmarkStart w:id="1174" w:name="_Toc332823933"/>
      <w:bookmarkStart w:id="1175" w:name="_Toc332822733"/>
      <w:bookmarkStart w:id="1176" w:name="_Toc165973093"/>
      <w:r>
        <w:t>4.13 Chapter Summary</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14:paraId="04F2489E"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 focus of the study was to assess</w:t>
      </w:r>
      <w:r>
        <w:rPr>
          <w:rFonts w:ascii="Times New Roman" w:hAnsi="Times New Roman" w:cs="Times New Roman"/>
          <w:bCs/>
          <w:sz w:val="24"/>
          <w:szCs w:val="24"/>
        </w:rPr>
        <w:t xml:space="preserve"> </w:t>
      </w:r>
      <w:r>
        <w:rPr>
          <w:rFonts w:ascii="Times New Roman" w:hAnsi="Times New Roman" w:cs="Times New Roman"/>
          <w:sz w:val="24"/>
          <w:szCs w:val="24"/>
        </w:rPr>
        <w:t>information literacy skills of medical undergraduate students in the selected public universities in Kenya,</w:t>
      </w:r>
      <w:r>
        <w:rPr>
          <w:rFonts w:ascii="Times New Roman" w:hAnsi="Times New Roman" w:cs="Times New Roman"/>
          <w:bCs/>
          <w:sz w:val="24"/>
          <w:szCs w:val="24"/>
        </w:rPr>
        <w:t xml:space="preserve"> with a view, of proposing a framework to enhance delivery of the information literacy skills. The paradigm and </w:t>
      </w:r>
      <w:r>
        <w:rPr>
          <w:rFonts w:ascii="Times New Roman" w:hAnsi="Times New Roman" w:cs="Times New Roman"/>
          <w:sz w:val="24"/>
          <w:szCs w:val="24"/>
        </w:rPr>
        <w:t xml:space="preserve">methodology of the study have been elaborated and justified. The Methods of enquiry in this study included survey research (face-face interviews and questionnaires) and content analyses of other materials including official documents. A schedule of interviews with the University librarians, HODs, and heads medical librarians was carried out. Purposive, stratified sampling in conjunction with simple random sampling techniques were applied to sample data relating to lecturers and undergraduate student population while purposive sampling used to handpick the University librarians, medical librarians and head of departments that were included in the sample. </w:t>
      </w:r>
    </w:p>
    <w:p w14:paraId="5DD88547" w14:textId="77777777" w:rsidR="00B01D46" w:rsidRDefault="0067013E">
      <w:pPr>
        <w:spacing w:after="200" w:line="276" w:lineRule="auto"/>
        <w:ind w:right="65"/>
        <w:rPr>
          <w:rFonts w:ascii="Times New Roman" w:eastAsia="Times New Roman" w:hAnsi="Times New Roman" w:cs="Times New Roman"/>
          <w:b/>
          <w:color w:val="000000"/>
          <w:sz w:val="24"/>
          <w:szCs w:val="24"/>
        </w:rPr>
      </w:pPr>
      <w:bookmarkStart w:id="1177" w:name="_Toc165365193"/>
      <w:bookmarkStart w:id="1178" w:name="_Toc164664028"/>
      <w:bookmarkStart w:id="1179" w:name="_Toc165368395"/>
      <w:bookmarkStart w:id="1180" w:name="_Toc165363419"/>
      <w:bookmarkStart w:id="1181" w:name="_Toc165369211"/>
      <w:bookmarkStart w:id="1182" w:name="_Hlk140249940"/>
      <w:r>
        <w:rPr>
          <w:rFonts w:ascii="Times New Roman" w:eastAsia="Times New Roman" w:hAnsi="Times New Roman" w:cs="Times New Roman"/>
          <w:b/>
          <w:color w:val="000000"/>
          <w:sz w:val="24"/>
          <w:szCs w:val="24"/>
        </w:rPr>
        <w:br w:type="page"/>
      </w:r>
    </w:p>
    <w:p w14:paraId="567DD141" w14:textId="77777777" w:rsidR="00B01D46" w:rsidRDefault="0067013E">
      <w:pPr>
        <w:pStyle w:val="Heading1"/>
      </w:pPr>
      <w:bookmarkStart w:id="1183" w:name="_Toc165975815"/>
      <w:bookmarkStart w:id="1184" w:name="_Toc184272910"/>
      <w:bookmarkStart w:id="1185" w:name="_Toc165973094"/>
      <w:r>
        <w:lastRenderedPageBreak/>
        <w:t>CHAPTER FIVE</w:t>
      </w:r>
      <w:bookmarkEnd w:id="1177"/>
      <w:bookmarkEnd w:id="1178"/>
      <w:bookmarkEnd w:id="1179"/>
      <w:bookmarkEnd w:id="1180"/>
      <w:bookmarkEnd w:id="1181"/>
      <w:bookmarkEnd w:id="1183"/>
      <w:bookmarkEnd w:id="1184"/>
      <w:bookmarkEnd w:id="1185"/>
    </w:p>
    <w:p w14:paraId="33D18A00" w14:textId="30F20D12" w:rsidR="00B01D46" w:rsidRDefault="0067013E">
      <w:pPr>
        <w:pStyle w:val="Heading1"/>
      </w:pPr>
      <w:bookmarkStart w:id="1186" w:name="_Toc184272911"/>
      <w:r>
        <w:t>DATA PRESENTATION</w:t>
      </w:r>
      <w:r w:rsidR="00726ED9">
        <w:t xml:space="preserve"> </w:t>
      </w:r>
      <w:r w:rsidR="00CE2007">
        <w:t>AND ANALYSIS</w:t>
      </w:r>
      <w:r>
        <w:t xml:space="preserve"> </w:t>
      </w:r>
      <w:bookmarkEnd w:id="1186"/>
    </w:p>
    <w:p w14:paraId="08A7DE3F" w14:textId="77777777" w:rsidR="00B01D46" w:rsidRDefault="0067013E">
      <w:pPr>
        <w:pStyle w:val="Heading2"/>
      </w:pPr>
      <w:bookmarkStart w:id="1187" w:name="_Toc165369213"/>
      <w:bookmarkStart w:id="1188" w:name="_Toc165975817"/>
      <w:bookmarkStart w:id="1189" w:name="_Toc184272912"/>
      <w:bookmarkStart w:id="1190" w:name="_Toc164664030"/>
      <w:bookmarkStart w:id="1191" w:name="_Toc165365195"/>
      <w:bookmarkStart w:id="1192" w:name="_Toc165973096"/>
      <w:bookmarkStart w:id="1193" w:name="_Toc165363421"/>
      <w:bookmarkStart w:id="1194" w:name="_Toc165368397"/>
      <w:r>
        <w:t>5.1 Introduction</w:t>
      </w:r>
      <w:bookmarkEnd w:id="1187"/>
      <w:bookmarkEnd w:id="1188"/>
      <w:bookmarkEnd w:id="1189"/>
      <w:bookmarkEnd w:id="1190"/>
      <w:bookmarkEnd w:id="1191"/>
      <w:bookmarkEnd w:id="1192"/>
      <w:bookmarkEnd w:id="1193"/>
      <w:bookmarkEnd w:id="1194"/>
      <w:r>
        <w:t xml:space="preserve"> </w:t>
      </w:r>
    </w:p>
    <w:p w14:paraId="2B05CBDD" w14:textId="77777777" w:rsidR="00B01D46" w:rsidRDefault="0067013E">
      <w:pPr>
        <w:spacing w:after="0" w:line="480" w:lineRule="auto"/>
        <w:ind w:right="65"/>
        <w:jc w:val="both"/>
        <w:rPr>
          <w:rFonts w:ascii="Times New Roman" w:hAnsi="Times New Roman" w:cs="Times New Roman"/>
          <w:sz w:val="24"/>
          <w:szCs w:val="24"/>
        </w:rPr>
      </w:pPr>
      <w:r>
        <w:rPr>
          <w:rFonts w:ascii="Times New Roman" w:eastAsia="Calibri" w:hAnsi="Times New Roman" w:cs="Times New Roman"/>
          <w:sz w:val="24"/>
          <w:szCs w:val="24"/>
        </w:rPr>
        <w:t xml:space="preserve">The chapter covers the response rate, demographic characteristics and analysis of data as guided by the thematic areas derived from research objectives. The researcher utilized mixed methods in collecting quantitative data among students and lecturers (check Appendices I and II), and qualitative data from heads medical librarians, HODs, and university librarians (see Appendices III, IV, and V). </w:t>
      </w:r>
      <w:r>
        <w:rPr>
          <w:rFonts w:ascii="Times New Roman" w:hAnsi="Times New Roman" w:cs="Times New Roman"/>
          <w:sz w:val="24"/>
          <w:szCs w:val="24"/>
        </w:rPr>
        <w:t>A mixed-methods strategy was appropriate because it facilitated the authentication of data collected by one method through another method. The collected data was evaluated via coding, in which every question in the questionnaire was assigned a unique number code. After that, SPSS was used to create tables, graphs, and statistics that were used to show, explain, and evaluate the patterns and relationships in the data (Saunders et al., 2012 and Kothari, 2014).</w:t>
      </w:r>
    </w:p>
    <w:p w14:paraId="186AA0E0"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Qualitative data collected through interviewing participants was also prepared first by transcribing the audio-recorded interviews into word-processed text. From the transcripts of the interviews, summaries were made that presented the main ideas and themes emerging from each interview. The interview findings complemented the quantitative data results.</w:t>
      </w:r>
    </w:p>
    <w:p w14:paraId="4DAA5EB5"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objectives that guided the study were used in presenting the findings, namely:</w:t>
      </w:r>
    </w:p>
    <w:p w14:paraId="1C001B79" w14:textId="77777777" w:rsidR="00B01D46" w:rsidRDefault="0067013E">
      <w:pPr>
        <w:pStyle w:val="ListParagraph"/>
        <w:numPr>
          <w:ilvl w:val="0"/>
          <w:numId w:val="14"/>
        </w:numPr>
        <w:spacing w:after="0" w:line="480" w:lineRule="auto"/>
        <w:ind w:left="284" w:right="65" w:hanging="284"/>
        <w:rPr>
          <w:szCs w:val="24"/>
        </w:rPr>
      </w:pPr>
      <w:r>
        <w:rPr>
          <w:szCs w:val="24"/>
        </w:rPr>
        <w:t>To assess the status of information literacy skills of medical undergraduate students at Moi University and the University of Nairobi.</w:t>
      </w:r>
    </w:p>
    <w:p w14:paraId="4B2AC301" w14:textId="77777777" w:rsidR="00B01D46" w:rsidRDefault="0067013E">
      <w:pPr>
        <w:pStyle w:val="ListParagraph"/>
        <w:numPr>
          <w:ilvl w:val="0"/>
          <w:numId w:val="14"/>
        </w:numPr>
        <w:spacing w:after="0" w:line="480" w:lineRule="auto"/>
        <w:ind w:left="284" w:right="65" w:hanging="284"/>
        <w:contextualSpacing w:val="0"/>
        <w:rPr>
          <w:szCs w:val="24"/>
        </w:rPr>
      </w:pPr>
      <w:r>
        <w:rPr>
          <w:szCs w:val="24"/>
        </w:rPr>
        <w:t>To examine the information literacy skills policies and curricula supporting the adequacy of   ILS among medical undergraduate students at the two universities</w:t>
      </w:r>
    </w:p>
    <w:p w14:paraId="4287D33B" w14:textId="77777777" w:rsidR="00B01D46" w:rsidRDefault="0067013E">
      <w:pPr>
        <w:pStyle w:val="ListParagraph"/>
        <w:numPr>
          <w:ilvl w:val="0"/>
          <w:numId w:val="14"/>
        </w:numPr>
        <w:spacing w:after="0" w:line="480" w:lineRule="auto"/>
        <w:ind w:left="284" w:right="65" w:hanging="284"/>
        <w:contextualSpacing w:val="0"/>
        <w:rPr>
          <w:szCs w:val="24"/>
        </w:rPr>
      </w:pPr>
      <w:r>
        <w:rPr>
          <w:szCs w:val="24"/>
        </w:rPr>
        <w:t>To explore the ILS understanding among medical undergraduate students</w:t>
      </w:r>
    </w:p>
    <w:p w14:paraId="6FBF5E6A" w14:textId="77777777" w:rsidR="00B01D46" w:rsidRDefault="0067013E">
      <w:pPr>
        <w:pStyle w:val="ListParagraph"/>
        <w:numPr>
          <w:ilvl w:val="0"/>
          <w:numId w:val="14"/>
        </w:numPr>
        <w:spacing w:after="0" w:line="480" w:lineRule="auto"/>
        <w:ind w:left="284" w:right="65" w:hanging="284"/>
        <w:contextualSpacing w:val="0"/>
        <w:rPr>
          <w:szCs w:val="24"/>
        </w:rPr>
      </w:pPr>
      <w:r>
        <w:rPr>
          <w:szCs w:val="24"/>
        </w:rPr>
        <w:lastRenderedPageBreak/>
        <w:t xml:space="preserve">To analyze the knowledge and skills possessed by staff engaged in facilitating ILS among medical undergraduate students </w:t>
      </w:r>
    </w:p>
    <w:p w14:paraId="1B95FC80" w14:textId="77777777" w:rsidR="00B01D46" w:rsidRDefault="0067013E">
      <w:pPr>
        <w:pStyle w:val="ListParagraph"/>
        <w:numPr>
          <w:ilvl w:val="0"/>
          <w:numId w:val="14"/>
        </w:numPr>
        <w:spacing w:after="0" w:line="480" w:lineRule="auto"/>
        <w:ind w:left="284" w:right="65" w:hanging="284"/>
        <w:contextualSpacing w:val="0"/>
        <w:rPr>
          <w:szCs w:val="24"/>
        </w:rPr>
      </w:pPr>
      <w:r>
        <w:rPr>
          <w:szCs w:val="24"/>
        </w:rPr>
        <w:t>To examine the role of ICT in facilitating and promoting information literacy skills among medical undergraduate students at the two universities</w:t>
      </w:r>
    </w:p>
    <w:p w14:paraId="640474DE" w14:textId="77777777" w:rsidR="00B01D46" w:rsidRDefault="0067013E">
      <w:pPr>
        <w:pStyle w:val="ListParagraph"/>
        <w:numPr>
          <w:ilvl w:val="0"/>
          <w:numId w:val="14"/>
        </w:numPr>
        <w:spacing w:after="0" w:line="480" w:lineRule="auto"/>
        <w:ind w:left="284" w:right="65" w:hanging="284"/>
        <w:contextualSpacing w:val="0"/>
        <w:rPr>
          <w:szCs w:val="24"/>
        </w:rPr>
      </w:pPr>
      <w:r>
        <w:rPr>
          <w:szCs w:val="24"/>
        </w:rPr>
        <w:t>To propose a framework to enhance ILS among medical undergraduate students in the selected universities in Kenya</w:t>
      </w:r>
    </w:p>
    <w:p w14:paraId="1A045599" w14:textId="77777777" w:rsidR="00B01D46" w:rsidRDefault="00B01D46">
      <w:pPr>
        <w:pStyle w:val="NoSpacing"/>
      </w:pPr>
    </w:p>
    <w:p w14:paraId="3354861B" w14:textId="77777777" w:rsidR="00B01D46" w:rsidRDefault="0067013E">
      <w:pPr>
        <w:pStyle w:val="Heading2"/>
      </w:pPr>
      <w:bookmarkStart w:id="1195" w:name="_Toc165975818"/>
      <w:bookmarkStart w:id="1196" w:name="_Toc165368398"/>
      <w:bookmarkStart w:id="1197" w:name="_Toc165363422"/>
      <w:bookmarkStart w:id="1198" w:name="_Toc165973097"/>
      <w:bookmarkStart w:id="1199" w:name="_Toc165365196"/>
      <w:bookmarkStart w:id="1200" w:name="_Toc165369214"/>
      <w:bookmarkStart w:id="1201" w:name="_Toc184272913"/>
      <w:bookmarkStart w:id="1202" w:name="_Toc164664031"/>
      <w:r>
        <w:t>5.2 Response Rate</w:t>
      </w:r>
      <w:bookmarkEnd w:id="1195"/>
      <w:bookmarkEnd w:id="1196"/>
      <w:bookmarkEnd w:id="1197"/>
      <w:bookmarkEnd w:id="1198"/>
      <w:bookmarkEnd w:id="1199"/>
      <w:bookmarkEnd w:id="1200"/>
      <w:bookmarkEnd w:id="1201"/>
      <w:bookmarkEnd w:id="1202"/>
      <w:r>
        <w:t xml:space="preserve"> </w:t>
      </w:r>
    </w:p>
    <w:p w14:paraId="4CA98423" w14:textId="10F82564"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response rate is the proportion of eligible sample units that cooperate in a survey (Babbie and Mouton, 2011). Response rate is calculated as the total number of responses divided by the total number in the sample (usually expressed as a percentage (Saunders et al., 2012). </w:t>
      </w:r>
      <w:r>
        <w:rPr>
          <w:rFonts w:ascii="Times New Roman" w:hAnsi="Times New Roman" w:cs="Times New Roman"/>
          <w:sz w:val="24"/>
          <w:szCs w:val="24"/>
        </w:rPr>
        <w:t xml:space="preserve">Higher percentages of responses, according to Groves </w:t>
      </w:r>
      <w:r w:rsidR="00211A6A">
        <w:rPr>
          <w:rFonts w:ascii="Times New Roman" w:hAnsi="Times New Roman" w:cs="Times New Roman"/>
          <w:sz w:val="24"/>
          <w:szCs w:val="24"/>
        </w:rPr>
        <w:t>&amp;</w:t>
      </w:r>
      <w:r>
        <w:rPr>
          <w:rFonts w:ascii="Times New Roman" w:hAnsi="Times New Roman" w:cs="Times New Roman"/>
          <w:sz w:val="24"/>
          <w:szCs w:val="24"/>
        </w:rPr>
        <w:t xml:space="preserve"> Peytcheva (2008), are desirable because they limit the possibility of bias caused by non-response and guarantee a representative sample.</w:t>
      </w:r>
      <w:r>
        <w:rPr>
          <w:rFonts w:ascii="Times New Roman" w:eastAsia="Calibri" w:hAnsi="Times New Roman" w:cs="Times New Roman"/>
          <w:sz w:val="24"/>
          <w:szCs w:val="24"/>
        </w:rPr>
        <w:t xml:space="preserve"> Similarly, According to Babbie </w:t>
      </w:r>
      <w:r w:rsidR="00211A6A">
        <w:rPr>
          <w:rFonts w:ascii="Times New Roman" w:eastAsia="Calibri" w:hAnsi="Times New Roman" w:cs="Times New Roman"/>
          <w:sz w:val="24"/>
          <w:szCs w:val="24"/>
        </w:rPr>
        <w:t>&amp;</w:t>
      </w:r>
      <w:r>
        <w:rPr>
          <w:rFonts w:ascii="Times New Roman" w:eastAsia="Calibri" w:hAnsi="Times New Roman" w:cs="Times New Roman"/>
          <w:sz w:val="24"/>
          <w:szCs w:val="24"/>
        </w:rPr>
        <w:t xml:space="preserve">Mouton (2011), a response rate of 50% is adequate for data analysis and presentation, a response rate of 60% is satisfactory, and a response rate of 70% is exceptional. </w:t>
      </w:r>
    </w:p>
    <w:p w14:paraId="1E3F13C0" w14:textId="2895E2B5"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From the 353 questionnaires distributed to student</w:t>
      </w:r>
      <w:r w:rsidR="00A85A85">
        <w:rPr>
          <w:rFonts w:ascii="Times New Roman" w:eastAsia="Calibri" w:hAnsi="Times New Roman" w:cs="Times New Roman"/>
          <w:sz w:val="24"/>
          <w:szCs w:val="24"/>
        </w:rPr>
        <w:t>s</w:t>
      </w:r>
      <w:r>
        <w:rPr>
          <w:rFonts w:ascii="Times New Roman" w:eastAsia="Calibri" w:hAnsi="Times New Roman" w:cs="Times New Roman"/>
          <w:sz w:val="24"/>
          <w:szCs w:val="24"/>
        </w:rPr>
        <w:t xml:space="preserve"> </w:t>
      </w:r>
      <w:r w:rsidR="00A85A85">
        <w:rPr>
          <w:rFonts w:ascii="Times New Roman" w:eastAsia="Calibri" w:hAnsi="Times New Roman" w:cs="Times New Roman"/>
          <w:sz w:val="24"/>
          <w:szCs w:val="24"/>
        </w:rPr>
        <w:t xml:space="preserve">who were </w:t>
      </w:r>
      <w:r>
        <w:rPr>
          <w:rFonts w:ascii="Times New Roman" w:eastAsia="Calibri" w:hAnsi="Times New Roman" w:cs="Times New Roman"/>
          <w:sz w:val="24"/>
          <w:szCs w:val="24"/>
        </w:rPr>
        <w:t>respondents</w:t>
      </w:r>
      <w:r w:rsidR="00A85A85">
        <w:rPr>
          <w:rFonts w:ascii="Times New Roman" w:eastAsia="Calibri" w:hAnsi="Times New Roman" w:cs="Times New Roman"/>
          <w:sz w:val="24"/>
          <w:szCs w:val="24"/>
        </w:rPr>
        <w:t xml:space="preserve"> of the study</w:t>
      </w:r>
      <w:r>
        <w:rPr>
          <w:rFonts w:ascii="Times New Roman" w:eastAsia="Calibri" w:hAnsi="Times New Roman" w:cs="Times New Roman"/>
          <w:sz w:val="24"/>
          <w:szCs w:val="24"/>
        </w:rPr>
        <w:t xml:space="preserve">, 255 questionnaires were returned, representing 65.4% response rate, as shown in Table 5.1. Additionally, a total of 62 completed questionnaires were obtained from the lecturers in the two public universities representing 100% </w:t>
      </w:r>
      <w:r w:rsidR="00A85A85">
        <w:rPr>
          <w:rFonts w:ascii="Times New Roman" w:eastAsia="Calibri" w:hAnsi="Times New Roman" w:cs="Times New Roman"/>
          <w:sz w:val="24"/>
          <w:szCs w:val="24"/>
        </w:rPr>
        <w:t>response rate</w:t>
      </w:r>
      <w:r>
        <w:rPr>
          <w:rFonts w:ascii="Times New Roman" w:eastAsia="Calibri" w:hAnsi="Times New Roman" w:cs="Times New Roman"/>
          <w:sz w:val="24"/>
          <w:szCs w:val="24"/>
        </w:rPr>
        <w:t xml:space="preserve">. There was a 100% saturation level on the semi-structured interviews which were conducted on 2 university librarians, 2 heads medical librarians, and 6 HODs that is, the departments of Nursing; Dental Sciences; and Clinical Medicine and Therapeutics from the University of Nairobi; and departments of  Nursing Education Management </w:t>
      </w:r>
      <w:r>
        <w:rPr>
          <w:rFonts w:ascii="Times New Roman" w:eastAsia="Calibri" w:hAnsi="Times New Roman" w:cs="Times New Roman"/>
          <w:sz w:val="24"/>
          <w:szCs w:val="24"/>
        </w:rPr>
        <w:lastRenderedPageBreak/>
        <w:t xml:space="preserve">and Research in the school of Nursing; Maxillofacial Surgery, Oral Medium/Pathology/Radiology in the school of Dentistry; and Medicine in the School of Medicine at Moi University. The researcher was able to attain 100% </w:t>
      </w:r>
      <w:r w:rsidR="00A85A85">
        <w:rPr>
          <w:rFonts w:ascii="Times New Roman" w:eastAsia="Calibri" w:hAnsi="Times New Roman" w:cs="Times New Roman"/>
          <w:sz w:val="24"/>
          <w:szCs w:val="24"/>
        </w:rPr>
        <w:t>response rate for</w:t>
      </w:r>
      <w:r>
        <w:rPr>
          <w:rFonts w:ascii="Times New Roman" w:eastAsia="Calibri" w:hAnsi="Times New Roman" w:cs="Times New Roman"/>
          <w:sz w:val="24"/>
          <w:szCs w:val="24"/>
        </w:rPr>
        <w:t xml:space="preserve"> the lecturers</w:t>
      </w:r>
      <w:r w:rsidR="00A85A85">
        <w:rPr>
          <w:rFonts w:ascii="Times New Roman" w:eastAsia="Calibri" w:hAnsi="Times New Roman" w:cs="Times New Roman"/>
          <w:sz w:val="24"/>
          <w:szCs w:val="24"/>
        </w:rPr>
        <w:t xml:space="preserve"> and 100% saturation level of </w:t>
      </w:r>
      <w:r>
        <w:rPr>
          <w:rFonts w:ascii="Times New Roman" w:eastAsia="Calibri" w:hAnsi="Times New Roman" w:cs="Times New Roman"/>
          <w:sz w:val="24"/>
          <w:szCs w:val="24"/>
        </w:rPr>
        <w:t xml:space="preserve">2 university librarians, 2 heads medical librarians, and 6 HODs through persistent appointments </w:t>
      </w:r>
      <w:r w:rsidR="00A85A85">
        <w:rPr>
          <w:rFonts w:ascii="Times New Roman" w:eastAsia="Calibri" w:hAnsi="Times New Roman" w:cs="Times New Roman"/>
          <w:sz w:val="24"/>
          <w:szCs w:val="24"/>
        </w:rPr>
        <w:t xml:space="preserve">with </w:t>
      </w:r>
      <w:r>
        <w:rPr>
          <w:rFonts w:ascii="Times New Roman" w:eastAsia="Calibri" w:hAnsi="Times New Roman" w:cs="Times New Roman"/>
          <w:sz w:val="24"/>
          <w:szCs w:val="24"/>
        </w:rPr>
        <w:t>the participants</w:t>
      </w:r>
      <w:r w:rsidR="00FB6D67">
        <w:rPr>
          <w:rFonts w:ascii="Times New Roman" w:eastAsia="Calibri" w:hAnsi="Times New Roman" w:cs="Times New Roman"/>
          <w:sz w:val="24"/>
          <w:szCs w:val="24"/>
        </w:rPr>
        <w:t xml:space="preserve"> and </w:t>
      </w:r>
      <w:r>
        <w:rPr>
          <w:rFonts w:ascii="Times New Roman" w:eastAsia="Calibri" w:hAnsi="Times New Roman" w:cs="Times New Roman"/>
          <w:sz w:val="24"/>
          <w:szCs w:val="24"/>
        </w:rPr>
        <w:t>ma</w:t>
      </w:r>
      <w:r w:rsidR="00FB6D67">
        <w:rPr>
          <w:rFonts w:ascii="Times New Roman" w:eastAsia="Calibri" w:hAnsi="Times New Roman" w:cs="Times New Roman"/>
          <w:sz w:val="24"/>
          <w:szCs w:val="24"/>
        </w:rPr>
        <w:t xml:space="preserve">king </w:t>
      </w:r>
      <w:r>
        <w:rPr>
          <w:rFonts w:ascii="Times New Roman" w:eastAsia="Calibri" w:hAnsi="Times New Roman" w:cs="Times New Roman"/>
          <w:sz w:val="24"/>
          <w:szCs w:val="24"/>
        </w:rPr>
        <w:t>several visitations to the participants’ places of work both at their universities and private practice (offices/ clinics). The researcher aligned the time of interviews with the participants’ free time.</w:t>
      </w:r>
    </w:p>
    <w:p w14:paraId="74E568D7" w14:textId="77777777" w:rsidR="00B01D46" w:rsidRDefault="0067013E">
      <w:pPr>
        <w:pStyle w:val="Caption"/>
      </w:pPr>
      <w:bookmarkStart w:id="1203" w:name="_Toc165975819"/>
      <w:bookmarkStart w:id="1204" w:name="_Toc184271990"/>
      <w:bookmarkStart w:id="1205" w:name="_Toc184276900"/>
      <w:bookmarkStart w:id="1206" w:name="_Toc165973098"/>
      <w:bookmarkStart w:id="1207" w:name="_Hlk159791734"/>
      <w:r>
        <w:t>Table 5.1: Response Rates</w:t>
      </w:r>
      <w:bookmarkEnd w:id="1203"/>
      <w:bookmarkEnd w:id="1204"/>
      <w:bookmarkEnd w:id="1205"/>
      <w:bookmarkEnd w:id="1206"/>
      <w:r>
        <w:t xml:space="preserve"> </w:t>
      </w:r>
    </w:p>
    <w:tbl>
      <w:tblPr>
        <w:tblStyle w:val="TableGrid"/>
        <w:tblW w:w="8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9"/>
        <w:gridCol w:w="1529"/>
        <w:gridCol w:w="1699"/>
        <w:gridCol w:w="1846"/>
      </w:tblGrid>
      <w:tr w:rsidR="00B01D46" w14:paraId="7B7DB70A" w14:textId="77777777">
        <w:trPr>
          <w:trHeight w:val="20"/>
        </w:trPr>
        <w:tc>
          <w:tcPr>
            <w:tcW w:w="3029" w:type="dxa"/>
            <w:tcBorders>
              <w:top w:val="single" w:sz="4" w:space="0" w:color="auto"/>
              <w:bottom w:val="single" w:sz="4" w:space="0" w:color="auto"/>
            </w:tcBorders>
          </w:tcPr>
          <w:bookmarkEnd w:id="1207"/>
          <w:p w14:paraId="1FF3F3DF"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Target Group   </w:t>
            </w:r>
          </w:p>
        </w:tc>
        <w:tc>
          <w:tcPr>
            <w:tcW w:w="1529" w:type="dxa"/>
            <w:tcBorders>
              <w:top w:val="single" w:sz="4" w:space="0" w:color="auto"/>
              <w:bottom w:val="single" w:sz="4" w:space="0" w:color="auto"/>
            </w:tcBorders>
          </w:tcPr>
          <w:p w14:paraId="6CDF7DE9"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Sample Size </w:t>
            </w:r>
          </w:p>
          <w:p w14:paraId="54EE53EC"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(N)  </w:t>
            </w:r>
          </w:p>
        </w:tc>
        <w:tc>
          <w:tcPr>
            <w:tcW w:w="1699" w:type="dxa"/>
            <w:tcBorders>
              <w:top w:val="single" w:sz="4" w:space="0" w:color="auto"/>
              <w:bottom w:val="single" w:sz="4" w:space="0" w:color="auto"/>
            </w:tcBorders>
          </w:tcPr>
          <w:p w14:paraId="56165D60"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Response Rate (n)</w:t>
            </w:r>
          </w:p>
        </w:tc>
        <w:tc>
          <w:tcPr>
            <w:tcW w:w="1846" w:type="dxa"/>
            <w:tcBorders>
              <w:top w:val="single" w:sz="4" w:space="0" w:color="auto"/>
              <w:bottom w:val="single" w:sz="4" w:space="0" w:color="auto"/>
            </w:tcBorders>
          </w:tcPr>
          <w:p w14:paraId="33090125"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Response Rate in percentages</w:t>
            </w:r>
          </w:p>
        </w:tc>
      </w:tr>
      <w:tr w:rsidR="00B01D46" w14:paraId="1C3D6F65" w14:textId="77777777">
        <w:trPr>
          <w:trHeight w:val="20"/>
        </w:trPr>
        <w:tc>
          <w:tcPr>
            <w:tcW w:w="3029" w:type="dxa"/>
            <w:tcBorders>
              <w:top w:val="single" w:sz="4" w:space="0" w:color="auto"/>
            </w:tcBorders>
          </w:tcPr>
          <w:p w14:paraId="20E3E93B"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Interviews </w:t>
            </w:r>
          </w:p>
          <w:p w14:paraId="627733CE"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University Librarians</w:t>
            </w:r>
          </w:p>
          <w:p w14:paraId="120B4898"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Head of Departments</w:t>
            </w:r>
          </w:p>
          <w:p w14:paraId="55ECB221"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Head medical Librarians</w:t>
            </w:r>
          </w:p>
          <w:p w14:paraId="747A7DB1"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Interviews target rate</w:t>
            </w:r>
          </w:p>
        </w:tc>
        <w:tc>
          <w:tcPr>
            <w:tcW w:w="1529" w:type="dxa"/>
            <w:tcBorders>
              <w:top w:val="single" w:sz="4" w:space="0" w:color="auto"/>
            </w:tcBorders>
          </w:tcPr>
          <w:p w14:paraId="1A34EA1C" w14:textId="77777777" w:rsidR="00B01D46" w:rsidRDefault="00B01D46">
            <w:pPr>
              <w:ind w:right="65"/>
              <w:jc w:val="both"/>
              <w:rPr>
                <w:rFonts w:ascii="Times New Roman" w:eastAsia="Calibri" w:hAnsi="Times New Roman" w:cs="Times New Roman"/>
                <w:b/>
                <w:sz w:val="24"/>
                <w:szCs w:val="24"/>
              </w:rPr>
            </w:pPr>
          </w:p>
          <w:p w14:paraId="7B0602EB"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2</w:t>
            </w:r>
          </w:p>
          <w:p w14:paraId="30AAEDE7"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6</w:t>
            </w:r>
          </w:p>
          <w:p w14:paraId="28758C90"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2</w:t>
            </w:r>
          </w:p>
          <w:p w14:paraId="409E3B64"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1699" w:type="dxa"/>
            <w:tcBorders>
              <w:top w:val="single" w:sz="4" w:space="0" w:color="auto"/>
            </w:tcBorders>
          </w:tcPr>
          <w:p w14:paraId="11594552" w14:textId="77777777" w:rsidR="00B01D46" w:rsidRDefault="00B01D46">
            <w:pPr>
              <w:ind w:right="65"/>
              <w:jc w:val="both"/>
              <w:rPr>
                <w:rFonts w:ascii="Times New Roman" w:eastAsia="Calibri" w:hAnsi="Times New Roman" w:cs="Times New Roman"/>
                <w:b/>
                <w:sz w:val="24"/>
                <w:szCs w:val="24"/>
              </w:rPr>
            </w:pPr>
          </w:p>
          <w:p w14:paraId="28C51409"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2</w:t>
            </w:r>
          </w:p>
          <w:p w14:paraId="2B9E6E6B"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6</w:t>
            </w:r>
          </w:p>
          <w:p w14:paraId="77FECDD8"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2</w:t>
            </w:r>
          </w:p>
          <w:p w14:paraId="052BC28C"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1846" w:type="dxa"/>
            <w:tcBorders>
              <w:top w:val="single" w:sz="4" w:space="0" w:color="auto"/>
            </w:tcBorders>
          </w:tcPr>
          <w:p w14:paraId="7AD317B3" w14:textId="77777777" w:rsidR="00B01D46" w:rsidRDefault="00B01D46">
            <w:pPr>
              <w:ind w:right="65"/>
              <w:jc w:val="both"/>
              <w:rPr>
                <w:rFonts w:ascii="Times New Roman" w:eastAsia="Calibri" w:hAnsi="Times New Roman" w:cs="Times New Roman"/>
                <w:b/>
                <w:sz w:val="24"/>
                <w:szCs w:val="24"/>
              </w:rPr>
            </w:pPr>
          </w:p>
          <w:p w14:paraId="0F4119A1"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100</w:t>
            </w:r>
          </w:p>
          <w:p w14:paraId="4F80E2AB"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100</w:t>
            </w:r>
          </w:p>
          <w:p w14:paraId="1E84A845"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100</w:t>
            </w:r>
          </w:p>
          <w:p w14:paraId="623812FD"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100</w:t>
            </w:r>
          </w:p>
        </w:tc>
      </w:tr>
      <w:tr w:rsidR="00B01D46" w14:paraId="55D5D926" w14:textId="77777777">
        <w:trPr>
          <w:trHeight w:val="20"/>
        </w:trPr>
        <w:tc>
          <w:tcPr>
            <w:tcW w:w="3029" w:type="dxa"/>
            <w:tcBorders>
              <w:bottom w:val="single" w:sz="4" w:space="0" w:color="auto"/>
            </w:tcBorders>
          </w:tcPr>
          <w:p w14:paraId="7BE7365A"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Questionnaires</w:t>
            </w:r>
          </w:p>
          <w:p w14:paraId="701D1187"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Medical undergraduate students</w:t>
            </w:r>
          </w:p>
          <w:p w14:paraId="26366B8B"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University lecturers</w:t>
            </w:r>
          </w:p>
          <w:p w14:paraId="10C884F2"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Questionnaires target rate</w:t>
            </w:r>
          </w:p>
        </w:tc>
        <w:tc>
          <w:tcPr>
            <w:tcW w:w="1529" w:type="dxa"/>
            <w:tcBorders>
              <w:bottom w:val="single" w:sz="4" w:space="0" w:color="auto"/>
            </w:tcBorders>
          </w:tcPr>
          <w:p w14:paraId="77A0FC65" w14:textId="77777777" w:rsidR="00B01D46" w:rsidRDefault="00B01D46">
            <w:pPr>
              <w:ind w:right="65"/>
              <w:jc w:val="both"/>
              <w:rPr>
                <w:rFonts w:ascii="Times New Roman" w:eastAsia="Calibri" w:hAnsi="Times New Roman" w:cs="Times New Roman"/>
                <w:b/>
                <w:sz w:val="24"/>
                <w:szCs w:val="24"/>
              </w:rPr>
            </w:pPr>
          </w:p>
          <w:p w14:paraId="75FFAFA4"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397</w:t>
            </w:r>
          </w:p>
          <w:p w14:paraId="6D0217A4"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62</w:t>
            </w:r>
          </w:p>
          <w:p w14:paraId="0451F288" w14:textId="77777777" w:rsidR="00B01D46" w:rsidRDefault="00B01D46">
            <w:pPr>
              <w:ind w:right="65"/>
              <w:jc w:val="both"/>
              <w:rPr>
                <w:rFonts w:ascii="Times New Roman" w:eastAsia="Calibri" w:hAnsi="Times New Roman" w:cs="Times New Roman"/>
                <w:b/>
                <w:sz w:val="24"/>
                <w:szCs w:val="24"/>
              </w:rPr>
            </w:pPr>
          </w:p>
          <w:p w14:paraId="56D1F9F0"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462</w:t>
            </w:r>
          </w:p>
        </w:tc>
        <w:tc>
          <w:tcPr>
            <w:tcW w:w="1699" w:type="dxa"/>
            <w:tcBorders>
              <w:bottom w:val="single" w:sz="4" w:space="0" w:color="auto"/>
            </w:tcBorders>
          </w:tcPr>
          <w:p w14:paraId="506E3E4F" w14:textId="77777777" w:rsidR="00B01D46" w:rsidRDefault="00B01D46">
            <w:pPr>
              <w:ind w:right="65"/>
              <w:jc w:val="both"/>
              <w:rPr>
                <w:rFonts w:ascii="Times New Roman" w:eastAsia="Calibri" w:hAnsi="Times New Roman" w:cs="Times New Roman"/>
                <w:sz w:val="24"/>
                <w:szCs w:val="24"/>
              </w:rPr>
            </w:pPr>
          </w:p>
          <w:p w14:paraId="30593989"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255</w:t>
            </w:r>
          </w:p>
          <w:p w14:paraId="6A0118A1"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62</w:t>
            </w:r>
          </w:p>
          <w:p w14:paraId="471ACCDA" w14:textId="77777777" w:rsidR="00B01D46" w:rsidRDefault="00B01D46">
            <w:pPr>
              <w:ind w:right="65"/>
              <w:jc w:val="both"/>
              <w:rPr>
                <w:rFonts w:ascii="Times New Roman" w:eastAsia="Calibri" w:hAnsi="Times New Roman" w:cs="Times New Roman"/>
                <w:b/>
                <w:sz w:val="24"/>
                <w:szCs w:val="24"/>
              </w:rPr>
            </w:pPr>
          </w:p>
          <w:p w14:paraId="6A31A467"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327</w:t>
            </w:r>
          </w:p>
        </w:tc>
        <w:tc>
          <w:tcPr>
            <w:tcW w:w="1846" w:type="dxa"/>
            <w:tcBorders>
              <w:bottom w:val="single" w:sz="4" w:space="0" w:color="auto"/>
            </w:tcBorders>
          </w:tcPr>
          <w:p w14:paraId="0D7D0220" w14:textId="77777777" w:rsidR="00B01D46" w:rsidRDefault="00B01D46">
            <w:pPr>
              <w:ind w:right="65"/>
              <w:jc w:val="both"/>
              <w:rPr>
                <w:rFonts w:ascii="Times New Roman" w:eastAsia="Calibri" w:hAnsi="Times New Roman" w:cs="Times New Roman"/>
                <w:b/>
                <w:sz w:val="24"/>
                <w:szCs w:val="24"/>
              </w:rPr>
            </w:pPr>
          </w:p>
          <w:p w14:paraId="0FC73F06"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64.2</w:t>
            </w:r>
          </w:p>
          <w:p w14:paraId="69C981E6"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100</w:t>
            </w:r>
          </w:p>
          <w:p w14:paraId="728941A6" w14:textId="77777777" w:rsidR="00B01D46" w:rsidRDefault="00B01D46">
            <w:pPr>
              <w:ind w:right="65"/>
              <w:jc w:val="both"/>
              <w:rPr>
                <w:rFonts w:ascii="Times New Roman" w:eastAsia="Calibri" w:hAnsi="Times New Roman" w:cs="Times New Roman"/>
                <w:b/>
                <w:sz w:val="24"/>
                <w:szCs w:val="24"/>
              </w:rPr>
            </w:pPr>
          </w:p>
          <w:p w14:paraId="16A86921" w14:textId="77777777" w:rsidR="00B01D46" w:rsidRDefault="0067013E">
            <w:pPr>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71.6</w:t>
            </w:r>
          </w:p>
        </w:tc>
      </w:tr>
    </w:tbl>
    <w:p w14:paraId="07F86F8F" w14:textId="77777777" w:rsidR="00B01D46" w:rsidRDefault="0067013E">
      <w:pPr>
        <w:spacing w:line="48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Source: Field data (2021)</w:t>
      </w:r>
    </w:p>
    <w:p w14:paraId="60DC71E0"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adequate response rate was because of the researcher’s tenacity and frequent follow-ups.   </w:t>
      </w:r>
    </w:p>
    <w:p w14:paraId="04098FAC" w14:textId="77777777" w:rsidR="00B01D46" w:rsidRDefault="0067013E">
      <w:pPr>
        <w:pStyle w:val="Heading2"/>
      </w:pPr>
      <w:bookmarkStart w:id="1208" w:name="_Toc165365197"/>
      <w:bookmarkStart w:id="1209" w:name="_Toc164664032"/>
      <w:bookmarkStart w:id="1210" w:name="_Toc165975820"/>
      <w:bookmarkStart w:id="1211" w:name="_Toc165973099"/>
      <w:bookmarkStart w:id="1212" w:name="_Toc165368400"/>
      <w:bookmarkStart w:id="1213" w:name="_Toc165369216"/>
      <w:bookmarkStart w:id="1214" w:name="_Toc184272914"/>
      <w:bookmarkStart w:id="1215" w:name="_Toc165363423"/>
      <w:r>
        <w:t>5.3 Respondents' Background Information</w:t>
      </w:r>
      <w:bookmarkEnd w:id="1208"/>
      <w:bookmarkEnd w:id="1209"/>
      <w:bookmarkEnd w:id="1210"/>
      <w:bookmarkEnd w:id="1211"/>
      <w:bookmarkEnd w:id="1212"/>
      <w:bookmarkEnd w:id="1213"/>
      <w:bookmarkEnd w:id="1214"/>
      <w:bookmarkEnd w:id="1215"/>
    </w:p>
    <w:p w14:paraId="7DD95F2B"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This section examines the demographics of study the respondents of Moi University and the University of Nairobi (UON). </w:t>
      </w:r>
    </w:p>
    <w:p w14:paraId="172502D6" w14:textId="77777777" w:rsidR="00B01D46" w:rsidRDefault="0067013E">
      <w:pPr>
        <w:pStyle w:val="Heading3"/>
      </w:pPr>
      <w:bookmarkStart w:id="1216" w:name="_Toc165369217"/>
      <w:bookmarkStart w:id="1217" w:name="_Toc165363424"/>
      <w:bookmarkStart w:id="1218" w:name="_Toc165975821"/>
      <w:bookmarkStart w:id="1219" w:name="_Toc184272915"/>
      <w:bookmarkStart w:id="1220" w:name="_Toc165365198"/>
      <w:bookmarkStart w:id="1221" w:name="_Toc165973100"/>
      <w:bookmarkStart w:id="1222" w:name="_Toc164664033"/>
      <w:bookmarkStart w:id="1223" w:name="_Toc165368401"/>
      <w:r>
        <w:lastRenderedPageBreak/>
        <w:t>5.3.1 Students Demographic Data</w:t>
      </w:r>
      <w:bookmarkEnd w:id="1216"/>
      <w:bookmarkEnd w:id="1217"/>
      <w:bookmarkEnd w:id="1218"/>
      <w:bookmarkEnd w:id="1219"/>
      <w:bookmarkEnd w:id="1220"/>
      <w:bookmarkEnd w:id="1221"/>
      <w:bookmarkEnd w:id="1222"/>
      <w:bookmarkEnd w:id="1223"/>
    </w:p>
    <w:p w14:paraId="01EA9C4B"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total of 255 questionnaires were received from students in the two public Universities in the sample. Table 5.2 depict the distribution of the students in the two institutions. </w:t>
      </w:r>
    </w:p>
    <w:p w14:paraId="207AA6D7" w14:textId="77777777" w:rsidR="00B01D46" w:rsidRDefault="00B01D46">
      <w:pPr>
        <w:spacing w:before="120" w:after="0" w:line="240" w:lineRule="auto"/>
        <w:ind w:right="65"/>
        <w:jc w:val="both"/>
        <w:rPr>
          <w:rFonts w:ascii="Times New Roman" w:eastAsia="Calibri" w:hAnsi="Times New Roman" w:cs="Times New Roman"/>
          <w:sz w:val="24"/>
          <w:szCs w:val="24"/>
        </w:rPr>
      </w:pPr>
    </w:p>
    <w:p w14:paraId="1C5F456D" w14:textId="77777777" w:rsidR="00B01D46" w:rsidRDefault="0067013E">
      <w:pPr>
        <w:pStyle w:val="Caption"/>
      </w:pPr>
      <w:bookmarkStart w:id="1224" w:name="_Toc165363425"/>
      <w:bookmarkStart w:id="1225" w:name="_Toc165973101"/>
      <w:bookmarkStart w:id="1226" w:name="_Toc165975822"/>
      <w:bookmarkStart w:id="1227" w:name="_Toc165365199"/>
      <w:bookmarkStart w:id="1228" w:name="_Toc184276901"/>
      <w:bookmarkStart w:id="1229" w:name="_Toc184271991"/>
      <w:bookmarkStart w:id="1230" w:name="_Hlk159791761"/>
      <w:r>
        <w:t>Table 5.2: Students Demographics</w:t>
      </w:r>
      <w:bookmarkEnd w:id="1224"/>
      <w:bookmarkEnd w:id="1225"/>
      <w:bookmarkEnd w:id="1226"/>
      <w:bookmarkEnd w:id="1227"/>
      <w:r>
        <w:t xml:space="preserve"> (n=255)</w:t>
      </w:r>
      <w:bookmarkEnd w:id="1228"/>
      <w:bookmarkEnd w:id="1229"/>
      <w:r>
        <w:t xml:space="preserve">  </w:t>
      </w:r>
    </w:p>
    <w:tbl>
      <w:tblPr>
        <w:tblW w:w="0" w:type="auto"/>
        <w:tblInd w:w="108" w:type="dxa"/>
        <w:tblLook w:val="04A0" w:firstRow="1" w:lastRow="0" w:firstColumn="1" w:lastColumn="0" w:noHBand="0" w:noVBand="1"/>
      </w:tblPr>
      <w:tblGrid>
        <w:gridCol w:w="2793"/>
        <w:gridCol w:w="1863"/>
        <w:gridCol w:w="1362"/>
        <w:gridCol w:w="2039"/>
      </w:tblGrid>
      <w:tr w:rsidR="00B01D46" w14:paraId="2A134173" w14:textId="77777777">
        <w:trPr>
          <w:trHeight w:val="300"/>
        </w:trPr>
        <w:tc>
          <w:tcPr>
            <w:tcW w:w="0" w:type="auto"/>
            <w:tcBorders>
              <w:top w:val="single" w:sz="4" w:space="0" w:color="auto"/>
              <w:bottom w:val="single" w:sz="4" w:space="0" w:color="auto"/>
            </w:tcBorders>
            <w:shd w:val="clear" w:color="auto" w:fill="auto"/>
            <w:noWrap/>
          </w:tcPr>
          <w:bookmarkEnd w:id="1230"/>
          <w:p w14:paraId="0DF71D60" w14:textId="77777777" w:rsidR="00B01D46" w:rsidRDefault="0067013E">
            <w:pPr>
              <w:spacing w:before="120" w:after="0" w:line="240" w:lineRule="auto"/>
              <w:ind w:right="65"/>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Biographical Information</w:t>
            </w:r>
          </w:p>
        </w:tc>
        <w:tc>
          <w:tcPr>
            <w:tcW w:w="1941" w:type="dxa"/>
            <w:tcBorders>
              <w:top w:val="single" w:sz="4" w:space="0" w:color="auto"/>
              <w:bottom w:val="single" w:sz="4" w:space="0" w:color="auto"/>
            </w:tcBorders>
            <w:shd w:val="clear" w:color="auto" w:fill="auto"/>
            <w:noWrap/>
          </w:tcPr>
          <w:p w14:paraId="5C2E96E2" w14:textId="77777777" w:rsidR="00B01D46" w:rsidRDefault="0067013E">
            <w:pPr>
              <w:spacing w:before="120" w:after="0" w:line="240" w:lineRule="auto"/>
              <w:ind w:right="65"/>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Categories</w:t>
            </w:r>
          </w:p>
        </w:tc>
        <w:tc>
          <w:tcPr>
            <w:tcW w:w="1417" w:type="dxa"/>
            <w:tcBorders>
              <w:top w:val="single" w:sz="4" w:space="0" w:color="auto"/>
              <w:bottom w:val="single" w:sz="4" w:space="0" w:color="auto"/>
            </w:tcBorders>
            <w:shd w:val="clear" w:color="auto" w:fill="auto"/>
            <w:noWrap/>
            <w:vAlign w:val="bottom"/>
          </w:tcPr>
          <w:p w14:paraId="025F3FFC" w14:textId="77777777" w:rsidR="00B01D46" w:rsidRDefault="0067013E">
            <w:pPr>
              <w:spacing w:before="120" w:after="0" w:line="240" w:lineRule="auto"/>
              <w:ind w:right="-15"/>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Frequency</w:t>
            </w:r>
          </w:p>
        </w:tc>
        <w:tc>
          <w:tcPr>
            <w:tcW w:w="2126" w:type="dxa"/>
            <w:tcBorders>
              <w:top w:val="single" w:sz="4" w:space="0" w:color="auto"/>
              <w:bottom w:val="single" w:sz="4" w:space="0" w:color="auto"/>
            </w:tcBorders>
            <w:shd w:val="clear" w:color="auto" w:fill="auto"/>
            <w:noWrap/>
            <w:vAlign w:val="bottom"/>
          </w:tcPr>
          <w:p w14:paraId="1B265EE5" w14:textId="77777777" w:rsidR="00B01D46" w:rsidRDefault="0067013E">
            <w:pPr>
              <w:spacing w:before="120" w:after="0" w:line="240" w:lineRule="auto"/>
              <w:ind w:right="65"/>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Percentages (%)</w:t>
            </w:r>
          </w:p>
        </w:tc>
      </w:tr>
      <w:tr w:rsidR="00B01D46" w14:paraId="3BFBC34E" w14:textId="77777777">
        <w:trPr>
          <w:trHeight w:val="300"/>
        </w:trPr>
        <w:tc>
          <w:tcPr>
            <w:tcW w:w="0" w:type="auto"/>
            <w:tcBorders>
              <w:top w:val="single" w:sz="4" w:space="0" w:color="auto"/>
            </w:tcBorders>
            <w:shd w:val="clear" w:color="auto" w:fill="auto"/>
            <w:noWrap/>
            <w:vAlign w:val="bottom"/>
          </w:tcPr>
          <w:p w14:paraId="3FC2A37B"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University </w:t>
            </w:r>
          </w:p>
        </w:tc>
        <w:tc>
          <w:tcPr>
            <w:tcW w:w="1941" w:type="dxa"/>
            <w:tcBorders>
              <w:top w:val="single" w:sz="4" w:space="0" w:color="auto"/>
            </w:tcBorders>
            <w:shd w:val="clear" w:color="auto" w:fill="auto"/>
            <w:noWrap/>
            <w:vAlign w:val="bottom"/>
          </w:tcPr>
          <w:p w14:paraId="29068332"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Moi University</w:t>
            </w:r>
          </w:p>
        </w:tc>
        <w:tc>
          <w:tcPr>
            <w:tcW w:w="1417" w:type="dxa"/>
            <w:tcBorders>
              <w:top w:val="single" w:sz="4" w:space="0" w:color="auto"/>
            </w:tcBorders>
            <w:shd w:val="clear" w:color="auto" w:fill="auto"/>
            <w:noWrap/>
            <w:vAlign w:val="bottom"/>
          </w:tcPr>
          <w:p w14:paraId="79E3E303"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120</w:t>
            </w:r>
          </w:p>
        </w:tc>
        <w:tc>
          <w:tcPr>
            <w:tcW w:w="2126" w:type="dxa"/>
            <w:tcBorders>
              <w:top w:val="single" w:sz="4" w:space="0" w:color="auto"/>
            </w:tcBorders>
            <w:shd w:val="clear" w:color="auto" w:fill="auto"/>
            <w:noWrap/>
            <w:vAlign w:val="bottom"/>
          </w:tcPr>
          <w:p w14:paraId="3688DFBA"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47</w:t>
            </w:r>
          </w:p>
        </w:tc>
      </w:tr>
      <w:tr w:rsidR="00B01D46" w14:paraId="00E4899C" w14:textId="77777777">
        <w:trPr>
          <w:trHeight w:val="300"/>
        </w:trPr>
        <w:tc>
          <w:tcPr>
            <w:tcW w:w="0" w:type="auto"/>
            <w:shd w:val="clear" w:color="auto" w:fill="auto"/>
            <w:noWrap/>
            <w:vAlign w:val="bottom"/>
          </w:tcPr>
          <w:p w14:paraId="44804DEB" w14:textId="77777777" w:rsidR="00B01D46" w:rsidRDefault="00B01D46">
            <w:pPr>
              <w:spacing w:line="240" w:lineRule="auto"/>
              <w:ind w:right="65"/>
              <w:jc w:val="both"/>
              <w:rPr>
                <w:rFonts w:ascii="Times New Roman" w:eastAsia="Calibri" w:hAnsi="Times New Roman" w:cs="Times New Roman"/>
                <w:color w:val="000000"/>
                <w:sz w:val="24"/>
                <w:szCs w:val="24"/>
              </w:rPr>
            </w:pPr>
          </w:p>
        </w:tc>
        <w:tc>
          <w:tcPr>
            <w:tcW w:w="1941" w:type="dxa"/>
            <w:shd w:val="clear" w:color="auto" w:fill="auto"/>
            <w:noWrap/>
            <w:vAlign w:val="bottom"/>
          </w:tcPr>
          <w:p w14:paraId="093A0E43"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UON</w:t>
            </w:r>
          </w:p>
        </w:tc>
        <w:tc>
          <w:tcPr>
            <w:tcW w:w="1417" w:type="dxa"/>
            <w:shd w:val="clear" w:color="auto" w:fill="auto"/>
            <w:noWrap/>
            <w:vAlign w:val="bottom"/>
          </w:tcPr>
          <w:p w14:paraId="1341C44F"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135</w:t>
            </w:r>
          </w:p>
        </w:tc>
        <w:tc>
          <w:tcPr>
            <w:tcW w:w="2126" w:type="dxa"/>
            <w:shd w:val="clear" w:color="auto" w:fill="auto"/>
            <w:noWrap/>
            <w:vAlign w:val="bottom"/>
          </w:tcPr>
          <w:p w14:paraId="5D14C55E"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53</w:t>
            </w:r>
          </w:p>
        </w:tc>
      </w:tr>
      <w:tr w:rsidR="00B01D46" w14:paraId="569C82BD" w14:textId="77777777">
        <w:trPr>
          <w:trHeight w:val="300"/>
        </w:trPr>
        <w:tc>
          <w:tcPr>
            <w:tcW w:w="0" w:type="auto"/>
            <w:shd w:val="clear" w:color="auto" w:fill="auto"/>
            <w:noWrap/>
            <w:vAlign w:val="bottom"/>
          </w:tcPr>
          <w:p w14:paraId="5A7FCCB5"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Schools</w:t>
            </w:r>
          </w:p>
        </w:tc>
        <w:tc>
          <w:tcPr>
            <w:tcW w:w="1941" w:type="dxa"/>
            <w:shd w:val="clear" w:color="auto" w:fill="auto"/>
            <w:noWrap/>
            <w:vAlign w:val="bottom"/>
          </w:tcPr>
          <w:p w14:paraId="73DD2DF1"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Dentistry</w:t>
            </w:r>
          </w:p>
        </w:tc>
        <w:tc>
          <w:tcPr>
            <w:tcW w:w="1417" w:type="dxa"/>
            <w:shd w:val="clear" w:color="auto" w:fill="auto"/>
            <w:noWrap/>
            <w:vAlign w:val="bottom"/>
          </w:tcPr>
          <w:p w14:paraId="07387B54"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52</w:t>
            </w:r>
          </w:p>
        </w:tc>
        <w:tc>
          <w:tcPr>
            <w:tcW w:w="2126" w:type="dxa"/>
            <w:shd w:val="clear" w:color="auto" w:fill="auto"/>
            <w:noWrap/>
            <w:vAlign w:val="bottom"/>
          </w:tcPr>
          <w:p w14:paraId="1CDFF3E6"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w:t>
            </w:r>
          </w:p>
        </w:tc>
      </w:tr>
      <w:tr w:rsidR="00B01D46" w14:paraId="0A73AEB3" w14:textId="77777777">
        <w:trPr>
          <w:trHeight w:val="300"/>
        </w:trPr>
        <w:tc>
          <w:tcPr>
            <w:tcW w:w="0" w:type="auto"/>
            <w:shd w:val="clear" w:color="auto" w:fill="auto"/>
            <w:noWrap/>
            <w:vAlign w:val="bottom"/>
          </w:tcPr>
          <w:p w14:paraId="4D5071BD" w14:textId="77777777" w:rsidR="00B01D46" w:rsidRDefault="00B01D46">
            <w:pPr>
              <w:spacing w:line="240" w:lineRule="auto"/>
              <w:ind w:right="65"/>
              <w:jc w:val="both"/>
              <w:rPr>
                <w:rFonts w:ascii="Times New Roman" w:eastAsia="Calibri" w:hAnsi="Times New Roman" w:cs="Times New Roman"/>
                <w:color w:val="000000"/>
                <w:sz w:val="24"/>
                <w:szCs w:val="24"/>
              </w:rPr>
            </w:pPr>
          </w:p>
        </w:tc>
        <w:tc>
          <w:tcPr>
            <w:tcW w:w="1941" w:type="dxa"/>
            <w:shd w:val="clear" w:color="auto" w:fill="auto"/>
            <w:noWrap/>
            <w:vAlign w:val="bottom"/>
          </w:tcPr>
          <w:p w14:paraId="22283AC6"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Medicine</w:t>
            </w:r>
          </w:p>
        </w:tc>
        <w:tc>
          <w:tcPr>
            <w:tcW w:w="1417" w:type="dxa"/>
            <w:shd w:val="clear" w:color="auto" w:fill="auto"/>
            <w:noWrap/>
            <w:vAlign w:val="bottom"/>
          </w:tcPr>
          <w:p w14:paraId="7C6392F8"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84</w:t>
            </w:r>
          </w:p>
        </w:tc>
        <w:tc>
          <w:tcPr>
            <w:tcW w:w="2126" w:type="dxa"/>
            <w:shd w:val="clear" w:color="auto" w:fill="auto"/>
            <w:noWrap/>
            <w:vAlign w:val="bottom"/>
          </w:tcPr>
          <w:p w14:paraId="130A3A85"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33</w:t>
            </w:r>
          </w:p>
        </w:tc>
      </w:tr>
      <w:tr w:rsidR="00B01D46" w14:paraId="0652B64E" w14:textId="77777777">
        <w:trPr>
          <w:trHeight w:val="300"/>
        </w:trPr>
        <w:tc>
          <w:tcPr>
            <w:tcW w:w="0" w:type="auto"/>
            <w:shd w:val="clear" w:color="auto" w:fill="auto"/>
            <w:noWrap/>
            <w:vAlign w:val="bottom"/>
          </w:tcPr>
          <w:p w14:paraId="1301CD37" w14:textId="77777777" w:rsidR="00B01D46" w:rsidRDefault="00B01D46">
            <w:pPr>
              <w:spacing w:line="240" w:lineRule="auto"/>
              <w:ind w:right="65"/>
              <w:jc w:val="both"/>
              <w:rPr>
                <w:rFonts w:ascii="Times New Roman" w:eastAsia="Calibri" w:hAnsi="Times New Roman" w:cs="Times New Roman"/>
                <w:color w:val="000000"/>
                <w:sz w:val="24"/>
                <w:szCs w:val="24"/>
              </w:rPr>
            </w:pPr>
          </w:p>
        </w:tc>
        <w:tc>
          <w:tcPr>
            <w:tcW w:w="1941" w:type="dxa"/>
            <w:shd w:val="clear" w:color="auto" w:fill="auto"/>
            <w:noWrap/>
            <w:vAlign w:val="bottom"/>
          </w:tcPr>
          <w:p w14:paraId="472A75B2"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Nursing</w:t>
            </w:r>
          </w:p>
        </w:tc>
        <w:tc>
          <w:tcPr>
            <w:tcW w:w="1417" w:type="dxa"/>
            <w:shd w:val="clear" w:color="auto" w:fill="auto"/>
            <w:noWrap/>
            <w:vAlign w:val="bottom"/>
          </w:tcPr>
          <w:p w14:paraId="42F208C7"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119</w:t>
            </w:r>
          </w:p>
        </w:tc>
        <w:tc>
          <w:tcPr>
            <w:tcW w:w="2126" w:type="dxa"/>
            <w:shd w:val="clear" w:color="auto" w:fill="auto"/>
            <w:noWrap/>
            <w:vAlign w:val="bottom"/>
          </w:tcPr>
          <w:p w14:paraId="5A478F56"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47</w:t>
            </w:r>
          </w:p>
        </w:tc>
      </w:tr>
      <w:tr w:rsidR="00B01D46" w14:paraId="6DA615AE" w14:textId="77777777">
        <w:trPr>
          <w:trHeight w:val="300"/>
        </w:trPr>
        <w:tc>
          <w:tcPr>
            <w:tcW w:w="0" w:type="auto"/>
            <w:shd w:val="clear" w:color="auto" w:fill="auto"/>
            <w:noWrap/>
            <w:vAlign w:val="bottom"/>
          </w:tcPr>
          <w:p w14:paraId="2E287C91"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Gender </w:t>
            </w:r>
          </w:p>
        </w:tc>
        <w:tc>
          <w:tcPr>
            <w:tcW w:w="1941" w:type="dxa"/>
            <w:shd w:val="clear" w:color="auto" w:fill="auto"/>
            <w:noWrap/>
            <w:vAlign w:val="bottom"/>
          </w:tcPr>
          <w:p w14:paraId="623FA349"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Male</w:t>
            </w:r>
          </w:p>
        </w:tc>
        <w:tc>
          <w:tcPr>
            <w:tcW w:w="1417" w:type="dxa"/>
            <w:shd w:val="clear" w:color="auto" w:fill="auto"/>
            <w:noWrap/>
            <w:vAlign w:val="bottom"/>
          </w:tcPr>
          <w:p w14:paraId="3E6814D7"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151</w:t>
            </w:r>
          </w:p>
        </w:tc>
        <w:tc>
          <w:tcPr>
            <w:tcW w:w="2126" w:type="dxa"/>
            <w:shd w:val="clear" w:color="auto" w:fill="auto"/>
            <w:noWrap/>
            <w:vAlign w:val="bottom"/>
          </w:tcPr>
          <w:p w14:paraId="39F45678"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59</w:t>
            </w:r>
          </w:p>
        </w:tc>
      </w:tr>
      <w:tr w:rsidR="00B01D46" w14:paraId="36CF4DF6" w14:textId="77777777">
        <w:trPr>
          <w:trHeight w:val="300"/>
        </w:trPr>
        <w:tc>
          <w:tcPr>
            <w:tcW w:w="0" w:type="auto"/>
            <w:tcBorders>
              <w:bottom w:val="single" w:sz="4" w:space="0" w:color="auto"/>
            </w:tcBorders>
            <w:shd w:val="clear" w:color="auto" w:fill="auto"/>
            <w:noWrap/>
            <w:vAlign w:val="bottom"/>
          </w:tcPr>
          <w:p w14:paraId="179A971E" w14:textId="77777777" w:rsidR="00B01D46" w:rsidRDefault="00B01D46">
            <w:pPr>
              <w:spacing w:line="240" w:lineRule="auto"/>
              <w:ind w:right="65"/>
              <w:jc w:val="both"/>
              <w:rPr>
                <w:rFonts w:ascii="Times New Roman" w:eastAsia="Calibri" w:hAnsi="Times New Roman" w:cs="Times New Roman"/>
                <w:color w:val="000000"/>
                <w:sz w:val="24"/>
                <w:szCs w:val="24"/>
              </w:rPr>
            </w:pPr>
          </w:p>
        </w:tc>
        <w:tc>
          <w:tcPr>
            <w:tcW w:w="1941" w:type="dxa"/>
            <w:tcBorders>
              <w:bottom w:val="single" w:sz="4" w:space="0" w:color="auto"/>
            </w:tcBorders>
            <w:shd w:val="clear" w:color="auto" w:fill="auto"/>
            <w:noWrap/>
            <w:vAlign w:val="bottom"/>
          </w:tcPr>
          <w:p w14:paraId="20A42AC0"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Female</w:t>
            </w:r>
          </w:p>
        </w:tc>
        <w:tc>
          <w:tcPr>
            <w:tcW w:w="1417" w:type="dxa"/>
            <w:tcBorders>
              <w:bottom w:val="single" w:sz="4" w:space="0" w:color="auto"/>
            </w:tcBorders>
            <w:shd w:val="clear" w:color="auto" w:fill="auto"/>
            <w:noWrap/>
            <w:vAlign w:val="bottom"/>
          </w:tcPr>
          <w:p w14:paraId="5508BADA"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104</w:t>
            </w:r>
          </w:p>
        </w:tc>
        <w:tc>
          <w:tcPr>
            <w:tcW w:w="2126" w:type="dxa"/>
            <w:tcBorders>
              <w:bottom w:val="single" w:sz="4" w:space="0" w:color="auto"/>
            </w:tcBorders>
            <w:shd w:val="clear" w:color="auto" w:fill="auto"/>
            <w:noWrap/>
            <w:vAlign w:val="bottom"/>
          </w:tcPr>
          <w:p w14:paraId="4AF51263" w14:textId="77777777" w:rsidR="00B01D46" w:rsidRDefault="0067013E">
            <w:pPr>
              <w:spacing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41</w:t>
            </w:r>
          </w:p>
        </w:tc>
      </w:tr>
    </w:tbl>
    <w:p w14:paraId="49EEA2B8" w14:textId="77777777" w:rsidR="00B01D46" w:rsidRDefault="0067013E">
      <w:pPr>
        <w:spacing w:before="120" w:after="0" w:line="48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Source: Field data (2021)</w:t>
      </w:r>
    </w:p>
    <w:p w14:paraId="62E54A34"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outcome denotes that majority 135 (53%) of the students were from the University of Nairobi while 120 (47%) were from Moi University. The participants were distributed into respective area of study as follows: 51 (20%) were in dentistry, 83 (33%) were in medicine, and 119 (47%) were in nursing. Moreover, male respondents consisted of 151 (59%), while 104 (41%) were female. </w:t>
      </w:r>
    </w:p>
    <w:p w14:paraId="115C932C" w14:textId="77777777" w:rsidR="00B01D46" w:rsidRDefault="0067013E">
      <w:pPr>
        <w:pStyle w:val="Heading3"/>
      </w:pPr>
      <w:bookmarkStart w:id="1231" w:name="_Toc165975823"/>
      <w:bookmarkStart w:id="1232" w:name="_Toc165368403"/>
      <w:bookmarkStart w:id="1233" w:name="_Toc164664034"/>
      <w:bookmarkStart w:id="1234" w:name="_Toc165369219"/>
      <w:bookmarkStart w:id="1235" w:name="_Toc165363426"/>
      <w:bookmarkStart w:id="1236" w:name="_Toc165973102"/>
      <w:bookmarkStart w:id="1237" w:name="_Toc184272916"/>
      <w:bookmarkStart w:id="1238" w:name="_Toc165365200"/>
      <w:r>
        <w:t>5.3.2 Lecturers Demographic Data</w:t>
      </w:r>
      <w:bookmarkEnd w:id="1231"/>
      <w:bookmarkEnd w:id="1232"/>
      <w:bookmarkEnd w:id="1233"/>
      <w:bookmarkEnd w:id="1234"/>
      <w:bookmarkEnd w:id="1235"/>
      <w:bookmarkEnd w:id="1236"/>
      <w:bookmarkEnd w:id="1237"/>
      <w:bookmarkEnd w:id="1238"/>
    </w:p>
    <w:p w14:paraId="2786B024"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researcher received 62 questionnaires from the lecturers.  The lecturer demographics are indicated in Table 5.3 below:</w:t>
      </w:r>
    </w:p>
    <w:p w14:paraId="75200E8C" w14:textId="77777777" w:rsidR="00B01D46" w:rsidRDefault="0067013E">
      <w:pPr>
        <w:pStyle w:val="Caption"/>
      </w:pPr>
      <w:bookmarkStart w:id="1239" w:name="_Toc165363427"/>
      <w:bookmarkStart w:id="1240" w:name="_Toc165365201"/>
      <w:bookmarkStart w:id="1241" w:name="_Hlk159791810"/>
      <w:r>
        <w:br w:type="page"/>
      </w:r>
      <w:bookmarkStart w:id="1242" w:name="_Toc165975824"/>
      <w:bookmarkStart w:id="1243" w:name="_Toc165973103"/>
      <w:bookmarkStart w:id="1244" w:name="_Toc184276902"/>
      <w:bookmarkStart w:id="1245" w:name="_Toc184271992"/>
      <w:r>
        <w:lastRenderedPageBreak/>
        <w:t>Table 5.3: Lecturers Demographics Data</w:t>
      </w:r>
      <w:bookmarkEnd w:id="1239"/>
      <w:bookmarkEnd w:id="1240"/>
      <w:bookmarkEnd w:id="1242"/>
      <w:bookmarkEnd w:id="1243"/>
      <w:r>
        <w:t xml:space="preserve"> (n=62)</w:t>
      </w:r>
      <w:bookmarkEnd w:id="1244"/>
      <w:bookmarkEnd w:id="1245"/>
    </w:p>
    <w:bookmarkEnd w:id="1241"/>
    <w:p w14:paraId="69DAF6E9" w14:textId="77777777" w:rsidR="00B01D46" w:rsidRDefault="00B01D46">
      <w:pPr>
        <w:spacing w:before="120" w:after="0" w:line="240" w:lineRule="auto"/>
        <w:ind w:right="65"/>
        <w:jc w:val="both"/>
        <w:rPr>
          <w:rFonts w:ascii="Times New Roman" w:eastAsia="Calibri" w:hAnsi="Times New Roman" w:cs="Times New Roman"/>
          <w:b/>
          <w:sz w:val="24"/>
          <w:szCs w:val="24"/>
        </w:rPr>
      </w:pPr>
    </w:p>
    <w:tbl>
      <w:tblPr>
        <w:tblW w:w="8165" w:type="dxa"/>
        <w:tblBorders>
          <w:top w:val="single" w:sz="4" w:space="0" w:color="auto"/>
          <w:bottom w:val="single" w:sz="4" w:space="0" w:color="auto"/>
        </w:tblBorders>
        <w:tblLayout w:type="fixed"/>
        <w:tblLook w:val="04A0" w:firstRow="1" w:lastRow="0" w:firstColumn="1" w:lastColumn="0" w:noHBand="0" w:noVBand="1"/>
      </w:tblPr>
      <w:tblGrid>
        <w:gridCol w:w="1620"/>
        <w:gridCol w:w="3960"/>
        <w:gridCol w:w="1440"/>
        <w:gridCol w:w="1145"/>
      </w:tblGrid>
      <w:tr w:rsidR="00B01D46" w14:paraId="406AF935" w14:textId="77777777">
        <w:trPr>
          <w:trHeight w:val="286"/>
        </w:trPr>
        <w:tc>
          <w:tcPr>
            <w:tcW w:w="1620" w:type="dxa"/>
            <w:tcBorders>
              <w:top w:val="single" w:sz="4" w:space="0" w:color="auto"/>
              <w:bottom w:val="single" w:sz="4" w:space="0" w:color="auto"/>
            </w:tcBorders>
          </w:tcPr>
          <w:p w14:paraId="103F31C6"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Biographical Information</w:t>
            </w:r>
          </w:p>
        </w:tc>
        <w:tc>
          <w:tcPr>
            <w:tcW w:w="3960" w:type="dxa"/>
            <w:tcBorders>
              <w:top w:val="single" w:sz="4" w:space="0" w:color="auto"/>
              <w:bottom w:val="single" w:sz="4" w:space="0" w:color="auto"/>
            </w:tcBorders>
            <w:shd w:val="clear" w:color="auto" w:fill="auto"/>
            <w:noWrap/>
          </w:tcPr>
          <w:p w14:paraId="63652656"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Categories </w:t>
            </w:r>
          </w:p>
        </w:tc>
        <w:tc>
          <w:tcPr>
            <w:tcW w:w="1440" w:type="dxa"/>
            <w:tcBorders>
              <w:top w:val="single" w:sz="4" w:space="0" w:color="auto"/>
              <w:bottom w:val="single" w:sz="4" w:space="0" w:color="auto"/>
            </w:tcBorders>
            <w:shd w:val="clear" w:color="auto" w:fill="auto"/>
            <w:noWrap/>
            <w:vAlign w:val="bottom"/>
          </w:tcPr>
          <w:p w14:paraId="3A7C8DEE" w14:textId="77777777" w:rsidR="00B01D46" w:rsidRDefault="0067013E">
            <w:pPr>
              <w:spacing w:after="0" w:line="240" w:lineRule="auto"/>
              <w:ind w:right="65"/>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Frequency</w:t>
            </w:r>
          </w:p>
        </w:tc>
        <w:tc>
          <w:tcPr>
            <w:tcW w:w="1145" w:type="dxa"/>
            <w:tcBorders>
              <w:top w:val="single" w:sz="4" w:space="0" w:color="auto"/>
              <w:bottom w:val="single" w:sz="4" w:space="0" w:color="auto"/>
            </w:tcBorders>
            <w:shd w:val="clear" w:color="auto" w:fill="auto"/>
            <w:noWrap/>
            <w:vAlign w:val="bottom"/>
          </w:tcPr>
          <w:p w14:paraId="575DB163" w14:textId="77777777" w:rsidR="00B01D46" w:rsidRDefault="0067013E">
            <w:pPr>
              <w:spacing w:after="0" w:line="240" w:lineRule="auto"/>
              <w:ind w:right="65"/>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Percent</w:t>
            </w:r>
          </w:p>
        </w:tc>
      </w:tr>
      <w:tr w:rsidR="00B01D46" w14:paraId="20E6BC35" w14:textId="77777777">
        <w:trPr>
          <w:trHeight w:val="286"/>
        </w:trPr>
        <w:tc>
          <w:tcPr>
            <w:tcW w:w="1620" w:type="dxa"/>
            <w:tcBorders>
              <w:top w:val="single" w:sz="4" w:space="0" w:color="auto"/>
              <w:bottom w:val="nil"/>
            </w:tcBorders>
          </w:tcPr>
          <w:p w14:paraId="62E742B7"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University</w:t>
            </w:r>
          </w:p>
        </w:tc>
        <w:tc>
          <w:tcPr>
            <w:tcW w:w="3960" w:type="dxa"/>
            <w:tcBorders>
              <w:top w:val="single" w:sz="4" w:space="0" w:color="auto"/>
              <w:bottom w:val="nil"/>
            </w:tcBorders>
            <w:shd w:val="clear" w:color="auto" w:fill="auto"/>
            <w:noWrap/>
            <w:vAlign w:val="bottom"/>
          </w:tcPr>
          <w:p w14:paraId="5CF745DD"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Moi University</w:t>
            </w:r>
          </w:p>
        </w:tc>
        <w:tc>
          <w:tcPr>
            <w:tcW w:w="1440" w:type="dxa"/>
            <w:tcBorders>
              <w:top w:val="single" w:sz="4" w:space="0" w:color="auto"/>
              <w:bottom w:val="nil"/>
            </w:tcBorders>
            <w:shd w:val="clear" w:color="auto" w:fill="auto"/>
            <w:noWrap/>
            <w:vAlign w:val="bottom"/>
          </w:tcPr>
          <w:p w14:paraId="154011E5"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25</w:t>
            </w:r>
          </w:p>
        </w:tc>
        <w:tc>
          <w:tcPr>
            <w:tcW w:w="1145" w:type="dxa"/>
            <w:tcBorders>
              <w:top w:val="single" w:sz="4" w:space="0" w:color="auto"/>
              <w:bottom w:val="nil"/>
            </w:tcBorders>
            <w:shd w:val="clear" w:color="auto" w:fill="auto"/>
            <w:noWrap/>
            <w:vAlign w:val="bottom"/>
          </w:tcPr>
          <w:p w14:paraId="55FB332A"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31.3</w:t>
            </w:r>
          </w:p>
        </w:tc>
      </w:tr>
      <w:tr w:rsidR="00B01D46" w14:paraId="592EB4FA" w14:textId="77777777">
        <w:trPr>
          <w:trHeight w:val="286"/>
        </w:trPr>
        <w:tc>
          <w:tcPr>
            <w:tcW w:w="1620" w:type="dxa"/>
            <w:tcBorders>
              <w:top w:val="nil"/>
              <w:bottom w:val="single" w:sz="4" w:space="0" w:color="auto"/>
            </w:tcBorders>
          </w:tcPr>
          <w:p w14:paraId="4ECF10F3"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tcBorders>
              <w:top w:val="nil"/>
              <w:bottom w:val="single" w:sz="4" w:space="0" w:color="auto"/>
            </w:tcBorders>
            <w:shd w:val="clear" w:color="auto" w:fill="auto"/>
            <w:noWrap/>
            <w:vAlign w:val="bottom"/>
          </w:tcPr>
          <w:p w14:paraId="78CA0FFE"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UON</w:t>
            </w:r>
          </w:p>
        </w:tc>
        <w:tc>
          <w:tcPr>
            <w:tcW w:w="1440" w:type="dxa"/>
            <w:tcBorders>
              <w:top w:val="nil"/>
              <w:bottom w:val="single" w:sz="4" w:space="0" w:color="auto"/>
            </w:tcBorders>
            <w:shd w:val="clear" w:color="auto" w:fill="auto"/>
            <w:noWrap/>
            <w:vAlign w:val="bottom"/>
          </w:tcPr>
          <w:p w14:paraId="7AD47BAE"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37</w:t>
            </w:r>
          </w:p>
        </w:tc>
        <w:tc>
          <w:tcPr>
            <w:tcW w:w="1145" w:type="dxa"/>
            <w:tcBorders>
              <w:top w:val="nil"/>
              <w:bottom w:val="single" w:sz="4" w:space="0" w:color="auto"/>
            </w:tcBorders>
            <w:shd w:val="clear" w:color="auto" w:fill="auto"/>
            <w:noWrap/>
            <w:vAlign w:val="bottom"/>
          </w:tcPr>
          <w:p w14:paraId="4499BE84"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68.7</w:t>
            </w:r>
          </w:p>
        </w:tc>
      </w:tr>
      <w:tr w:rsidR="00B01D46" w14:paraId="7C54C95C" w14:textId="77777777">
        <w:trPr>
          <w:trHeight w:val="286"/>
        </w:trPr>
        <w:tc>
          <w:tcPr>
            <w:tcW w:w="1620" w:type="dxa"/>
            <w:tcBorders>
              <w:top w:val="single" w:sz="4" w:space="0" w:color="auto"/>
              <w:bottom w:val="nil"/>
            </w:tcBorders>
          </w:tcPr>
          <w:p w14:paraId="6FE1D1A7"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Gender</w:t>
            </w:r>
          </w:p>
        </w:tc>
        <w:tc>
          <w:tcPr>
            <w:tcW w:w="3960" w:type="dxa"/>
            <w:tcBorders>
              <w:top w:val="single" w:sz="4" w:space="0" w:color="auto"/>
              <w:bottom w:val="nil"/>
            </w:tcBorders>
            <w:shd w:val="clear" w:color="auto" w:fill="auto"/>
            <w:noWrap/>
            <w:vAlign w:val="bottom"/>
          </w:tcPr>
          <w:p w14:paraId="4534F704"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Male</w:t>
            </w:r>
          </w:p>
        </w:tc>
        <w:tc>
          <w:tcPr>
            <w:tcW w:w="1440" w:type="dxa"/>
            <w:tcBorders>
              <w:top w:val="single" w:sz="4" w:space="0" w:color="auto"/>
              <w:bottom w:val="nil"/>
            </w:tcBorders>
            <w:shd w:val="clear" w:color="auto" w:fill="auto"/>
            <w:noWrap/>
            <w:vAlign w:val="bottom"/>
          </w:tcPr>
          <w:p w14:paraId="1BF53E54"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43</w:t>
            </w:r>
          </w:p>
        </w:tc>
        <w:tc>
          <w:tcPr>
            <w:tcW w:w="1145" w:type="dxa"/>
            <w:tcBorders>
              <w:top w:val="single" w:sz="4" w:space="0" w:color="auto"/>
              <w:bottom w:val="nil"/>
            </w:tcBorders>
            <w:shd w:val="clear" w:color="auto" w:fill="auto"/>
            <w:noWrap/>
            <w:vAlign w:val="bottom"/>
          </w:tcPr>
          <w:p w14:paraId="2A64E93E"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69.5</w:t>
            </w:r>
          </w:p>
        </w:tc>
      </w:tr>
      <w:tr w:rsidR="00B01D46" w14:paraId="3C894C82" w14:textId="77777777">
        <w:trPr>
          <w:trHeight w:val="286"/>
        </w:trPr>
        <w:tc>
          <w:tcPr>
            <w:tcW w:w="1620" w:type="dxa"/>
            <w:tcBorders>
              <w:top w:val="nil"/>
              <w:bottom w:val="single" w:sz="4" w:space="0" w:color="auto"/>
            </w:tcBorders>
          </w:tcPr>
          <w:p w14:paraId="5BBDC675"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tcBorders>
              <w:top w:val="nil"/>
              <w:bottom w:val="single" w:sz="4" w:space="0" w:color="auto"/>
            </w:tcBorders>
            <w:shd w:val="clear" w:color="auto" w:fill="auto"/>
            <w:noWrap/>
            <w:vAlign w:val="bottom"/>
          </w:tcPr>
          <w:p w14:paraId="1A73500C"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Female</w:t>
            </w:r>
          </w:p>
        </w:tc>
        <w:tc>
          <w:tcPr>
            <w:tcW w:w="1440" w:type="dxa"/>
            <w:tcBorders>
              <w:top w:val="nil"/>
              <w:bottom w:val="single" w:sz="4" w:space="0" w:color="auto"/>
            </w:tcBorders>
            <w:shd w:val="clear" w:color="auto" w:fill="auto"/>
            <w:noWrap/>
            <w:vAlign w:val="bottom"/>
          </w:tcPr>
          <w:p w14:paraId="54D29228"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19</w:t>
            </w:r>
          </w:p>
        </w:tc>
        <w:tc>
          <w:tcPr>
            <w:tcW w:w="1145" w:type="dxa"/>
            <w:tcBorders>
              <w:top w:val="nil"/>
              <w:bottom w:val="single" w:sz="4" w:space="0" w:color="auto"/>
            </w:tcBorders>
            <w:shd w:val="clear" w:color="auto" w:fill="auto"/>
            <w:noWrap/>
            <w:vAlign w:val="bottom"/>
          </w:tcPr>
          <w:p w14:paraId="2D3DF268"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30.5</w:t>
            </w:r>
          </w:p>
        </w:tc>
      </w:tr>
      <w:tr w:rsidR="00B01D46" w14:paraId="6E0BC85B" w14:textId="77777777">
        <w:trPr>
          <w:trHeight w:val="286"/>
        </w:trPr>
        <w:tc>
          <w:tcPr>
            <w:tcW w:w="1620" w:type="dxa"/>
            <w:tcBorders>
              <w:top w:val="single" w:sz="4" w:space="0" w:color="auto"/>
              <w:bottom w:val="nil"/>
            </w:tcBorders>
          </w:tcPr>
          <w:p w14:paraId="7A48F110"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Education level </w:t>
            </w:r>
          </w:p>
        </w:tc>
        <w:tc>
          <w:tcPr>
            <w:tcW w:w="3960" w:type="dxa"/>
            <w:tcBorders>
              <w:top w:val="single" w:sz="4" w:space="0" w:color="auto"/>
              <w:bottom w:val="nil"/>
            </w:tcBorders>
            <w:shd w:val="clear" w:color="auto" w:fill="auto"/>
            <w:noWrap/>
            <w:vAlign w:val="bottom"/>
          </w:tcPr>
          <w:p w14:paraId="5B54EAD9"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PhD</w:t>
            </w:r>
          </w:p>
        </w:tc>
        <w:tc>
          <w:tcPr>
            <w:tcW w:w="1440" w:type="dxa"/>
            <w:tcBorders>
              <w:top w:val="single" w:sz="4" w:space="0" w:color="auto"/>
              <w:bottom w:val="nil"/>
            </w:tcBorders>
            <w:shd w:val="clear" w:color="auto" w:fill="auto"/>
            <w:noWrap/>
            <w:vAlign w:val="bottom"/>
          </w:tcPr>
          <w:p w14:paraId="63C2605F"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32</w:t>
            </w:r>
          </w:p>
        </w:tc>
        <w:tc>
          <w:tcPr>
            <w:tcW w:w="1145" w:type="dxa"/>
            <w:tcBorders>
              <w:top w:val="single" w:sz="4" w:space="0" w:color="auto"/>
              <w:bottom w:val="nil"/>
            </w:tcBorders>
            <w:shd w:val="clear" w:color="auto" w:fill="auto"/>
            <w:noWrap/>
            <w:vAlign w:val="bottom"/>
          </w:tcPr>
          <w:p w14:paraId="32F7F8AD"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51.6</w:t>
            </w:r>
          </w:p>
        </w:tc>
      </w:tr>
      <w:tr w:rsidR="00B01D46" w14:paraId="3A787BD3" w14:textId="77777777">
        <w:trPr>
          <w:trHeight w:val="286"/>
        </w:trPr>
        <w:tc>
          <w:tcPr>
            <w:tcW w:w="1620" w:type="dxa"/>
            <w:tcBorders>
              <w:top w:val="nil"/>
              <w:bottom w:val="single" w:sz="4" w:space="0" w:color="auto"/>
            </w:tcBorders>
          </w:tcPr>
          <w:p w14:paraId="55123E26"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tcBorders>
              <w:top w:val="nil"/>
              <w:bottom w:val="single" w:sz="4" w:space="0" w:color="auto"/>
            </w:tcBorders>
            <w:shd w:val="clear" w:color="auto" w:fill="auto"/>
            <w:noWrap/>
            <w:vAlign w:val="bottom"/>
          </w:tcPr>
          <w:p w14:paraId="37E711A5"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Masters</w:t>
            </w:r>
          </w:p>
        </w:tc>
        <w:tc>
          <w:tcPr>
            <w:tcW w:w="1440" w:type="dxa"/>
            <w:tcBorders>
              <w:top w:val="nil"/>
              <w:bottom w:val="single" w:sz="4" w:space="0" w:color="auto"/>
            </w:tcBorders>
            <w:shd w:val="clear" w:color="auto" w:fill="auto"/>
            <w:noWrap/>
            <w:vAlign w:val="bottom"/>
          </w:tcPr>
          <w:p w14:paraId="369CB89D"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30</w:t>
            </w:r>
          </w:p>
        </w:tc>
        <w:tc>
          <w:tcPr>
            <w:tcW w:w="1145" w:type="dxa"/>
            <w:tcBorders>
              <w:top w:val="nil"/>
              <w:bottom w:val="single" w:sz="4" w:space="0" w:color="auto"/>
            </w:tcBorders>
            <w:shd w:val="clear" w:color="auto" w:fill="auto"/>
            <w:noWrap/>
            <w:vAlign w:val="bottom"/>
          </w:tcPr>
          <w:p w14:paraId="3563386D"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48.4</w:t>
            </w:r>
          </w:p>
        </w:tc>
      </w:tr>
      <w:tr w:rsidR="00B01D46" w14:paraId="2A9D1532" w14:textId="77777777">
        <w:trPr>
          <w:trHeight w:val="286"/>
        </w:trPr>
        <w:tc>
          <w:tcPr>
            <w:tcW w:w="1620" w:type="dxa"/>
            <w:tcBorders>
              <w:top w:val="nil"/>
              <w:bottom w:val="nil"/>
            </w:tcBorders>
          </w:tcPr>
          <w:p w14:paraId="3B331968"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Official Title</w:t>
            </w:r>
          </w:p>
        </w:tc>
        <w:tc>
          <w:tcPr>
            <w:tcW w:w="3960" w:type="dxa"/>
            <w:tcBorders>
              <w:top w:val="nil"/>
              <w:bottom w:val="nil"/>
            </w:tcBorders>
            <w:shd w:val="clear" w:color="auto" w:fill="auto"/>
            <w:noWrap/>
            <w:vAlign w:val="bottom"/>
          </w:tcPr>
          <w:p w14:paraId="326276C2"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Tutorial</w:t>
            </w:r>
          </w:p>
        </w:tc>
        <w:tc>
          <w:tcPr>
            <w:tcW w:w="1440" w:type="dxa"/>
            <w:tcBorders>
              <w:top w:val="nil"/>
              <w:bottom w:val="nil"/>
            </w:tcBorders>
            <w:shd w:val="clear" w:color="auto" w:fill="auto"/>
            <w:noWrap/>
            <w:vAlign w:val="bottom"/>
          </w:tcPr>
          <w:p w14:paraId="0672D15D"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33</w:t>
            </w:r>
          </w:p>
        </w:tc>
        <w:tc>
          <w:tcPr>
            <w:tcW w:w="1145" w:type="dxa"/>
            <w:tcBorders>
              <w:top w:val="nil"/>
              <w:bottom w:val="nil"/>
            </w:tcBorders>
            <w:shd w:val="clear" w:color="auto" w:fill="auto"/>
            <w:noWrap/>
            <w:vAlign w:val="bottom"/>
          </w:tcPr>
          <w:p w14:paraId="7DD68AF0"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53.9</w:t>
            </w:r>
          </w:p>
        </w:tc>
      </w:tr>
      <w:tr w:rsidR="00B01D46" w14:paraId="05AC1B32" w14:textId="77777777">
        <w:trPr>
          <w:trHeight w:val="286"/>
        </w:trPr>
        <w:tc>
          <w:tcPr>
            <w:tcW w:w="1620" w:type="dxa"/>
            <w:tcBorders>
              <w:top w:val="nil"/>
              <w:bottom w:val="nil"/>
            </w:tcBorders>
          </w:tcPr>
          <w:p w14:paraId="6742EA51"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tcBorders>
              <w:top w:val="nil"/>
              <w:bottom w:val="nil"/>
            </w:tcBorders>
            <w:shd w:val="clear" w:color="auto" w:fill="auto"/>
            <w:noWrap/>
            <w:vAlign w:val="bottom"/>
          </w:tcPr>
          <w:p w14:paraId="0D240663"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Lecturer</w:t>
            </w:r>
          </w:p>
        </w:tc>
        <w:tc>
          <w:tcPr>
            <w:tcW w:w="1440" w:type="dxa"/>
            <w:tcBorders>
              <w:top w:val="nil"/>
              <w:bottom w:val="nil"/>
            </w:tcBorders>
            <w:shd w:val="clear" w:color="auto" w:fill="auto"/>
            <w:noWrap/>
            <w:vAlign w:val="bottom"/>
          </w:tcPr>
          <w:p w14:paraId="3A15B917"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1145" w:type="dxa"/>
            <w:tcBorders>
              <w:top w:val="nil"/>
              <w:bottom w:val="nil"/>
            </w:tcBorders>
            <w:shd w:val="clear" w:color="auto" w:fill="auto"/>
            <w:noWrap/>
            <w:vAlign w:val="bottom"/>
          </w:tcPr>
          <w:p w14:paraId="6E6A78E0"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12.5</w:t>
            </w:r>
          </w:p>
        </w:tc>
      </w:tr>
      <w:tr w:rsidR="00B01D46" w14:paraId="1CCDCC5B" w14:textId="77777777">
        <w:trPr>
          <w:trHeight w:val="286"/>
        </w:trPr>
        <w:tc>
          <w:tcPr>
            <w:tcW w:w="1620" w:type="dxa"/>
            <w:tcBorders>
              <w:top w:val="nil"/>
              <w:bottom w:val="nil"/>
            </w:tcBorders>
          </w:tcPr>
          <w:p w14:paraId="369BFD58"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tcBorders>
              <w:top w:val="nil"/>
              <w:bottom w:val="nil"/>
            </w:tcBorders>
            <w:shd w:val="clear" w:color="auto" w:fill="auto"/>
            <w:noWrap/>
            <w:vAlign w:val="bottom"/>
          </w:tcPr>
          <w:p w14:paraId="1952EAF1"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Senior Lecturer</w:t>
            </w:r>
          </w:p>
        </w:tc>
        <w:tc>
          <w:tcPr>
            <w:tcW w:w="1440" w:type="dxa"/>
            <w:tcBorders>
              <w:top w:val="nil"/>
              <w:bottom w:val="nil"/>
            </w:tcBorders>
            <w:shd w:val="clear" w:color="auto" w:fill="auto"/>
            <w:noWrap/>
            <w:vAlign w:val="bottom"/>
          </w:tcPr>
          <w:p w14:paraId="1D0BEE74"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17</w:t>
            </w:r>
          </w:p>
        </w:tc>
        <w:tc>
          <w:tcPr>
            <w:tcW w:w="1145" w:type="dxa"/>
            <w:tcBorders>
              <w:top w:val="nil"/>
              <w:bottom w:val="nil"/>
            </w:tcBorders>
            <w:shd w:val="clear" w:color="auto" w:fill="auto"/>
            <w:noWrap/>
            <w:vAlign w:val="bottom"/>
          </w:tcPr>
          <w:p w14:paraId="6DC795E1"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28.9</w:t>
            </w:r>
          </w:p>
        </w:tc>
      </w:tr>
      <w:tr w:rsidR="00B01D46" w14:paraId="5B91B734" w14:textId="77777777">
        <w:trPr>
          <w:trHeight w:val="286"/>
        </w:trPr>
        <w:tc>
          <w:tcPr>
            <w:tcW w:w="1620" w:type="dxa"/>
            <w:tcBorders>
              <w:top w:val="nil"/>
              <w:bottom w:val="single" w:sz="4" w:space="0" w:color="auto"/>
            </w:tcBorders>
          </w:tcPr>
          <w:p w14:paraId="1E257D07"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tcBorders>
              <w:top w:val="nil"/>
              <w:bottom w:val="single" w:sz="4" w:space="0" w:color="auto"/>
            </w:tcBorders>
            <w:shd w:val="clear" w:color="auto" w:fill="auto"/>
            <w:noWrap/>
            <w:vAlign w:val="bottom"/>
          </w:tcPr>
          <w:p w14:paraId="1F3A3157"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Professor</w:t>
            </w:r>
          </w:p>
        </w:tc>
        <w:tc>
          <w:tcPr>
            <w:tcW w:w="1440" w:type="dxa"/>
            <w:tcBorders>
              <w:top w:val="nil"/>
              <w:bottom w:val="single" w:sz="4" w:space="0" w:color="auto"/>
            </w:tcBorders>
            <w:shd w:val="clear" w:color="auto" w:fill="auto"/>
            <w:noWrap/>
            <w:vAlign w:val="bottom"/>
          </w:tcPr>
          <w:p w14:paraId="16838823"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1145" w:type="dxa"/>
            <w:tcBorders>
              <w:top w:val="nil"/>
              <w:bottom w:val="single" w:sz="4" w:space="0" w:color="auto"/>
            </w:tcBorders>
            <w:shd w:val="clear" w:color="auto" w:fill="auto"/>
            <w:noWrap/>
            <w:vAlign w:val="bottom"/>
          </w:tcPr>
          <w:p w14:paraId="4F0A5CAA"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4.7</w:t>
            </w:r>
          </w:p>
        </w:tc>
      </w:tr>
      <w:tr w:rsidR="00B01D46" w14:paraId="1466F753" w14:textId="77777777">
        <w:trPr>
          <w:trHeight w:val="286"/>
        </w:trPr>
        <w:tc>
          <w:tcPr>
            <w:tcW w:w="1620" w:type="dxa"/>
            <w:tcBorders>
              <w:top w:val="single" w:sz="4" w:space="0" w:color="auto"/>
            </w:tcBorders>
          </w:tcPr>
          <w:p w14:paraId="002E30BE"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Specialty </w:t>
            </w:r>
          </w:p>
        </w:tc>
        <w:tc>
          <w:tcPr>
            <w:tcW w:w="3960" w:type="dxa"/>
            <w:tcBorders>
              <w:top w:val="single" w:sz="4" w:space="0" w:color="auto"/>
            </w:tcBorders>
            <w:shd w:val="clear" w:color="auto" w:fill="auto"/>
            <w:noWrap/>
            <w:vAlign w:val="bottom"/>
          </w:tcPr>
          <w:p w14:paraId="07109D41"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Nursing</w:t>
            </w:r>
          </w:p>
        </w:tc>
        <w:tc>
          <w:tcPr>
            <w:tcW w:w="1440" w:type="dxa"/>
            <w:tcBorders>
              <w:top w:val="single" w:sz="4" w:space="0" w:color="auto"/>
            </w:tcBorders>
            <w:shd w:val="clear" w:color="auto" w:fill="auto"/>
            <w:noWrap/>
            <w:vAlign w:val="bottom"/>
          </w:tcPr>
          <w:p w14:paraId="236D6AE2"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w:t>
            </w:r>
          </w:p>
        </w:tc>
        <w:tc>
          <w:tcPr>
            <w:tcW w:w="1145" w:type="dxa"/>
            <w:tcBorders>
              <w:top w:val="single" w:sz="4" w:space="0" w:color="auto"/>
            </w:tcBorders>
            <w:shd w:val="clear" w:color="auto" w:fill="auto"/>
            <w:noWrap/>
            <w:vAlign w:val="bottom"/>
          </w:tcPr>
          <w:p w14:paraId="37AA1EA8"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26.6</w:t>
            </w:r>
          </w:p>
        </w:tc>
      </w:tr>
      <w:tr w:rsidR="00B01D46" w14:paraId="6C34E496" w14:textId="77777777">
        <w:trPr>
          <w:trHeight w:val="286"/>
        </w:trPr>
        <w:tc>
          <w:tcPr>
            <w:tcW w:w="1620" w:type="dxa"/>
          </w:tcPr>
          <w:p w14:paraId="4D2AF6AE"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shd w:val="clear" w:color="auto" w:fill="auto"/>
            <w:noWrap/>
            <w:vAlign w:val="bottom"/>
          </w:tcPr>
          <w:p w14:paraId="04464EA7"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Maxillofacial Surgery</w:t>
            </w:r>
          </w:p>
        </w:tc>
        <w:tc>
          <w:tcPr>
            <w:tcW w:w="1440" w:type="dxa"/>
            <w:shd w:val="clear" w:color="auto" w:fill="auto"/>
            <w:noWrap/>
            <w:vAlign w:val="bottom"/>
          </w:tcPr>
          <w:p w14:paraId="1843FD31"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1145" w:type="dxa"/>
            <w:shd w:val="clear" w:color="auto" w:fill="auto"/>
            <w:noWrap/>
            <w:vAlign w:val="bottom"/>
          </w:tcPr>
          <w:p w14:paraId="0354EDD6"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17.2</w:t>
            </w:r>
          </w:p>
        </w:tc>
      </w:tr>
      <w:tr w:rsidR="00B01D46" w14:paraId="1E073426" w14:textId="77777777">
        <w:trPr>
          <w:trHeight w:val="286"/>
        </w:trPr>
        <w:tc>
          <w:tcPr>
            <w:tcW w:w="1620" w:type="dxa"/>
          </w:tcPr>
          <w:p w14:paraId="44323106"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shd w:val="clear" w:color="auto" w:fill="auto"/>
            <w:noWrap/>
            <w:vAlign w:val="bottom"/>
          </w:tcPr>
          <w:p w14:paraId="548F9E8D"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Obstetrics and Gynecology</w:t>
            </w:r>
          </w:p>
        </w:tc>
        <w:tc>
          <w:tcPr>
            <w:tcW w:w="1440" w:type="dxa"/>
            <w:shd w:val="clear" w:color="auto" w:fill="auto"/>
            <w:noWrap/>
            <w:vAlign w:val="bottom"/>
          </w:tcPr>
          <w:p w14:paraId="24C26C3A"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1145" w:type="dxa"/>
            <w:shd w:val="clear" w:color="auto" w:fill="auto"/>
            <w:noWrap/>
            <w:vAlign w:val="bottom"/>
          </w:tcPr>
          <w:p w14:paraId="51BEC137"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16.4</w:t>
            </w:r>
          </w:p>
        </w:tc>
      </w:tr>
      <w:tr w:rsidR="00B01D46" w14:paraId="21F5B943" w14:textId="77777777">
        <w:trPr>
          <w:trHeight w:val="286"/>
        </w:trPr>
        <w:tc>
          <w:tcPr>
            <w:tcW w:w="1620" w:type="dxa"/>
          </w:tcPr>
          <w:p w14:paraId="15684F21"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shd w:val="clear" w:color="auto" w:fill="auto"/>
            <w:noWrap/>
            <w:vAlign w:val="bottom"/>
          </w:tcPr>
          <w:p w14:paraId="5DB056BD"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Surgery and Anesthesiology</w:t>
            </w:r>
          </w:p>
        </w:tc>
        <w:tc>
          <w:tcPr>
            <w:tcW w:w="1440" w:type="dxa"/>
            <w:shd w:val="clear" w:color="auto" w:fill="auto"/>
            <w:noWrap/>
            <w:vAlign w:val="bottom"/>
          </w:tcPr>
          <w:p w14:paraId="50FC81E0"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1145" w:type="dxa"/>
            <w:shd w:val="clear" w:color="auto" w:fill="auto"/>
            <w:noWrap/>
            <w:vAlign w:val="bottom"/>
          </w:tcPr>
          <w:p w14:paraId="020F59D4"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2.3</w:t>
            </w:r>
          </w:p>
        </w:tc>
      </w:tr>
      <w:tr w:rsidR="00B01D46" w14:paraId="6FB10BD0" w14:textId="77777777">
        <w:trPr>
          <w:trHeight w:val="286"/>
        </w:trPr>
        <w:tc>
          <w:tcPr>
            <w:tcW w:w="1620" w:type="dxa"/>
          </w:tcPr>
          <w:p w14:paraId="6AD10F5D"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shd w:val="clear" w:color="auto" w:fill="auto"/>
            <w:noWrap/>
            <w:vAlign w:val="bottom"/>
          </w:tcPr>
          <w:p w14:paraId="71475353"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Dental Sciences</w:t>
            </w:r>
          </w:p>
        </w:tc>
        <w:tc>
          <w:tcPr>
            <w:tcW w:w="1440" w:type="dxa"/>
            <w:shd w:val="clear" w:color="auto" w:fill="auto"/>
            <w:noWrap/>
            <w:vAlign w:val="bottom"/>
          </w:tcPr>
          <w:p w14:paraId="585490C3"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1145" w:type="dxa"/>
            <w:shd w:val="clear" w:color="auto" w:fill="auto"/>
            <w:noWrap/>
            <w:vAlign w:val="bottom"/>
          </w:tcPr>
          <w:p w14:paraId="3F425B30"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r>
      <w:tr w:rsidR="00B01D46" w14:paraId="1359B5E3" w14:textId="77777777">
        <w:trPr>
          <w:trHeight w:val="207"/>
        </w:trPr>
        <w:tc>
          <w:tcPr>
            <w:tcW w:w="1620" w:type="dxa"/>
          </w:tcPr>
          <w:p w14:paraId="761F206C"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shd w:val="clear" w:color="auto" w:fill="auto"/>
            <w:noWrap/>
            <w:vAlign w:val="bottom"/>
          </w:tcPr>
          <w:p w14:paraId="232BC4CD"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Clinical medicine and Therapeutics</w:t>
            </w:r>
          </w:p>
        </w:tc>
        <w:tc>
          <w:tcPr>
            <w:tcW w:w="1440" w:type="dxa"/>
            <w:shd w:val="clear" w:color="auto" w:fill="auto"/>
            <w:noWrap/>
            <w:vAlign w:val="bottom"/>
          </w:tcPr>
          <w:p w14:paraId="61299FCC"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1145" w:type="dxa"/>
            <w:shd w:val="clear" w:color="auto" w:fill="auto"/>
            <w:noWrap/>
            <w:vAlign w:val="bottom"/>
          </w:tcPr>
          <w:p w14:paraId="14E43F36"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4.7</w:t>
            </w:r>
          </w:p>
        </w:tc>
      </w:tr>
      <w:tr w:rsidR="00B01D46" w14:paraId="675D5962" w14:textId="77777777">
        <w:trPr>
          <w:trHeight w:val="286"/>
        </w:trPr>
        <w:tc>
          <w:tcPr>
            <w:tcW w:w="1620" w:type="dxa"/>
          </w:tcPr>
          <w:p w14:paraId="73A392F0"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shd w:val="clear" w:color="auto" w:fill="auto"/>
            <w:noWrap/>
            <w:vAlign w:val="bottom"/>
          </w:tcPr>
          <w:p w14:paraId="6548FA58"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Medicine</w:t>
            </w:r>
          </w:p>
        </w:tc>
        <w:tc>
          <w:tcPr>
            <w:tcW w:w="1440" w:type="dxa"/>
            <w:shd w:val="clear" w:color="auto" w:fill="auto"/>
            <w:noWrap/>
            <w:vAlign w:val="bottom"/>
          </w:tcPr>
          <w:p w14:paraId="3BB8F73B"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1145" w:type="dxa"/>
            <w:shd w:val="clear" w:color="auto" w:fill="auto"/>
            <w:noWrap/>
            <w:vAlign w:val="bottom"/>
          </w:tcPr>
          <w:p w14:paraId="41F1768A"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7.8</w:t>
            </w:r>
          </w:p>
        </w:tc>
      </w:tr>
      <w:tr w:rsidR="00B01D46" w14:paraId="2E4A6C87" w14:textId="77777777">
        <w:trPr>
          <w:trHeight w:val="286"/>
        </w:trPr>
        <w:tc>
          <w:tcPr>
            <w:tcW w:w="1620" w:type="dxa"/>
            <w:tcBorders>
              <w:bottom w:val="nil"/>
            </w:tcBorders>
          </w:tcPr>
          <w:p w14:paraId="033AE8DC"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tcBorders>
              <w:bottom w:val="nil"/>
            </w:tcBorders>
            <w:shd w:val="clear" w:color="auto" w:fill="auto"/>
            <w:noWrap/>
            <w:vAlign w:val="bottom"/>
          </w:tcPr>
          <w:p w14:paraId="0603F4C0"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Human Anatomy/Physiology/Human Pathology</w:t>
            </w:r>
          </w:p>
        </w:tc>
        <w:tc>
          <w:tcPr>
            <w:tcW w:w="1440" w:type="dxa"/>
            <w:tcBorders>
              <w:bottom w:val="nil"/>
            </w:tcBorders>
            <w:shd w:val="clear" w:color="auto" w:fill="auto"/>
            <w:noWrap/>
            <w:vAlign w:val="bottom"/>
          </w:tcPr>
          <w:p w14:paraId="60D11F66"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1145" w:type="dxa"/>
            <w:tcBorders>
              <w:bottom w:val="nil"/>
            </w:tcBorders>
            <w:shd w:val="clear" w:color="auto" w:fill="auto"/>
            <w:noWrap/>
            <w:vAlign w:val="bottom"/>
          </w:tcPr>
          <w:p w14:paraId="51AE7EFC"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10.9</w:t>
            </w:r>
          </w:p>
        </w:tc>
      </w:tr>
      <w:tr w:rsidR="00B01D46" w14:paraId="7882F848" w14:textId="77777777">
        <w:trPr>
          <w:trHeight w:val="286"/>
        </w:trPr>
        <w:tc>
          <w:tcPr>
            <w:tcW w:w="1620" w:type="dxa"/>
            <w:tcBorders>
              <w:top w:val="nil"/>
              <w:bottom w:val="single" w:sz="4" w:space="0" w:color="auto"/>
            </w:tcBorders>
          </w:tcPr>
          <w:p w14:paraId="78324EDB"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tcBorders>
              <w:top w:val="nil"/>
              <w:bottom w:val="single" w:sz="4" w:space="0" w:color="auto"/>
            </w:tcBorders>
            <w:shd w:val="clear" w:color="auto" w:fill="auto"/>
            <w:noWrap/>
            <w:vAlign w:val="bottom"/>
          </w:tcPr>
          <w:p w14:paraId="3D082344"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Ophthalmology</w:t>
            </w:r>
          </w:p>
        </w:tc>
        <w:tc>
          <w:tcPr>
            <w:tcW w:w="1440" w:type="dxa"/>
            <w:tcBorders>
              <w:top w:val="nil"/>
              <w:bottom w:val="single" w:sz="4" w:space="0" w:color="auto"/>
            </w:tcBorders>
            <w:shd w:val="clear" w:color="auto" w:fill="auto"/>
            <w:noWrap/>
            <w:vAlign w:val="bottom"/>
          </w:tcPr>
          <w:p w14:paraId="7C3DBD58"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1145" w:type="dxa"/>
            <w:tcBorders>
              <w:top w:val="nil"/>
              <w:bottom w:val="single" w:sz="4" w:space="0" w:color="auto"/>
            </w:tcBorders>
            <w:shd w:val="clear" w:color="auto" w:fill="auto"/>
            <w:noWrap/>
            <w:vAlign w:val="bottom"/>
          </w:tcPr>
          <w:p w14:paraId="6795CA68"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r>
      <w:tr w:rsidR="00B01D46" w14:paraId="4E324555" w14:textId="77777777">
        <w:trPr>
          <w:trHeight w:val="286"/>
        </w:trPr>
        <w:tc>
          <w:tcPr>
            <w:tcW w:w="1620" w:type="dxa"/>
            <w:tcBorders>
              <w:top w:val="single" w:sz="4" w:space="0" w:color="auto"/>
            </w:tcBorders>
          </w:tcPr>
          <w:p w14:paraId="537BCFB3"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Work experience </w:t>
            </w:r>
          </w:p>
        </w:tc>
        <w:tc>
          <w:tcPr>
            <w:tcW w:w="3960" w:type="dxa"/>
            <w:tcBorders>
              <w:top w:val="single" w:sz="4" w:space="0" w:color="auto"/>
            </w:tcBorders>
            <w:shd w:val="clear" w:color="auto" w:fill="auto"/>
            <w:noWrap/>
            <w:vAlign w:val="bottom"/>
          </w:tcPr>
          <w:p w14:paraId="4FDBF572"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0-5 years</w:t>
            </w:r>
          </w:p>
        </w:tc>
        <w:tc>
          <w:tcPr>
            <w:tcW w:w="1440" w:type="dxa"/>
            <w:tcBorders>
              <w:top w:val="single" w:sz="4" w:space="0" w:color="auto"/>
            </w:tcBorders>
            <w:shd w:val="clear" w:color="auto" w:fill="auto"/>
            <w:noWrap/>
            <w:vAlign w:val="bottom"/>
          </w:tcPr>
          <w:p w14:paraId="4463F413"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1145" w:type="dxa"/>
            <w:tcBorders>
              <w:top w:val="single" w:sz="4" w:space="0" w:color="auto"/>
            </w:tcBorders>
            <w:shd w:val="clear" w:color="auto" w:fill="auto"/>
            <w:noWrap/>
            <w:vAlign w:val="bottom"/>
          </w:tcPr>
          <w:p w14:paraId="499758B0"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4.7</w:t>
            </w:r>
          </w:p>
        </w:tc>
      </w:tr>
      <w:tr w:rsidR="00B01D46" w14:paraId="27733899" w14:textId="77777777">
        <w:trPr>
          <w:trHeight w:val="286"/>
        </w:trPr>
        <w:tc>
          <w:tcPr>
            <w:tcW w:w="1620" w:type="dxa"/>
          </w:tcPr>
          <w:p w14:paraId="799AAF35"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shd w:val="clear" w:color="auto" w:fill="auto"/>
            <w:noWrap/>
            <w:vAlign w:val="bottom"/>
          </w:tcPr>
          <w:p w14:paraId="3E408295"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5-10 years </w:t>
            </w:r>
          </w:p>
        </w:tc>
        <w:tc>
          <w:tcPr>
            <w:tcW w:w="1440" w:type="dxa"/>
            <w:shd w:val="clear" w:color="auto" w:fill="auto"/>
            <w:noWrap/>
            <w:vAlign w:val="bottom"/>
          </w:tcPr>
          <w:p w14:paraId="4BDE718F"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w:t>
            </w:r>
          </w:p>
        </w:tc>
        <w:tc>
          <w:tcPr>
            <w:tcW w:w="1145" w:type="dxa"/>
            <w:shd w:val="clear" w:color="auto" w:fill="auto"/>
            <w:noWrap/>
            <w:vAlign w:val="bottom"/>
          </w:tcPr>
          <w:p w14:paraId="2FB75637"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23.4</w:t>
            </w:r>
          </w:p>
        </w:tc>
      </w:tr>
      <w:tr w:rsidR="00B01D46" w14:paraId="711AB2E7" w14:textId="77777777">
        <w:trPr>
          <w:trHeight w:val="286"/>
        </w:trPr>
        <w:tc>
          <w:tcPr>
            <w:tcW w:w="1620" w:type="dxa"/>
          </w:tcPr>
          <w:p w14:paraId="0A4F1D67"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shd w:val="clear" w:color="auto" w:fill="auto"/>
            <w:noWrap/>
            <w:vAlign w:val="bottom"/>
          </w:tcPr>
          <w:p w14:paraId="1827A767"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10-15 years </w:t>
            </w:r>
          </w:p>
        </w:tc>
        <w:tc>
          <w:tcPr>
            <w:tcW w:w="1440" w:type="dxa"/>
            <w:shd w:val="clear" w:color="auto" w:fill="auto"/>
            <w:noWrap/>
            <w:vAlign w:val="bottom"/>
          </w:tcPr>
          <w:p w14:paraId="444DC99F"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1145" w:type="dxa"/>
            <w:shd w:val="clear" w:color="auto" w:fill="auto"/>
            <w:noWrap/>
            <w:vAlign w:val="bottom"/>
          </w:tcPr>
          <w:p w14:paraId="773CC33B"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11.7</w:t>
            </w:r>
          </w:p>
        </w:tc>
      </w:tr>
      <w:tr w:rsidR="00B01D46" w14:paraId="632A8BC6" w14:textId="77777777">
        <w:trPr>
          <w:trHeight w:val="286"/>
        </w:trPr>
        <w:tc>
          <w:tcPr>
            <w:tcW w:w="1620" w:type="dxa"/>
          </w:tcPr>
          <w:p w14:paraId="284E4D84"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shd w:val="clear" w:color="auto" w:fill="auto"/>
            <w:noWrap/>
            <w:vAlign w:val="bottom"/>
          </w:tcPr>
          <w:p w14:paraId="5F0095B2"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15-20 years</w:t>
            </w:r>
          </w:p>
        </w:tc>
        <w:tc>
          <w:tcPr>
            <w:tcW w:w="1440" w:type="dxa"/>
            <w:shd w:val="clear" w:color="auto" w:fill="auto"/>
            <w:noWrap/>
            <w:vAlign w:val="bottom"/>
          </w:tcPr>
          <w:p w14:paraId="347BB837"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21</w:t>
            </w:r>
          </w:p>
        </w:tc>
        <w:tc>
          <w:tcPr>
            <w:tcW w:w="1145" w:type="dxa"/>
            <w:shd w:val="clear" w:color="auto" w:fill="auto"/>
            <w:noWrap/>
            <w:vAlign w:val="bottom"/>
          </w:tcPr>
          <w:p w14:paraId="0956D4B3"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35.9</w:t>
            </w:r>
          </w:p>
        </w:tc>
      </w:tr>
      <w:tr w:rsidR="00B01D46" w14:paraId="797A2FC5" w14:textId="77777777">
        <w:trPr>
          <w:trHeight w:val="286"/>
        </w:trPr>
        <w:tc>
          <w:tcPr>
            <w:tcW w:w="1620" w:type="dxa"/>
          </w:tcPr>
          <w:p w14:paraId="72412655" w14:textId="77777777" w:rsidR="00B01D46" w:rsidRDefault="00B01D46">
            <w:pPr>
              <w:spacing w:after="0" w:line="240" w:lineRule="auto"/>
              <w:ind w:right="65"/>
              <w:jc w:val="both"/>
              <w:rPr>
                <w:rFonts w:ascii="Times New Roman" w:eastAsia="Calibri" w:hAnsi="Times New Roman" w:cs="Times New Roman"/>
                <w:color w:val="000000"/>
                <w:sz w:val="24"/>
                <w:szCs w:val="24"/>
              </w:rPr>
            </w:pPr>
          </w:p>
        </w:tc>
        <w:tc>
          <w:tcPr>
            <w:tcW w:w="3960" w:type="dxa"/>
            <w:shd w:val="clear" w:color="auto" w:fill="auto"/>
            <w:noWrap/>
            <w:vAlign w:val="bottom"/>
          </w:tcPr>
          <w:p w14:paraId="4868914D"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Over 20 years</w:t>
            </w:r>
          </w:p>
        </w:tc>
        <w:tc>
          <w:tcPr>
            <w:tcW w:w="1440" w:type="dxa"/>
            <w:shd w:val="clear" w:color="auto" w:fill="auto"/>
            <w:noWrap/>
            <w:vAlign w:val="bottom"/>
          </w:tcPr>
          <w:p w14:paraId="6E9B0BB7"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w:t>
            </w:r>
          </w:p>
        </w:tc>
        <w:tc>
          <w:tcPr>
            <w:tcW w:w="1145" w:type="dxa"/>
            <w:shd w:val="clear" w:color="auto" w:fill="auto"/>
            <w:noWrap/>
            <w:vAlign w:val="bottom"/>
          </w:tcPr>
          <w:p w14:paraId="4D1D5607" w14:textId="77777777" w:rsidR="00B01D46" w:rsidRDefault="0067013E">
            <w:pPr>
              <w:spacing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24.2</w:t>
            </w:r>
          </w:p>
        </w:tc>
      </w:tr>
    </w:tbl>
    <w:p w14:paraId="5F87819D" w14:textId="77777777" w:rsidR="00B01D46" w:rsidRDefault="0067013E">
      <w:pPr>
        <w:spacing w:before="120" w:after="0" w:line="24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Source: Field Data (2021)</w:t>
      </w:r>
    </w:p>
    <w:p w14:paraId="6C845759" w14:textId="77777777" w:rsidR="00B01D46" w:rsidRDefault="00B01D46">
      <w:pPr>
        <w:spacing w:before="120" w:after="0" w:line="240" w:lineRule="auto"/>
        <w:ind w:right="65"/>
        <w:jc w:val="both"/>
        <w:rPr>
          <w:rFonts w:ascii="Times New Roman" w:eastAsia="Calibri" w:hAnsi="Times New Roman" w:cs="Times New Roman"/>
          <w:b/>
          <w:sz w:val="24"/>
          <w:szCs w:val="24"/>
        </w:rPr>
      </w:pPr>
    </w:p>
    <w:p w14:paraId="2C17E014"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upshots indicated that 88 (68.7%) of the respondents were from the University of Nairobi (UON), and 40 (31.3%) were from Moi University. Male respondents consisted of 89 (69.5%), while 39 (30.5%) were female. From the findings, 66 (51.6%) and 62 (48.4%) of the lecturers had attained a PhD and Master's level education respectively. The lecturers indicated their official job title, where 16 (12.5%) were lecturers, 6 (4.7%) were professors, 37(28.9%) were senior lecturers, while 69 (53.9%) were Tutorial Fellows. The lecturers were attached to various </w:t>
      </w:r>
      <w:r>
        <w:rPr>
          <w:rFonts w:ascii="Times New Roman" w:eastAsia="Calibri" w:hAnsi="Times New Roman" w:cs="Times New Roman"/>
          <w:sz w:val="24"/>
          <w:szCs w:val="24"/>
        </w:rPr>
        <w:lastRenderedPageBreak/>
        <w:t xml:space="preserve">departments as follows: </w:t>
      </w:r>
      <w:bookmarkStart w:id="1246" w:name="_Hlk147484725"/>
      <w:r>
        <w:rPr>
          <w:rFonts w:ascii="Times New Roman" w:eastAsia="Calibri" w:hAnsi="Times New Roman" w:cs="Times New Roman"/>
          <w:sz w:val="24"/>
          <w:szCs w:val="24"/>
        </w:rPr>
        <w:t xml:space="preserve">34 (26.6%) were in </w:t>
      </w:r>
      <w:r>
        <w:rPr>
          <w:rFonts w:ascii="Times New Roman" w:eastAsia="Calibri" w:hAnsi="Times New Roman" w:cs="Times New Roman"/>
          <w:color w:val="000000"/>
          <w:sz w:val="24"/>
          <w:szCs w:val="24"/>
        </w:rPr>
        <w:t>the Nursing department</w:t>
      </w:r>
      <w:r>
        <w:rPr>
          <w:rFonts w:ascii="Times New Roman" w:eastAsia="Calibri" w:hAnsi="Times New Roman" w:cs="Times New Roman"/>
          <w:sz w:val="24"/>
          <w:szCs w:val="24"/>
        </w:rPr>
        <w:t>, 22 (17.2%) were in Maxillofacial Surgery, 21 (16.4%) were in the obstetrics and gynecology department, 3 (2.3%) were in Surgery and Anesthesiology</w:t>
      </w:r>
      <w:r>
        <w:rPr>
          <w:rFonts w:ascii="Times New Roman" w:eastAsia="Calibri" w:hAnsi="Times New Roman" w:cs="Times New Roman"/>
          <w:color w:val="000000"/>
          <w:sz w:val="24"/>
          <w:szCs w:val="24"/>
        </w:rPr>
        <w:t xml:space="preserve"> department</w:t>
      </w:r>
      <w:r>
        <w:rPr>
          <w:rFonts w:ascii="Times New Roman" w:eastAsia="Calibri" w:hAnsi="Times New Roman" w:cs="Times New Roman"/>
          <w:sz w:val="24"/>
          <w:szCs w:val="24"/>
        </w:rPr>
        <w:t>, 9 (7%) were in Dental Sciences</w:t>
      </w:r>
      <w:r>
        <w:rPr>
          <w:rFonts w:ascii="Times New Roman" w:eastAsia="Calibri" w:hAnsi="Times New Roman" w:cs="Times New Roman"/>
          <w:color w:val="000000"/>
          <w:sz w:val="24"/>
          <w:szCs w:val="24"/>
        </w:rPr>
        <w:t xml:space="preserve"> department,</w:t>
      </w:r>
      <w:r>
        <w:rPr>
          <w:rFonts w:ascii="Times New Roman" w:eastAsia="Calibri" w:hAnsi="Times New Roman" w:cs="Times New Roman"/>
          <w:sz w:val="24"/>
          <w:szCs w:val="24"/>
        </w:rPr>
        <w:t xml:space="preserve"> 6 (4.7%) were in Clinical medicine and Therapeutics department, 14 (10.9%) were in human anatomy and physiology and human pathology while 9 (7%) indicated they were in ophthalmology. </w:t>
      </w:r>
    </w:p>
    <w:bookmarkEnd w:id="1246"/>
    <w:p w14:paraId="2AFC24BA"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Furthermore, the findings indicated that </w:t>
      </w:r>
      <w:bookmarkStart w:id="1247" w:name="_Hlk147484822"/>
      <w:r>
        <w:rPr>
          <w:rFonts w:ascii="Times New Roman" w:eastAsia="Calibri" w:hAnsi="Times New Roman" w:cs="Times New Roman"/>
          <w:sz w:val="24"/>
          <w:szCs w:val="24"/>
        </w:rPr>
        <w:t xml:space="preserve">46 (35.9%) of the lecturers had 15 to 20 years of experience, 31 (24.2%) had over 20 years of experience, 30 (23.4%) had 5 to 10 years of experience, 15 (11.7%) had a 10 to 15 years' experience while 6 (4.7%) had a less than 5 years’ experience. </w:t>
      </w:r>
    </w:p>
    <w:p w14:paraId="2619B5A9" w14:textId="77777777" w:rsidR="00B01D46" w:rsidRDefault="0067013E">
      <w:pPr>
        <w:pStyle w:val="Heading3"/>
        <w:ind w:left="540" w:hanging="540"/>
      </w:pPr>
      <w:bookmarkStart w:id="1248" w:name="_Toc165975825"/>
      <w:bookmarkStart w:id="1249" w:name="_Toc165973104"/>
      <w:bookmarkStart w:id="1250" w:name="_Toc165363428"/>
      <w:bookmarkStart w:id="1251" w:name="_Toc164664035"/>
      <w:bookmarkStart w:id="1252" w:name="_Toc184272917"/>
      <w:bookmarkStart w:id="1253" w:name="_Toc165369221"/>
      <w:bookmarkStart w:id="1254" w:name="_Toc165368405"/>
      <w:bookmarkStart w:id="1255" w:name="_Toc165365202"/>
      <w:bookmarkEnd w:id="1247"/>
      <w:r>
        <w:t>5.3.3 Demographic Data of University Librarians, Heads Medical Librarians and Heads of Departments</w:t>
      </w:r>
      <w:bookmarkEnd w:id="1248"/>
      <w:bookmarkEnd w:id="1249"/>
      <w:bookmarkEnd w:id="1250"/>
      <w:bookmarkEnd w:id="1251"/>
      <w:bookmarkEnd w:id="1252"/>
      <w:bookmarkEnd w:id="1253"/>
      <w:bookmarkEnd w:id="1254"/>
      <w:bookmarkEnd w:id="1255"/>
    </w:p>
    <w:p w14:paraId="435ACFD0" w14:textId="77777777" w:rsidR="00B01D46" w:rsidRDefault="0067013E">
      <w:pPr>
        <w:pStyle w:val="Heading4"/>
      </w:pPr>
      <w:bookmarkStart w:id="1256" w:name="_Toc164664036"/>
      <w:bookmarkStart w:id="1257" w:name="_Toc165365203"/>
      <w:bookmarkStart w:id="1258" w:name="_Toc165973105"/>
      <w:bookmarkStart w:id="1259" w:name="_Toc165369222"/>
      <w:bookmarkStart w:id="1260" w:name="_Toc184272918"/>
      <w:bookmarkStart w:id="1261" w:name="_Toc165363429"/>
      <w:bookmarkStart w:id="1262" w:name="_Toc165975826"/>
      <w:bookmarkStart w:id="1263" w:name="_Toc165368406"/>
      <w:r>
        <w:t>5.3.3.1 Demographic Data of University Librarians</w:t>
      </w:r>
      <w:bookmarkEnd w:id="1256"/>
      <w:bookmarkEnd w:id="1257"/>
      <w:bookmarkEnd w:id="1258"/>
      <w:bookmarkEnd w:id="1259"/>
      <w:bookmarkEnd w:id="1260"/>
      <w:bookmarkEnd w:id="1261"/>
      <w:bookmarkEnd w:id="1262"/>
      <w:bookmarkEnd w:id="1263"/>
    </w:p>
    <w:p w14:paraId="0DE339FA" w14:textId="77777777" w:rsidR="00B01D46" w:rsidRDefault="0067013E">
      <w:pPr>
        <w:pStyle w:val="Caption"/>
      </w:pPr>
      <w:bookmarkStart w:id="1264" w:name="_Hlk159791933"/>
      <w:bookmarkStart w:id="1265" w:name="_Toc165363430"/>
      <w:bookmarkStart w:id="1266" w:name="_Toc165365204"/>
      <w:bookmarkStart w:id="1267" w:name="_Toc165973106"/>
      <w:bookmarkStart w:id="1268" w:name="_Toc165975827"/>
      <w:bookmarkStart w:id="1269" w:name="_Toc184271993"/>
      <w:bookmarkStart w:id="1270" w:name="_Toc184276903"/>
      <w:r>
        <w:t>Table 5.4: Demographic Data of University Librarians</w:t>
      </w:r>
      <w:bookmarkEnd w:id="1264"/>
      <w:bookmarkEnd w:id="1265"/>
      <w:bookmarkEnd w:id="1266"/>
      <w:bookmarkEnd w:id="1267"/>
      <w:bookmarkEnd w:id="1268"/>
      <w:r>
        <w:t xml:space="preserve"> (n=2)</w:t>
      </w:r>
      <w:bookmarkEnd w:id="1269"/>
      <w:bookmarkEnd w:id="1270"/>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322"/>
        <w:gridCol w:w="2287"/>
        <w:gridCol w:w="1964"/>
        <w:gridCol w:w="1567"/>
      </w:tblGrid>
      <w:tr w:rsidR="00B01D46" w14:paraId="03884D66" w14:textId="77777777">
        <w:trPr>
          <w:trHeight w:val="20"/>
        </w:trPr>
        <w:tc>
          <w:tcPr>
            <w:tcW w:w="2322" w:type="dxa"/>
          </w:tcPr>
          <w:p w14:paraId="6133F65F"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Biographical Information</w:t>
            </w:r>
          </w:p>
        </w:tc>
        <w:tc>
          <w:tcPr>
            <w:tcW w:w="2287" w:type="dxa"/>
          </w:tcPr>
          <w:p w14:paraId="217F9073"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Categories </w:t>
            </w:r>
          </w:p>
        </w:tc>
        <w:tc>
          <w:tcPr>
            <w:tcW w:w="1964" w:type="dxa"/>
          </w:tcPr>
          <w:p w14:paraId="35D561DF"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Frequency</w:t>
            </w:r>
          </w:p>
        </w:tc>
        <w:tc>
          <w:tcPr>
            <w:tcW w:w="1567" w:type="dxa"/>
          </w:tcPr>
          <w:p w14:paraId="56187689"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Percentage</w:t>
            </w:r>
          </w:p>
        </w:tc>
      </w:tr>
      <w:tr w:rsidR="00B01D46" w14:paraId="12BD7F4A" w14:textId="77777777">
        <w:trPr>
          <w:trHeight w:val="20"/>
        </w:trPr>
        <w:tc>
          <w:tcPr>
            <w:tcW w:w="2322" w:type="dxa"/>
            <w:vMerge w:val="restart"/>
          </w:tcPr>
          <w:p w14:paraId="1F0DFD8D"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University </w:t>
            </w:r>
          </w:p>
        </w:tc>
        <w:tc>
          <w:tcPr>
            <w:tcW w:w="2287" w:type="dxa"/>
          </w:tcPr>
          <w:p w14:paraId="76C4C63D"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Moi University</w:t>
            </w:r>
          </w:p>
        </w:tc>
        <w:tc>
          <w:tcPr>
            <w:tcW w:w="1964" w:type="dxa"/>
          </w:tcPr>
          <w:p w14:paraId="75F5FEF4"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67" w:type="dxa"/>
          </w:tcPr>
          <w:p w14:paraId="7942CCF3"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68758939" w14:textId="77777777">
        <w:trPr>
          <w:trHeight w:val="20"/>
        </w:trPr>
        <w:tc>
          <w:tcPr>
            <w:tcW w:w="2322" w:type="dxa"/>
            <w:vMerge/>
          </w:tcPr>
          <w:p w14:paraId="0AC8FAD9" w14:textId="77777777" w:rsidR="00B01D46" w:rsidRDefault="00B01D46">
            <w:pPr>
              <w:spacing w:after="0"/>
              <w:ind w:right="65"/>
              <w:jc w:val="both"/>
              <w:rPr>
                <w:rFonts w:ascii="Times New Roman" w:eastAsia="Calibri" w:hAnsi="Times New Roman" w:cs="Times New Roman"/>
                <w:b/>
                <w:bCs/>
                <w:sz w:val="24"/>
                <w:szCs w:val="24"/>
              </w:rPr>
            </w:pPr>
          </w:p>
        </w:tc>
        <w:tc>
          <w:tcPr>
            <w:tcW w:w="2287" w:type="dxa"/>
          </w:tcPr>
          <w:p w14:paraId="5B4C1CD0"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UON</w:t>
            </w:r>
          </w:p>
        </w:tc>
        <w:tc>
          <w:tcPr>
            <w:tcW w:w="1964" w:type="dxa"/>
          </w:tcPr>
          <w:p w14:paraId="11FA4A6E"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67" w:type="dxa"/>
          </w:tcPr>
          <w:p w14:paraId="4A0622E5"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2BD0876B" w14:textId="77777777">
        <w:trPr>
          <w:trHeight w:val="20"/>
        </w:trPr>
        <w:tc>
          <w:tcPr>
            <w:tcW w:w="2322" w:type="dxa"/>
            <w:vMerge w:val="restart"/>
          </w:tcPr>
          <w:p w14:paraId="001E4E57"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Gender </w:t>
            </w:r>
          </w:p>
        </w:tc>
        <w:tc>
          <w:tcPr>
            <w:tcW w:w="2287" w:type="dxa"/>
          </w:tcPr>
          <w:p w14:paraId="25B01209"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Male</w:t>
            </w:r>
          </w:p>
        </w:tc>
        <w:tc>
          <w:tcPr>
            <w:tcW w:w="1964" w:type="dxa"/>
          </w:tcPr>
          <w:p w14:paraId="6EB0A01C"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67" w:type="dxa"/>
          </w:tcPr>
          <w:p w14:paraId="08FB4D48"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1055B5EB" w14:textId="77777777">
        <w:trPr>
          <w:trHeight w:val="20"/>
        </w:trPr>
        <w:tc>
          <w:tcPr>
            <w:tcW w:w="2322" w:type="dxa"/>
            <w:vMerge/>
          </w:tcPr>
          <w:p w14:paraId="79E7D98D" w14:textId="77777777" w:rsidR="00B01D46" w:rsidRDefault="00B01D46">
            <w:pPr>
              <w:spacing w:after="0"/>
              <w:ind w:right="65"/>
              <w:jc w:val="both"/>
              <w:rPr>
                <w:rFonts w:ascii="Times New Roman" w:eastAsia="Calibri" w:hAnsi="Times New Roman" w:cs="Times New Roman"/>
                <w:b/>
                <w:bCs/>
                <w:sz w:val="24"/>
                <w:szCs w:val="24"/>
              </w:rPr>
            </w:pPr>
          </w:p>
        </w:tc>
        <w:tc>
          <w:tcPr>
            <w:tcW w:w="2287" w:type="dxa"/>
          </w:tcPr>
          <w:p w14:paraId="4E91F394"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Female</w:t>
            </w:r>
          </w:p>
        </w:tc>
        <w:tc>
          <w:tcPr>
            <w:tcW w:w="1964" w:type="dxa"/>
          </w:tcPr>
          <w:p w14:paraId="503A4A42"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67" w:type="dxa"/>
          </w:tcPr>
          <w:p w14:paraId="673FA97B"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0BED4796" w14:textId="77777777">
        <w:trPr>
          <w:trHeight w:val="20"/>
        </w:trPr>
        <w:tc>
          <w:tcPr>
            <w:tcW w:w="2322" w:type="dxa"/>
            <w:vMerge w:val="restart"/>
          </w:tcPr>
          <w:p w14:paraId="4330B0DE"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Education level </w:t>
            </w:r>
          </w:p>
        </w:tc>
        <w:tc>
          <w:tcPr>
            <w:tcW w:w="2287" w:type="dxa"/>
          </w:tcPr>
          <w:p w14:paraId="3DFE0CD7"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Bachelors </w:t>
            </w:r>
          </w:p>
        </w:tc>
        <w:tc>
          <w:tcPr>
            <w:tcW w:w="1964" w:type="dxa"/>
          </w:tcPr>
          <w:p w14:paraId="563F65ED"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567" w:type="dxa"/>
          </w:tcPr>
          <w:p w14:paraId="59361C6C"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B01D46" w14:paraId="5B84997C" w14:textId="77777777">
        <w:trPr>
          <w:trHeight w:val="20"/>
        </w:trPr>
        <w:tc>
          <w:tcPr>
            <w:tcW w:w="2322" w:type="dxa"/>
            <w:vMerge/>
          </w:tcPr>
          <w:p w14:paraId="28DFEBA2" w14:textId="77777777" w:rsidR="00B01D46" w:rsidRDefault="00B01D46">
            <w:pPr>
              <w:spacing w:after="0"/>
              <w:ind w:right="65"/>
              <w:jc w:val="both"/>
              <w:rPr>
                <w:rFonts w:ascii="Times New Roman" w:eastAsia="Calibri" w:hAnsi="Times New Roman" w:cs="Times New Roman"/>
                <w:b/>
                <w:bCs/>
                <w:sz w:val="24"/>
                <w:szCs w:val="24"/>
              </w:rPr>
            </w:pPr>
          </w:p>
        </w:tc>
        <w:tc>
          <w:tcPr>
            <w:tcW w:w="2287" w:type="dxa"/>
          </w:tcPr>
          <w:p w14:paraId="315F6AC9"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Masters</w:t>
            </w:r>
          </w:p>
        </w:tc>
        <w:tc>
          <w:tcPr>
            <w:tcW w:w="1964" w:type="dxa"/>
          </w:tcPr>
          <w:p w14:paraId="34907F0E"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567" w:type="dxa"/>
          </w:tcPr>
          <w:p w14:paraId="2667145A"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100</w:t>
            </w:r>
          </w:p>
        </w:tc>
      </w:tr>
      <w:tr w:rsidR="00B01D46" w14:paraId="5521F925" w14:textId="77777777">
        <w:trPr>
          <w:trHeight w:val="20"/>
        </w:trPr>
        <w:tc>
          <w:tcPr>
            <w:tcW w:w="2322" w:type="dxa"/>
            <w:vMerge/>
          </w:tcPr>
          <w:p w14:paraId="09010D41" w14:textId="77777777" w:rsidR="00B01D46" w:rsidRDefault="00B01D46">
            <w:pPr>
              <w:spacing w:after="0"/>
              <w:ind w:right="65"/>
              <w:jc w:val="both"/>
              <w:rPr>
                <w:rFonts w:ascii="Times New Roman" w:eastAsia="Calibri" w:hAnsi="Times New Roman" w:cs="Times New Roman"/>
                <w:b/>
                <w:bCs/>
                <w:sz w:val="24"/>
                <w:szCs w:val="24"/>
              </w:rPr>
            </w:pPr>
          </w:p>
        </w:tc>
        <w:tc>
          <w:tcPr>
            <w:tcW w:w="2287" w:type="dxa"/>
          </w:tcPr>
          <w:p w14:paraId="08663CFA"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PhD</w:t>
            </w:r>
          </w:p>
        </w:tc>
        <w:tc>
          <w:tcPr>
            <w:tcW w:w="1964" w:type="dxa"/>
          </w:tcPr>
          <w:p w14:paraId="553DE570"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567" w:type="dxa"/>
          </w:tcPr>
          <w:p w14:paraId="4297D061"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B01D46" w14:paraId="503FD9F1" w14:textId="77777777">
        <w:trPr>
          <w:trHeight w:val="20"/>
        </w:trPr>
        <w:tc>
          <w:tcPr>
            <w:tcW w:w="2322" w:type="dxa"/>
            <w:vMerge w:val="restart"/>
          </w:tcPr>
          <w:p w14:paraId="135FED77"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Work experience </w:t>
            </w:r>
          </w:p>
        </w:tc>
        <w:tc>
          <w:tcPr>
            <w:tcW w:w="2287" w:type="dxa"/>
          </w:tcPr>
          <w:p w14:paraId="6225ACB8"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0-5 years </w:t>
            </w:r>
          </w:p>
        </w:tc>
        <w:tc>
          <w:tcPr>
            <w:tcW w:w="1964" w:type="dxa"/>
          </w:tcPr>
          <w:p w14:paraId="5A5FFB6A"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567" w:type="dxa"/>
          </w:tcPr>
          <w:p w14:paraId="2F3CF2EA"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B01D46" w14:paraId="086B238A" w14:textId="77777777">
        <w:trPr>
          <w:trHeight w:val="20"/>
        </w:trPr>
        <w:tc>
          <w:tcPr>
            <w:tcW w:w="2322" w:type="dxa"/>
            <w:vMerge/>
          </w:tcPr>
          <w:p w14:paraId="3C98D1B6" w14:textId="77777777" w:rsidR="00B01D46" w:rsidRDefault="00B01D46">
            <w:pPr>
              <w:spacing w:after="0"/>
              <w:ind w:right="65"/>
              <w:jc w:val="both"/>
              <w:rPr>
                <w:rFonts w:ascii="Times New Roman" w:eastAsia="Calibri" w:hAnsi="Times New Roman" w:cs="Times New Roman"/>
                <w:sz w:val="24"/>
                <w:szCs w:val="24"/>
              </w:rPr>
            </w:pPr>
          </w:p>
        </w:tc>
        <w:tc>
          <w:tcPr>
            <w:tcW w:w="2287" w:type="dxa"/>
          </w:tcPr>
          <w:p w14:paraId="4DB200D1"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5-10 years</w:t>
            </w:r>
          </w:p>
        </w:tc>
        <w:tc>
          <w:tcPr>
            <w:tcW w:w="1964" w:type="dxa"/>
          </w:tcPr>
          <w:p w14:paraId="40D639A0"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67" w:type="dxa"/>
          </w:tcPr>
          <w:p w14:paraId="756D97F2"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5498E5FF" w14:textId="77777777">
        <w:trPr>
          <w:trHeight w:val="20"/>
        </w:trPr>
        <w:tc>
          <w:tcPr>
            <w:tcW w:w="2322" w:type="dxa"/>
            <w:vMerge/>
          </w:tcPr>
          <w:p w14:paraId="113F2C18" w14:textId="77777777" w:rsidR="00B01D46" w:rsidRDefault="00B01D46">
            <w:pPr>
              <w:spacing w:after="0"/>
              <w:ind w:right="65"/>
              <w:jc w:val="both"/>
              <w:rPr>
                <w:rFonts w:ascii="Times New Roman" w:eastAsia="Calibri" w:hAnsi="Times New Roman" w:cs="Times New Roman"/>
                <w:sz w:val="24"/>
                <w:szCs w:val="24"/>
              </w:rPr>
            </w:pPr>
          </w:p>
        </w:tc>
        <w:tc>
          <w:tcPr>
            <w:tcW w:w="2287" w:type="dxa"/>
          </w:tcPr>
          <w:p w14:paraId="3F8B48B8"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10-15 years </w:t>
            </w:r>
          </w:p>
        </w:tc>
        <w:tc>
          <w:tcPr>
            <w:tcW w:w="1964" w:type="dxa"/>
          </w:tcPr>
          <w:p w14:paraId="5D7196EE"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567" w:type="dxa"/>
          </w:tcPr>
          <w:p w14:paraId="69B80B5D"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B01D46" w14:paraId="3B79A474" w14:textId="77777777">
        <w:trPr>
          <w:trHeight w:val="20"/>
        </w:trPr>
        <w:tc>
          <w:tcPr>
            <w:tcW w:w="2322" w:type="dxa"/>
            <w:vMerge/>
          </w:tcPr>
          <w:p w14:paraId="08BC411B" w14:textId="77777777" w:rsidR="00B01D46" w:rsidRDefault="00B01D46">
            <w:pPr>
              <w:spacing w:after="0"/>
              <w:ind w:right="65"/>
              <w:jc w:val="both"/>
              <w:rPr>
                <w:rFonts w:ascii="Times New Roman" w:eastAsia="Calibri" w:hAnsi="Times New Roman" w:cs="Times New Roman"/>
                <w:sz w:val="24"/>
                <w:szCs w:val="24"/>
              </w:rPr>
            </w:pPr>
          </w:p>
        </w:tc>
        <w:tc>
          <w:tcPr>
            <w:tcW w:w="2287" w:type="dxa"/>
          </w:tcPr>
          <w:p w14:paraId="391A57A4"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15-20 years </w:t>
            </w:r>
          </w:p>
        </w:tc>
        <w:tc>
          <w:tcPr>
            <w:tcW w:w="1964" w:type="dxa"/>
          </w:tcPr>
          <w:p w14:paraId="42A0F636"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567" w:type="dxa"/>
          </w:tcPr>
          <w:p w14:paraId="341241F8"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B01D46" w14:paraId="1B5DBF06" w14:textId="77777777">
        <w:trPr>
          <w:trHeight w:val="20"/>
        </w:trPr>
        <w:tc>
          <w:tcPr>
            <w:tcW w:w="2322" w:type="dxa"/>
            <w:vMerge/>
          </w:tcPr>
          <w:p w14:paraId="44A6DC6B" w14:textId="77777777" w:rsidR="00B01D46" w:rsidRDefault="00B01D46">
            <w:pPr>
              <w:spacing w:after="0"/>
              <w:ind w:right="65"/>
              <w:jc w:val="both"/>
              <w:rPr>
                <w:rFonts w:ascii="Times New Roman" w:eastAsia="Calibri" w:hAnsi="Times New Roman" w:cs="Times New Roman"/>
                <w:sz w:val="24"/>
                <w:szCs w:val="24"/>
              </w:rPr>
            </w:pPr>
          </w:p>
        </w:tc>
        <w:tc>
          <w:tcPr>
            <w:tcW w:w="2287" w:type="dxa"/>
          </w:tcPr>
          <w:p w14:paraId="5062CC63"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Over 20 years</w:t>
            </w:r>
          </w:p>
        </w:tc>
        <w:tc>
          <w:tcPr>
            <w:tcW w:w="1964" w:type="dxa"/>
          </w:tcPr>
          <w:p w14:paraId="7947D1CC"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67" w:type="dxa"/>
          </w:tcPr>
          <w:p w14:paraId="53486529"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bl>
    <w:p w14:paraId="7675F695" w14:textId="77777777" w:rsidR="00B01D46" w:rsidRDefault="0067013E">
      <w:pPr>
        <w:spacing w:after="120" w:line="240" w:lineRule="auto"/>
        <w:ind w:right="65"/>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Source: Field data (2021)</w:t>
      </w:r>
    </w:p>
    <w:p w14:paraId="2681B52E" w14:textId="77777777" w:rsidR="00B01D46" w:rsidRDefault="00B01D46">
      <w:pPr>
        <w:spacing w:before="120" w:after="0" w:line="240" w:lineRule="auto"/>
        <w:ind w:right="65"/>
        <w:jc w:val="both"/>
        <w:rPr>
          <w:rFonts w:ascii="Times New Roman" w:eastAsia="Calibri" w:hAnsi="Times New Roman" w:cs="Times New Roman"/>
          <w:sz w:val="24"/>
          <w:szCs w:val="24"/>
        </w:rPr>
      </w:pPr>
    </w:p>
    <w:p w14:paraId="591073B6"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respondents were asked to declare their gender. It was divulged that the University Librarians from the two institutions were male and female, representing 1 </w:t>
      </w:r>
      <w:r>
        <w:rPr>
          <w:rFonts w:ascii="Times New Roman" w:eastAsia="Calibri" w:hAnsi="Times New Roman" w:cs="Times New Roman"/>
          <w:sz w:val="24"/>
          <w:szCs w:val="24"/>
        </w:rPr>
        <w:lastRenderedPageBreak/>
        <w:t xml:space="preserve">(50%) respectively. Concerning academic qualifications, the two University librarians 2 (100 %) each had a master's degree. Regarding the work experience of the University librarians, the results showed that 1 (50%), had worked for over 20 years and another 1 (50%) had worked for amid 15 to 20 years. </w:t>
      </w:r>
      <w:bookmarkStart w:id="1271" w:name="_Toc165369224"/>
      <w:bookmarkStart w:id="1272" w:name="_Toc165363431"/>
      <w:bookmarkStart w:id="1273" w:name="_Toc164664037"/>
      <w:bookmarkStart w:id="1274" w:name="_Toc165365205"/>
      <w:bookmarkStart w:id="1275" w:name="_Toc165368408"/>
    </w:p>
    <w:p w14:paraId="6733EA53" w14:textId="77777777" w:rsidR="00B01D46" w:rsidRDefault="0067013E">
      <w:pPr>
        <w:pStyle w:val="Heading4"/>
      </w:pPr>
      <w:bookmarkStart w:id="1276" w:name="_Toc165973107"/>
      <w:bookmarkStart w:id="1277" w:name="_Toc165975828"/>
      <w:bookmarkStart w:id="1278" w:name="_Toc184272919"/>
      <w:r>
        <w:t>5.3.3.2 Demographic Data of Head Medical Librarians</w:t>
      </w:r>
      <w:bookmarkEnd w:id="1271"/>
      <w:bookmarkEnd w:id="1272"/>
      <w:bookmarkEnd w:id="1273"/>
      <w:bookmarkEnd w:id="1274"/>
      <w:bookmarkEnd w:id="1275"/>
      <w:bookmarkEnd w:id="1276"/>
      <w:bookmarkEnd w:id="1277"/>
      <w:bookmarkEnd w:id="1278"/>
    </w:p>
    <w:p w14:paraId="4DB170DB" w14:textId="77777777" w:rsidR="00B01D46" w:rsidRDefault="0067013E">
      <w:pPr>
        <w:pStyle w:val="Caption"/>
      </w:pPr>
      <w:bookmarkStart w:id="1279" w:name="_Toc165973108"/>
      <w:bookmarkStart w:id="1280" w:name="_Hlk159792018"/>
      <w:bookmarkStart w:id="1281" w:name="_Toc165363432"/>
      <w:bookmarkStart w:id="1282" w:name="_Toc165975829"/>
      <w:bookmarkStart w:id="1283" w:name="_Toc165365206"/>
      <w:bookmarkStart w:id="1284" w:name="_Toc184271994"/>
      <w:bookmarkStart w:id="1285" w:name="_Toc184276904"/>
      <w:r>
        <w:t>Table 5.5: Head Medical Librarians Demographics Data</w:t>
      </w:r>
      <w:bookmarkStart w:id="1286" w:name="_Hlk159792368"/>
      <w:bookmarkEnd w:id="1279"/>
      <w:bookmarkEnd w:id="1280"/>
      <w:bookmarkEnd w:id="1281"/>
      <w:bookmarkEnd w:id="1282"/>
      <w:bookmarkEnd w:id="1283"/>
      <w:r>
        <w:t xml:space="preserve"> (n=2)</w:t>
      </w:r>
      <w:bookmarkEnd w:id="1284"/>
      <w:bookmarkEnd w:id="1285"/>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91"/>
        <w:gridCol w:w="2256"/>
        <w:gridCol w:w="1937"/>
        <w:gridCol w:w="1546"/>
      </w:tblGrid>
      <w:tr w:rsidR="00B01D46" w14:paraId="477A6D1F" w14:textId="77777777">
        <w:trPr>
          <w:trHeight w:val="590"/>
        </w:trPr>
        <w:tc>
          <w:tcPr>
            <w:tcW w:w="2291" w:type="dxa"/>
          </w:tcPr>
          <w:p w14:paraId="2B436152"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Biographical Information</w:t>
            </w:r>
          </w:p>
        </w:tc>
        <w:tc>
          <w:tcPr>
            <w:tcW w:w="2256" w:type="dxa"/>
          </w:tcPr>
          <w:p w14:paraId="52F93F82"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Categories </w:t>
            </w:r>
          </w:p>
        </w:tc>
        <w:tc>
          <w:tcPr>
            <w:tcW w:w="1937" w:type="dxa"/>
          </w:tcPr>
          <w:p w14:paraId="3F064B53"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Frequency</w:t>
            </w:r>
          </w:p>
        </w:tc>
        <w:tc>
          <w:tcPr>
            <w:tcW w:w="1546" w:type="dxa"/>
          </w:tcPr>
          <w:p w14:paraId="6F84749C"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Percentage</w:t>
            </w:r>
          </w:p>
        </w:tc>
      </w:tr>
      <w:tr w:rsidR="00B01D46" w14:paraId="1A3E4DC7" w14:textId="77777777">
        <w:trPr>
          <w:trHeight w:val="295"/>
        </w:trPr>
        <w:tc>
          <w:tcPr>
            <w:tcW w:w="2291" w:type="dxa"/>
            <w:vMerge w:val="restart"/>
          </w:tcPr>
          <w:p w14:paraId="3EB92032"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University </w:t>
            </w:r>
          </w:p>
        </w:tc>
        <w:tc>
          <w:tcPr>
            <w:tcW w:w="2256" w:type="dxa"/>
          </w:tcPr>
          <w:p w14:paraId="5F14E126"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Moi University</w:t>
            </w:r>
          </w:p>
        </w:tc>
        <w:tc>
          <w:tcPr>
            <w:tcW w:w="1937" w:type="dxa"/>
          </w:tcPr>
          <w:p w14:paraId="3F0E577B"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46" w:type="dxa"/>
          </w:tcPr>
          <w:p w14:paraId="243EDA02"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3C26CCCA" w14:textId="77777777">
        <w:trPr>
          <w:trHeight w:val="317"/>
        </w:trPr>
        <w:tc>
          <w:tcPr>
            <w:tcW w:w="2291" w:type="dxa"/>
            <w:vMerge/>
          </w:tcPr>
          <w:p w14:paraId="633A96F8" w14:textId="77777777" w:rsidR="00B01D46" w:rsidRDefault="00B01D46">
            <w:pPr>
              <w:spacing w:after="0"/>
              <w:ind w:right="65"/>
              <w:jc w:val="both"/>
              <w:rPr>
                <w:rFonts w:ascii="Times New Roman" w:eastAsia="Calibri" w:hAnsi="Times New Roman" w:cs="Times New Roman"/>
                <w:b/>
                <w:bCs/>
                <w:sz w:val="24"/>
                <w:szCs w:val="24"/>
              </w:rPr>
            </w:pPr>
          </w:p>
        </w:tc>
        <w:tc>
          <w:tcPr>
            <w:tcW w:w="2256" w:type="dxa"/>
          </w:tcPr>
          <w:p w14:paraId="59BE9377"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UON</w:t>
            </w:r>
          </w:p>
        </w:tc>
        <w:tc>
          <w:tcPr>
            <w:tcW w:w="1937" w:type="dxa"/>
          </w:tcPr>
          <w:p w14:paraId="7F2C213B"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46" w:type="dxa"/>
          </w:tcPr>
          <w:p w14:paraId="5B03CEF1"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46E37355" w14:textId="77777777">
        <w:trPr>
          <w:trHeight w:val="295"/>
        </w:trPr>
        <w:tc>
          <w:tcPr>
            <w:tcW w:w="2291" w:type="dxa"/>
            <w:vMerge w:val="restart"/>
          </w:tcPr>
          <w:p w14:paraId="378B4809"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Gender </w:t>
            </w:r>
          </w:p>
        </w:tc>
        <w:tc>
          <w:tcPr>
            <w:tcW w:w="2256" w:type="dxa"/>
          </w:tcPr>
          <w:p w14:paraId="75575543"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Male</w:t>
            </w:r>
          </w:p>
        </w:tc>
        <w:tc>
          <w:tcPr>
            <w:tcW w:w="1937" w:type="dxa"/>
          </w:tcPr>
          <w:p w14:paraId="326EDCEF"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46" w:type="dxa"/>
          </w:tcPr>
          <w:p w14:paraId="621E7E62"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1348ACCE" w14:textId="77777777">
        <w:trPr>
          <w:trHeight w:val="317"/>
        </w:trPr>
        <w:tc>
          <w:tcPr>
            <w:tcW w:w="2291" w:type="dxa"/>
            <w:vMerge/>
          </w:tcPr>
          <w:p w14:paraId="1ECC55C7" w14:textId="77777777" w:rsidR="00B01D46" w:rsidRDefault="00B01D46">
            <w:pPr>
              <w:spacing w:after="0"/>
              <w:ind w:right="65"/>
              <w:jc w:val="both"/>
              <w:rPr>
                <w:rFonts w:ascii="Times New Roman" w:eastAsia="Calibri" w:hAnsi="Times New Roman" w:cs="Times New Roman"/>
                <w:b/>
                <w:bCs/>
                <w:sz w:val="24"/>
                <w:szCs w:val="24"/>
              </w:rPr>
            </w:pPr>
          </w:p>
        </w:tc>
        <w:tc>
          <w:tcPr>
            <w:tcW w:w="2256" w:type="dxa"/>
          </w:tcPr>
          <w:p w14:paraId="20037B3A"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Female</w:t>
            </w:r>
          </w:p>
        </w:tc>
        <w:tc>
          <w:tcPr>
            <w:tcW w:w="1937" w:type="dxa"/>
          </w:tcPr>
          <w:p w14:paraId="409B21EF"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46" w:type="dxa"/>
          </w:tcPr>
          <w:p w14:paraId="1A719AB4"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7F72AD1F" w14:textId="77777777">
        <w:trPr>
          <w:trHeight w:val="295"/>
        </w:trPr>
        <w:tc>
          <w:tcPr>
            <w:tcW w:w="2291" w:type="dxa"/>
            <w:vMerge w:val="restart"/>
          </w:tcPr>
          <w:p w14:paraId="661A2443"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Education level </w:t>
            </w:r>
          </w:p>
        </w:tc>
        <w:tc>
          <w:tcPr>
            <w:tcW w:w="2256" w:type="dxa"/>
          </w:tcPr>
          <w:p w14:paraId="13EE1ED8"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Bachelors </w:t>
            </w:r>
          </w:p>
        </w:tc>
        <w:tc>
          <w:tcPr>
            <w:tcW w:w="1937" w:type="dxa"/>
          </w:tcPr>
          <w:p w14:paraId="31220BA7"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546" w:type="dxa"/>
          </w:tcPr>
          <w:p w14:paraId="0225CE94"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B01D46" w14:paraId="1822712D" w14:textId="77777777">
        <w:trPr>
          <w:trHeight w:val="317"/>
        </w:trPr>
        <w:tc>
          <w:tcPr>
            <w:tcW w:w="2291" w:type="dxa"/>
            <w:vMerge/>
          </w:tcPr>
          <w:p w14:paraId="6D6888A7" w14:textId="77777777" w:rsidR="00B01D46" w:rsidRDefault="00B01D46">
            <w:pPr>
              <w:spacing w:after="0"/>
              <w:ind w:right="65"/>
              <w:jc w:val="both"/>
              <w:rPr>
                <w:rFonts w:ascii="Times New Roman" w:eastAsia="Calibri" w:hAnsi="Times New Roman" w:cs="Times New Roman"/>
                <w:b/>
                <w:bCs/>
                <w:sz w:val="24"/>
                <w:szCs w:val="24"/>
              </w:rPr>
            </w:pPr>
          </w:p>
        </w:tc>
        <w:tc>
          <w:tcPr>
            <w:tcW w:w="2256" w:type="dxa"/>
          </w:tcPr>
          <w:p w14:paraId="5E4F7251"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Masters</w:t>
            </w:r>
          </w:p>
        </w:tc>
        <w:tc>
          <w:tcPr>
            <w:tcW w:w="1937" w:type="dxa"/>
          </w:tcPr>
          <w:p w14:paraId="28E16CD0"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546" w:type="dxa"/>
          </w:tcPr>
          <w:p w14:paraId="6B1823CD"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100</w:t>
            </w:r>
          </w:p>
        </w:tc>
      </w:tr>
      <w:tr w:rsidR="00B01D46" w14:paraId="5F014971" w14:textId="77777777">
        <w:trPr>
          <w:trHeight w:val="317"/>
        </w:trPr>
        <w:tc>
          <w:tcPr>
            <w:tcW w:w="2291" w:type="dxa"/>
            <w:vMerge/>
          </w:tcPr>
          <w:p w14:paraId="7C5C8F01" w14:textId="77777777" w:rsidR="00B01D46" w:rsidRDefault="00B01D46">
            <w:pPr>
              <w:spacing w:after="0"/>
              <w:ind w:right="65"/>
              <w:jc w:val="both"/>
              <w:rPr>
                <w:rFonts w:ascii="Times New Roman" w:eastAsia="Calibri" w:hAnsi="Times New Roman" w:cs="Times New Roman"/>
                <w:b/>
                <w:bCs/>
                <w:sz w:val="24"/>
                <w:szCs w:val="24"/>
              </w:rPr>
            </w:pPr>
          </w:p>
        </w:tc>
        <w:tc>
          <w:tcPr>
            <w:tcW w:w="2256" w:type="dxa"/>
          </w:tcPr>
          <w:p w14:paraId="05E71A65"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PhD</w:t>
            </w:r>
          </w:p>
        </w:tc>
        <w:tc>
          <w:tcPr>
            <w:tcW w:w="1937" w:type="dxa"/>
          </w:tcPr>
          <w:p w14:paraId="0DEC4014"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546" w:type="dxa"/>
          </w:tcPr>
          <w:p w14:paraId="3B62F943"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B01D46" w14:paraId="367A6A3D" w14:textId="77777777">
        <w:trPr>
          <w:trHeight w:val="272"/>
        </w:trPr>
        <w:tc>
          <w:tcPr>
            <w:tcW w:w="2291" w:type="dxa"/>
            <w:vMerge w:val="restart"/>
          </w:tcPr>
          <w:p w14:paraId="4F6B668A" w14:textId="77777777" w:rsidR="00B01D46" w:rsidRDefault="0067013E">
            <w:pPr>
              <w:spacing w:after="0"/>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Work experience </w:t>
            </w:r>
          </w:p>
        </w:tc>
        <w:tc>
          <w:tcPr>
            <w:tcW w:w="2256" w:type="dxa"/>
          </w:tcPr>
          <w:p w14:paraId="6649AAF3"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0-5 years </w:t>
            </w:r>
          </w:p>
        </w:tc>
        <w:tc>
          <w:tcPr>
            <w:tcW w:w="1937" w:type="dxa"/>
          </w:tcPr>
          <w:p w14:paraId="33301EEB"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546" w:type="dxa"/>
          </w:tcPr>
          <w:p w14:paraId="581EF3C3"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B01D46" w14:paraId="490B6549" w14:textId="77777777">
        <w:trPr>
          <w:trHeight w:val="317"/>
        </w:trPr>
        <w:tc>
          <w:tcPr>
            <w:tcW w:w="2291" w:type="dxa"/>
            <w:vMerge/>
          </w:tcPr>
          <w:p w14:paraId="114A7D4E" w14:textId="77777777" w:rsidR="00B01D46" w:rsidRDefault="00B01D46">
            <w:pPr>
              <w:spacing w:after="0"/>
              <w:ind w:right="65"/>
              <w:jc w:val="both"/>
              <w:rPr>
                <w:rFonts w:ascii="Times New Roman" w:eastAsia="Calibri" w:hAnsi="Times New Roman" w:cs="Times New Roman"/>
                <w:sz w:val="24"/>
                <w:szCs w:val="24"/>
              </w:rPr>
            </w:pPr>
          </w:p>
        </w:tc>
        <w:tc>
          <w:tcPr>
            <w:tcW w:w="2256" w:type="dxa"/>
          </w:tcPr>
          <w:p w14:paraId="71B5D653"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5-10 years</w:t>
            </w:r>
          </w:p>
        </w:tc>
        <w:tc>
          <w:tcPr>
            <w:tcW w:w="1937" w:type="dxa"/>
          </w:tcPr>
          <w:p w14:paraId="67EC28CF"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46" w:type="dxa"/>
          </w:tcPr>
          <w:p w14:paraId="69E67460"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4BAAD3B7" w14:textId="77777777">
        <w:trPr>
          <w:trHeight w:val="317"/>
        </w:trPr>
        <w:tc>
          <w:tcPr>
            <w:tcW w:w="2291" w:type="dxa"/>
            <w:vMerge/>
          </w:tcPr>
          <w:p w14:paraId="55397643" w14:textId="77777777" w:rsidR="00B01D46" w:rsidRDefault="00B01D46">
            <w:pPr>
              <w:spacing w:after="0"/>
              <w:ind w:right="65"/>
              <w:jc w:val="both"/>
              <w:rPr>
                <w:rFonts w:ascii="Times New Roman" w:eastAsia="Calibri" w:hAnsi="Times New Roman" w:cs="Times New Roman"/>
                <w:sz w:val="24"/>
                <w:szCs w:val="24"/>
              </w:rPr>
            </w:pPr>
          </w:p>
        </w:tc>
        <w:tc>
          <w:tcPr>
            <w:tcW w:w="2256" w:type="dxa"/>
          </w:tcPr>
          <w:p w14:paraId="187AD2E4"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10-15 years </w:t>
            </w:r>
          </w:p>
        </w:tc>
        <w:tc>
          <w:tcPr>
            <w:tcW w:w="1937" w:type="dxa"/>
          </w:tcPr>
          <w:p w14:paraId="3AF9338B"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546" w:type="dxa"/>
          </w:tcPr>
          <w:p w14:paraId="053B369D"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B01D46" w14:paraId="22464A2A" w14:textId="77777777">
        <w:trPr>
          <w:trHeight w:val="317"/>
        </w:trPr>
        <w:tc>
          <w:tcPr>
            <w:tcW w:w="2291" w:type="dxa"/>
            <w:vMerge/>
          </w:tcPr>
          <w:p w14:paraId="7388F389" w14:textId="77777777" w:rsidR="00B01D46" w:rsidRDefault="00B01D46">
            <w:pPr>
              <w:spacing w:after="0"/>
              <w:ind w:right="65"/>
              <w:jc w:val="both"/>
              <w:rPr>
                <w:rFonts w:ascii="Times New Roman" w:eastAsia="Calibri" w:hAnsi="Times New Roman" w:cs="Times New Roman"/>
                <w:sz w:val="24"/>
                <w:szCs w:val="24"/>
              </w:rPr>
            </w:pPr>
          </w:p>
        </w:tc>
        <w:tc>
          <w:tcPr>
            <w:tcW w:w="2256" w:type="dxa"/>
          </w:tcPr>
          <w:p w14:paraId="67F3C9BA"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15-20 years </w:t>
            </w:r>
          </w:p>
        </w:tc>
        <w:tc>
          <w:tcPr>
            <w:tcW w:w="1937" w:type="dxa"/>
          </w:tcPr>
          <w:p w14:paraId="0E8EC143"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546" w:type="dxa"/>
          </w:tcPr>
          <w:p w14:paraId="1598CEE8"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B01D46" w14:paraId="308247FD" w14:textId="77777777">
        <w:trPr>
          <w:trHeight w:val="317"/>
        </w:trPr>
        <w:tc>
          <w:tcPr>
            <w:tcW w:w="2291" w:type="dxa"/>
            <w:vMerge/>
          </w:tcPr>
          <w:p w14:paraId="7D97E35A" w14:textId="77777777" w:rsidR="00B01D46" w:rsidRDefault="00B01D46">
            <w:pPr>
              <w:spacing w:after="0"/>
              <w:ind w:right="65"/>
              <w:jc w:val="both"/>
              <w:rPr>
                <w:rFonts w:ascii="Times New Roman" w:eastAsia="Calibri" w:hAnsi="Times New Roman" w:cs="Times New Roman"/>
                <w:sz w:val="24"/>
                <w:szCs w:val="24"/>
              </w:rPr>
            </w:pPr>
          </w:p>
        </w:tc>
        <w:tc>
          <w:tcPr>
            <w:tcW w:w="2256" w:type="dxa"/>
          </w:tcPr>
          <w:p w14:paraId="46F9F971"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Over 20 years</w:t>
            </w:r>
          </w:p>
        </w:tc>
        <w:tc>
          <w:tcPr>
            <w:tcW w:w="1937" w:type="dxa"/>
          </w:tcPr>
          <w:p w14:paraId="7EE346BA"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46" w:type="dxa"/>
          </w:tcPr>
          <w:p w14:paraId="701D563D" w14:textId="77777777" w:rsidR="00B01D46" w:rsidRDefault="0067013E">
            <w:pPr>
              <w:spacing w:after="0"/>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bl>
    <w:p w14:paraId="1110890F" w14:textId="77777777" w:rsidR="00B01D46" w:rsidRDefault="0067013E">
      <w:pPr>
        <w:spacing w:after="120" w:line="240" w:lineRule="auto"/>
        <w:ind w:right="65"/>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Source: Field data (2021)</w:t>
      </w:r>
    </w:p>
    <w:bookmarkEnd w:id="1286"/>
    <w:p w14:paraId="4266B740" w14:textId="77777777" w:rsidR="00B01D46" w:rsidRDefault="00B01D46">
      <w:pPr>
        <w:spacing w:before="120" w:after="0" w:line="240" w:lineRule="auto"/>
        <w:ind w:right="65"/>
        <w:jc w:val="both"/>
        <w:rPr>
          <w:rFonts w:ascii="Times New Roman" w:eastAsia="Calibri" w:hAnsi="Times New Roman" w:cs="Times New Roman"/>
          <w:b/>
          <w:bCs/>
          <w:sz w:val="24"/>
          <w:szCs w:val="24"/>
        </w:rPr>
      </w:pPr>
    </w:p>
    <w:p w14:paraId="7990F1EE"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study findings revealed that 1 (50%) and 1(50%) of Head Medical Librarians were male and female respectively. The study results further, established that 2 (100%) of the participants have Masters degree.  Regarding work experience, the findings indicate that 1 (50%) of the respondent had work experience of over 20 years while 1(50%) had a work experience of between 5 to 10 years. This indicates that they have adequate experience in matters of ILS.</w:t>
      </w:r>
    </w:p>
    <w:p w14:paraId="489E35F1" w14:textId="77777777" w:rsidR="00B01D46" w:rsidRDefault="0067013E">
      <w:pPr>
        <w:spacing w:after="0" w:line="240" w:lineRule="auto"/>
        <w:rPr>
          <w:rFonts w:ascii="Times New Roman" w:eastAsiaTheme="majorEastAsia" w:hAnsi="Times New Roman" w:cstheme="majorBidi"/>
          <w:b/>
          <w:iCs/>
          <w:color w:val="000000" w:themeColor="text1"/>
          <w:sz w:val="24"/>
        </w:rPr>
      </w:pPr>
      <w:bookmarkStart w:id="1287" w:name="_Toc165365207"/>
      <w:bookmarkStart w:id="1288" w:name="_Toc165973109"/>
      <w:bookmarkStart w:id="1289" w:name="_Toc165369226"/>
      <w:bookmarkStart w:id="1290" w:name="_Toc165975830"/>
      <w:bookmarkStart w:id="1291" w:name="_Toc165368410"/>
      <w:bookmarkStart w:id="1292" w:name="_Toc165363433"/>
      <w:bookmarkStart w:id="1293" w:name="_Toc164664038"/>
      <w:r>
        <w:br w:type="page"/>
      </w:r>
    </w:p>
    <w:p w14:paraId="78882967" w14:textId="77777777" w:rsidR="00B01D46" w:rsidRDefault="0067013E">
      <w:pPr>
        <w:pStyle w:val="Heading4"/>
      </w:pPr>
      <w:bookmarkStart w:id="1294" w:name="_Toc184272920"/>
      <w:r>
        <w:lastRenderedPageBreak/>
        <w:t>5.3.3.3 Demographic data of Head of Departments</w:t>
      </w:r>
      <w:bookmarkEnd w:id="1287"/>
      <w:bookmarkEnd w:id="1288"/>
      <w:bookmarkEnd w:id="1289"/>
      <w:bookmarkEnd w:id="1290"/>
      <w:bookmarkEnd w:id="1291"/>
      <w:bookmarkEnd w:id="1292"/>
      <w:bookmarkEnd w:id="1293"/>
      <w:bookmarkEnd w:id="1294"/>
    </w:p>
    <w:p w14:paraId="1AA93FDE" w14:textId="77777777" w:rsidR="00B01D46" w:rsidRDefault="0067013E">
      <w:pPr>
        <w:pStyle w:val="Caption"/>
      </w:pPr>
      <w:bookmarkStart w:id="1295" w:name="_Toc165363434"/>
      <w:bookmarkStart w:id="1296" w:name="_Toc165365208"/>
      <w:bookmarkStart w:id="1297" w:name="_Toc165975831"/>
      <w:bookmarkStart w:id="1298" w:name="_Toc165973110"/>
      <w:bookmarkStart w:id="1299" w:name="_Toc184271995"/>
      <w:bookmarkStart w:id="1300" w:name="_Toc184276905"/>
      <w:bookmarkStart w:id="1301" w:name="_Hlk159792623"/>
      <w:r>
        <w:t>Table 5.6: Head of Departments Demographics Data</w:t>
      </w:r>
      <w:bookmarkEnd w:id="1295"/>
      <w:bookmarkEnd w:id="1296"/>
      <w:bookmarkEnd w:id="1297"/>
      <w:bookmarkEnd w:id="1298"/>
      <w:r>
        <w:t xml:space="preserve"> (n=6)</w:t>
      </w:r>
      <w:bookmarkEnd w:id="1299"/>
      <w:bookmarkEnd w:id="1300"/>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158"/>
        <w:gridCol w:w="2077"/>
        <w:gridCol w:w="1830"/>
        <w:gridCol w:w="1855"/>
      </w:tblGrid>
      <w:tr w:rsidR="00B01D46" w14:paraId="7FF159DB" w14:textId="77777777">
        <w:trPr>
          <w:trHeight w:val="20"/>
        </w:trPr>
        <w:tc>
          <w:tcPr>
            <w:tcW w:w="2158" w:type="dxa"/>
          </w:tcPr>
          <w:bookmarkEnd w:id="1301"/>
          <w:p w14:paraId="6A03ED68" w14:textId="77777777" w:rsidR="00B01D46" w:rsidRDefault="0067013E">
            <w:pPr>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Biographical Information</w:t>
            </w:r>
          </w:p>
        </w:tc>
        <w:tc>
          <w:tcPr>
            <w:tcW w:w="2077" w:type="dxa"/>
          </w:tcPr>
          <w:p w14:paraId="33B78CBE" w14:textId="77777777" w:rsidR="00B01D46" w:rsidRDefault="0067013E">
            <w:pPr>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Categories </w:t>
            </w:r>
          </w:p>
        </w:tc>
        <w:tc>
          <w:tcPr>
            <w:tcW w:w="1830" w:type="dxa"/>
          </w:tcPr>
          <w:p w14:paraId="239F2653" w14:textId="77777777" w:rsidR="00B01D46" w:rsidRDefault="0067013E">
            <w:pPr>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Frequency</w:t>
            </w:r>
          </w:p>
        </w:tc>
        <w:tc>
          <w:tcPr>
            <w:tcW w:w="1855" w:type="dxa"/>
          </w:tcPr>
          <w:p w14:paraId="2B8DF4B4" w14:textId="77777777" w:rsidR="00B01D46" w:rsidRDefault="0067013E">
            <w:pPr>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Percentage</w:t>
            </w:r>
          </w:p>
        </w:tc>
      </w:tr>
      <w:tr w:rsidR="00B01D46" w14:paraId="5292D7C8" w14:textId="77777777">
        <w:trPr>
          <w:trHeight w:val="20"/>
        </w:trPr>
        <w:tc>
          <w:tcPr>
            <w:tcW w:w="2158" w:type="dxa"/>
            <w:vMerge w:val="restart"/>
          </w:tcPr>
          <w:p w14:paraId="691116CD" w14:textId="77777777" w:rsidR="00B01D46" w:rsidRDefault="0067013E">
            <w:pPr>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University </w:t>
            </w:r>
          </w:p>
        </w:tc>
        <w:tc>
          <w:tcPr>
            <w:tcW w:w="2077" w:type="dxa"/>
          </w:tcPr>
          <w:p w14:paraId="4FA49435"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Moi University</w:t>
            </w:r>
          </w:p>
        </w:tc>
        <w:tc>
          <w:tcPr>
            <w:tcW w:w="1830" w:type="dxa"/>
          </w:tcPr>
          <w:p w14:paraId="77D69802"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855" w:type="dxa"/>
          </w:tcPr>
          <w:p w14:paraId="7E926DFF"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7C05AE5E" w14:textId="77777777">
        <w:trPr>
          <w:trHeight w:val="20"/>
        </w:trPr>
        <w:tc>
          <w:tcPr>
            <w:tcW w:w="2158" w:type="dxa"/>
            <w:vMerge/>
          </w:tcPr>
          <w:p w14:paraId="666CEF24" w14:textId="77777777" w:rsidR="00B01D46" w:rsidRDefault="00B01D46">
            <w:pPr>
              <w:ind w:right="65"/>
              <w:jc w:val="both"/>
              <w:rPr>
                <w:rFonts w:ascii="Times New Roman" w:eastAsia="Calibri" w:hAnsi="Times New Roman" w:cs="Times New Roman"/>
                <w:b/>
                <w:bCs/>
                <w:sz w:val="24"/>
                <w:szCs w:val="24"/>
              </w:rPr>
            </w:pPr>
          </w:p>
        </w:tc>
        <w:tc>
          <w:tcPr>
            <w:tcW w:w="2077" w:type="dxa"/>
          </w:tcPr>
          <w:p w14:paraId="7C1F2FF6"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UON</w:t>
            </w:r>
          </w:p>
        </w:tc>
        <w:tc>
          <w:tcPr>
            <w:tcW w:w="1830" w:type="dxa"/>
          </w:tcPr>
          <w:p w14:paraId="537FE22F"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855" w:type="dxa"/>
          </w:tcPr>
          <w:p w14:paraId="6C14FB9D"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B01D46" w14:paraId="1B44D175" w14:textId="77777777">
        <w:trPr>
          <w:trHeight w:val="20"/>
        </w:trPr>
        <w:tc>
          <w:tcPr>
            <w:tcW w:w="2158" w:type="dxa"/>
            <w:vMerge w:val="restart"/>
          </w:tcPr>
          <w:p w14:paraId="00FF4191" w14:textId="77777777" w:rsidR="00B01D46" w:rsidRDefault="0067013E">
            <w:pPr>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Gender </w:t>
            </w:r>
          </w:p>
        </w:tc>
        <w:tc>
          <w:tcPr>
            <w:tcW w:w="2077" w:type="dxa"/>
          </w:tcPr>
          <w:p w14:paraId="5B82FD10"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Male</w:t>
            </w:r>
          </w:p>
        </w:tc>
        <w:tc>
          <w:tcPr>
            <w:tcW w:w="1830" w:type="dxa"/>
          </w:tcPr>
          <w:p w14:paraId="4B334127"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1855" w:type="dxa"/>
          </w:tcPr>
          <w:p w14:paraId="08576185"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66.7</w:t>
            </w:r>
          </w:p>
        </w:tc>
      </w:tr>
      <w:tr w:rsidR="00B01D46" w14:paraId="519AC597" w14:textId="77777777">
        <w:trPr>
          <w:trHeight w:val="20"/>
        </w:trPr>
        <w:tc>
          <w:tcPr>
            <w:tcW w:w="2158" w:type="dxa"/>
            <w:vMerge/>
          </w:tcPr>
          <w:p w14:paraId="3A243A70" w14:textId="77777777" w:rsidR="00B01D46" w:rsidRDefault="00B01D46">
            <w:pPr>
              <w:ind w:right="65"/>
              <w:jc w:val="both"/>
              <w:rPr>
                <w:rFonts w:ascii="Times New Roman" w:eastAsia="Calibri" w:hAnsi="Times New Roman" w:cs="Times New Roman"/>
                <w:b/>
                <w:bCs/>
                <w:sz w:val="24"/>
                <w:szCs w:val="24"/>
              </w:rPr>
            </w:pPr>
          </w:p>
        </w:tc>
        <w:tc>
          <w:tcPr>
            <w:tcW w:w="2077" w:type="dxa"/>
          </w:tcPr>
          <w:p w14:paraId="1AE2B8BA"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Female</w:t>
            </w:r>
          </w:p>
        </w:tc>
        <w:tc>
          <w:tcPr>
            <w:tcW w:w="1830" w:type="dxa"/>
          </w:tcPr>
          <w:p w14:paraId="06D5697A"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855" w:type="dxa"/>
          </w:tcPr>
          <w:p w14:paraId="443C1FBF"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33.35</w:t>
            </w:r>
          </w:p>
        </w:tc>
      </w:tr>
      <w:tr w:rsidR="00B01D46" w14:paraId="0F317A02" w14:textId="77777777">
        <w:trPr>
          <w:trHeight w:val="20"/>
        </w:trPr>
        <w:tc>
          <w:tcPr>
            <w:tcW w:w="2158" w:type="dxa"/>
            <w:vMerge w:val="restart"/>
          </w:tcPr>
          <w:p w14:paraId="399B1E94" w14:textId="77777777" w:rsidR="00B01D46" w:rsidRDefault="0067013E">
            <w:pPr>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Education level </w:t>
            </w:r>
          </w:p>
        </w:tc>
        <w:tc>
          <w:tcPr>
            <w:tcW w:w="2077" w:type="dxa"/>
          </w:tcPr>
          <w:p w14:paraId="0EF0DCC0"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Bachelors </w:t>
            </w:r>
          </w:p>
        </w:tc>
        <w:tc>
          <w:tcPr>
            <w:tcW w:w="1830" w:type="dxa"/>
          </w:tcPr>
          <w:p w14:paraId="49516214"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855" w:type="dxa"/>
          </w:tcPr>
          <w:p w14:paraId="522C792C"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0</w:t>
            </w:r>
          </w:p>
        </w:tc>
      </w:tr>
      <w:tr w:rsidR="00B01D46" w14:paraId="008E6C4A" w14:textId="77777777">
        <w:trPr>
          <w:trHeight w:val="20"/>
        </w:trPr>
        <w:tc>
          <w:tcPr>
            <w:tcW w:w="2158" w:type="dxa"/>
            <w:vMerge/>
          </w:tcPr>
          <w:p w14:paraId="78225D37" w14:textId="77777777" w:rsidR="00B01D46" w:rsidRDefault="00B01D46">
            <w:pPr>
              <w:ind w:right="65"/>
              <w:jc w:val="both"/>
              <w:rPr>
                <w:rFonts w:ascii="Times New Roman" w:eastAsia="Calibri" w:hAnsi="Times New Roman" w:cs="Times New Roman"/>
                <w:b/>
                <w:bCs/>
                <w:sz w:val="24"/>
                <w:szCs w:val="24"/>
              </w:rPr>
            </w:pPr>
          </w:p>
        </w:tc>
        <w:tc>
          <w:tcPr>
            <w:tcW w:w="2077" w:type="dxa"/>
          </w:tcPr>
          <w:p w14:paraId="595EF38D"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Masters </w:t>
            </w:r>
          </w:p>
        </w:tc>
        <w:tc>
          <w:tcPr>
            <w:tcW w:w="1830" w:type="dxa"/>
          </w:tcPr>
          <w:p w14:paraId="2AB249B5"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855" w:type="dxa"/>
          </w:tcPr>
          <w:p w14:paraId="14C2644C"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16.7</w:t>
            </w:r>
          </w:p>
        </w:tc>
      </w:tr>
      <w:tr w:rsidR="00B01D46" w14:paraId="21D38BEE" w14:textId="77777777">
        <w:trPr>
          <w:trHeight w:val="20"/>
        </w:trPr>
        <w:tc>
          <w:tcPr>
            <w:tcW w:w="2158" w:type="dxa"/>
            <w:vMerge/>
          </w:tcPr>
          <w:p w14:paraId="72DCFA98" w14:textId="77777777" w:rsidR="00B01D46" w:rsidRDefault="00B01D46">
            <w:pPr>
              <w:ind w:right="65"/>
              <w:jc w:val="both"/>
              <w:rPr>
                <w:rFonts w:ascii="Times New Roman" w:eastAsia="Calibri" w:hAnsi="Times New Roman" w:cs="Times New Roman"/>
                <w:b/>
                <w:bCs/>
                <w:sz w:val="24"/>
                <w:szCs w:val="24"/>
              </w:rPr>
            </w:pPr>
          </w:p>
        </w:tc>
        <w:tc>
          <w:tcPr>
            <w:tcW w:w="2077" w:type="dxa"/>
          </w:tcPr>
          <w:p w14:paraId="22867D67"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PhD</w:t>
            </w:r>
          </w:p>
        </w:tc>
        <w:tc>
          <w:tcPr>
            <w:tcW w:w="1830" w:type="dxa"/>
          </w:tcPr>
          <w:p w14:paraId="1C8591E4"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855" w:type="dxa"/>
          </w:tcPr>
          <w:p w14:paraId="4B3A9784"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83.3</w:t>
            </w:r>
          </w:p>
        </w:tc>
      </w:tr>
      <w:tr w:rsidR="00B01D46" w14:paraId="7B765C09" w14:textId="77777777">
        <w:trPr>
          <w:trHeight w:val="20"/>
        </w:trPr>
        <w:tc>
          <w:tcPr>
            <w:tcW w:w="2158" w:type="dxa"/>
            <w:vMerge w:val="restart"/>
          </w:tcPr>
          <w:p w14:paraId="4BABEF4B" w14:textId="77777777" w:rsidR="00B01D46" w:rsidRDefault="0067013E">
            <w:pPr>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Work Experience</w:t>
            </w:r>
          </w:p>
        </w:tc>
        <w:tc>
          <w:tcPr>
            <w:tcW w:w="2077" w:type="dxa"/>
          </w:tcPr>
          <w:p w14:paraId="1E07F52D"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5-10 years</w:t>
            </w:r>
          </w:p>
        </w:tc>
        <w:tc>
          <w:tcPr>
            <w:tcW w:w="1830" w:type="dxa"/>
          </w:tcPr>
          <w:p w14:paraId="32558C86"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855" w:type="dxa"/>
          </w:tcPr>
          <w:p w14:paraId="16FCCDF8"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33.3</w:t>
            </w:r>
          </w:p>
        </w:tc>
      </w:tr>
      <w:tr w:rsidR="00B01D46" w14:paraId="232EB68B" w14:textId="77777777">
        <w:trPr>
          <w:trHeight w:val="20"/>
        </w:trPr>
        <w:tc>
          <w:tcPr>
            <w:tcW w:w="2158" w:type="dxa"/>
            <w:vMerge/>
          </w:tcPr>
          <w:p w14:paraId="06B5C746" w14:textId="77777777" w:rsidR="00B01D46" w:rsidRDefault="00B01D46">
            <w:pPr>
              <w:ind w:right="65"/>
              <w:jc w:val="both"/>
              <w:rPr>
                <w:rFonts w:ascii="Times New Roman" w:eastAsia="Calibri" w:hAnsi="Times New Roman" w:cs="Times New Roman"/>
                <w:sz w:val="24"/>
                <w:szCs w:val="24"/>
              </w:rPr>
            </w:pPr>
          </w:p>
        </w:tc>
        <w:tc>
          <w:tcPr>
            <w:tcW w:w="2077" w:type="dxa"/>
          </w:tcPr>
          <w:p w14:paraId="06AA819B"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10-15 years </w:t>
            </w:r>
          </w:p>
        </w:tc>
        <w:tc>
          <w:tcPr>
            <w:tcW w:w="1830" w:type="dxa"/>
          </w:tcPr>
          <w:p w14:paraId="563ABB20"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855" w:type="dxa"/>
          </w:tcPr>
          <w:p w14:paraId="26298DB9"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16.7</w:t>
            </w:r>
          </w:p>
        </w:tc>
      </w:tr>
      <w:tr w:rsidR="00B01D46" w14:paraId="5F0AA9F7" w14:textId="77777777">
        <w:trPr>
          <w:trHeight w:val="20"/>
        </w:trPr>
        <w:tc>
          <w:tcPr>
            <w:tcW w:w="2158" w:type="dxa"/>
            <w:vMerge/>
          </w:tcPr>
          <w:p w14:paraId="521DBF26" w14:textId="77777777" w:rsidR="00B01D46" w:rsidRDefault="00B01D46">
            <w:pPr>
              <w:ind w:right="65"/>
              <w:jc w:val="both"/>
              <w:rPr>
                <w:rFonts w:ascii="Times New Roman" w:eastAsia="Calibri" w:hAnsi="Times New Roman" w:cs="Times New Roman"/>
                <w:sz w:val="24"/>
                <w:szCs w:val="24"/>
              </w:rPr>
            </w:pPr>
          </w:p>
        </w:tc>
        <w:tc>
          <w:tcPr>
            <w:tcW w:w="2077" w:type="dxa"/>
          </w:tcPr>
          <w:p w14:paraId="5A3AE7AD"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15-20 years </w:t>
            </w:r>
          </w:p>
        </w:tc>
        <w:tc>
          <w:tcPr>
            <w:tcW w:w="1830" w:type="dxa"/>
          </w:tcPr>
          <w:p w14:paraId="20D6ADA5"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855" w:type="dxa"/>
          </w:tcPr>
          <w:p w14:paraId="66D04597"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33.3</w:t>
            </w:r>
          </w:p>
        </w:tc>
      </w:tr>
      <w:tr w:rsidR="00B01D46" w14:paraId="7F1396FE" w14:textId="77777777">
        <w:trPr>
          <w:trHeight w:val="20"/>
        </w:trPr>
        <w:tc>
          <w:tcPr>
            <w:tcW w:w="2158" w:type="dxa"/>
            <w:vMerge/>
          </w:tcPr>
          <w:p w14:paraId="37274917" w14:textId="77777777" w:rsidR="00B01D46" w:rsidRDefault="00B01D46">
            <w:pPr>
              <w:ind w:right="65"/>
              <w:jc w:val="both"/>
              <w:rPr>
                <w:rFonts w:ascii="Times New Roman" w:eastAsia="Calibri" w:hAnsi="Times New Roman" w:cs="Times New Roman"/>
                <w:sz w:val="24"/>
                <w:szCs w:val="24"/>
              </w:rPr>
            </w:pPr>
          </w:p>
        </w:tc>
        <w:tc>
          <w:tcPr>
            <w:tcW w:w="2077" w:type="dxa"/>
          </w:tcPr>
          <w:p w14:paraId="792BC175"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Over 20 years</w:t>
            </w:r>
          </w:p>
        </w:tc>
        <w:tc>
          <w:tcPr>
            <w:tcW w:w="1830" w:type="dxa"/>
          </w:tcPr>
          <w:p w14:paraId="1EA997FF"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855" w:type="dxa"/>
          </w:tcPr>
          <w:p w14:paraId="6B38DA17" w14:textId="77777777" w:rsidR="00B01D46" w:rsidRDefault="0067013E">
            <w:pPr>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16.7</w:t>
            </w:r>
          </w:p>
        </w:tc>
      </w:tr>
    </w:tbl>
    <w:p w14:paraId="2D948B2E" w14:textId="77777777" w:rsidR="00B01D46" w:rsidRDefault="0067013E">
      <w:pPr>
        <w:spacing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Source: Field data (2021)</w:t>
      </w:r>
    </w:p>
    <w:p w14:paraId="36AC35C2" w14:textId="77777777" w:rsidR="00B01D46" w:rsidRDefault="00B01D46">
      <w:pPr>
        <w:spacing w:after="0" w:line="240" w:lineRule="auto"/>
        <w:ind w:right="65"/>
        <w:jc w:val="both"/>
        <w:rPr>
          <w:rFonts w:ascii="Times New Roman" w:eastAsia="Calibri" w:hAnsi="Times New Roman" w:cs="Times New Roman"/>
          <w:b/>
          <w:bCs/>
          <w:sz w:val="24"/>
          <w:szCs w:val="24"/>
        </w:rPr>
      </w:pPr>
    </w:p>
    <w:p w14:paraId="07972959"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As indicated in table 5.6., 4 (66.7%) HODs were male and 2(33.35%) were female. Further, the outcome indicated that 2(33.3%) of the respondents had worked for 5 to 10 years, 1(16.7%) had work experience of amid 10 to 15 years, 2(33.3%) had work experience of between 15 to 20 yrs and 1(16.7%) had over 20 years’ experience. Additionally, the research wanted to know the educational qualifications of the HODs and found out that 5(83%) HODs had Ph.D. qualification while 1(16.7%) had a Master's degree therefore they were able to ascertain the appropriate ILS curriculum and policy needed to successfully impart ILS to the undergraduate medical students.</w:t>
      </w:r>
    </w:p>
    <w:p w14:paraId="4D19F4F4" w14:textId="77777777" w:rsidR="00B01D46" w:rsidRDefault="0067013E">
      <w:pPr>
        <w:pStyle w:val="Heading2"/>
      </w:pPr>
      <w:bookmarkStart w:id="1302" w:name="_Toc165365209"/>
      <w:bookmarkStart w:id="1303" w:name="_Toc165369228"/>
      <w:bookmarkStart w:id="1304" w:name="_Toc165975832"/>
      <w:bookmarkStart w:id="1305" w:name="_Toc184272921"/>
      <w:bookmarkStart w:id="1306" w:name="_Toc165973111"/>
      <w:bookmarkStart w:id="1307" w:name="_Toc165363435"/>
      <w:bookmarkStart w:id="1308" w:name="_Toc164664039"/>
      <w:bookmarkStart w:id="1309" w:name="_Toc165368412"/>
      <w:r>
        <w:t>5.4 Data Presentation and Analysis Based on Themes from Research Objectives</w:t>
      </w:r>
      <w:bookmarkEnd w:id="1302"/>
      <w:bookmarkEnd w:id="1303"/>
      <w:bookmarkEnd w:id="1304"/>
      <w:bookmarkEnd w:id="1305"/>
      <w:bookmarkEnd w:id="1306"/>
      <w:bookmarkEnd w:id="1307"/>
      <w:bookmarkEnd w:id="1308"/>
      <w:bookmarkEnd w:id="1309"/>
      <w:r>
        <w:t xml:space="preserve"> </w:t>
      </w:r>
    </w:p>
    <w:p w14:paraId="77D70243"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following part examines the empirical outcomes of a study conducted to assess the ILS of medical undergraduate students at Moi University and University of </w:t>
      </w:r>
      <w:r>
        <w:rPr>
          <w:rFonts w:ascii="Times New Roman" w:eastAsia="Calibri" w:hAnsi="Times New Roman" w:cs="Times New Roman"/>
          <w:sz w:val="24"/>
          <w:szCs w:val="24"/>
        </w:rPr>
        <w:lastRenderedPageBreak/>
        <w:t xml:space="preserve">Nairobi. As indicated in Section 5.1 above, qualitative and quantitative data were analyzed using themes and sub-themes drawn from the research objectives and questions. </w:t>
      </w:r>
    </w:p>
    <w:p w14:paraId="0E7ECB70" w14:textId="77777777" w:rsidR="00B01D46" w:rsidRDefault="0067013E">
      <w:pPr>
        <w:pStyle w:val="Heading3"/>
      </w:pPr>
      <w:bookmarkStart w:id="1310" w:name="_Toc184272922"/>
      <w:bookmarkStart w:id="1311" w:name="_Toc165368413"/>
      <w:bookmarkStart w:id="1312" w:name="_Toc165973112"/>
      <w:bookmarkStart w:id="1313" w:name="_Toc165975833"/>
      <w:bookmarkStart w:id="1314" w:name="_Toc164664040"/>
      <w:bookmarkStart w:id="1315" w:name="_Toc165365210"/>
      <w:bookmarkStart w:id="1316" w:name="_Toc165369229"/>
      <w:bookmarkStart w:id="1317" w:name="_Toc165363436"/>
      <w:r>
        <w:t>5.4.1 Status of ILS among Medical Undergraduate Students</w:t>
      </w:r>
      <w:bookmarkEnd w:id="1310"/>
      <w:bookmarkEnd w:id="1311"/>
      <w:bookmarkEnd w:id="1312"/>
      <w:bookmarkEnd w:id="1313"/>
      <w:bookmarkEnd w:id="1314"/>
      <w:bookmarkEnd w:id="1315"/>
      <w:bookmarkEnd w:id="1316"/>
      <w:bookmarkEnd w:id="1317"/>
    </w:p>
    <w:p w14:paraId="314F4E59" w14:textId="77777777" w:rsidR="00B01D46" w:rsidRDefault="0067013E">
      <w:pPr>
        <w:spacing w:after="0" w:line="480" w:lineRule="auto"/>
        <w:ind w:right="65"/>
        <w:jc w:val="both"/>
        <w:rPr>
          <w:rFonts w:ascii="Times New Roman" w:eastAsia="Calibri" w:hAnsi="Times New Roman" w:cs="Times New Roman"/>
          <w:i/>
          <w:sz w:val="24"/>
          <w:szCs w:val="24"/>
        </w:rPr>
      </w:pPr>
      <w:bookmarkStart w:id="1318" w:name="_Hlk158378555"/>
      <w:r>
        <w:rPr>
          <w:rFonts w:ascii="Times New Roman" w:eastAsia="Calibri" w:hAnsi="Times New Roman" w:cs="Times New Roman"/>
          <w:sz w:val="24"/>
          <w:szCs w:val="24"/>
        </w:rPr>
        <w:t>The sauce model underpinned the ILS adequacy among medical undergraduate students as explained in chapter two of this thesis. The model</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emphasizes on communication; numeracy; information; problem-solving; self-management and competitive; social and cooperative; and labor and learning skills as key ILS that students must possess (Bond, 2011). </w:t>
      </w:r>
      <w:bookmarkEnd w:id="1318"/>
      <w:r>
        <w:rPr>
          <w:rFonts w:ascii="Times New Roman" w:eastAsia="Calibri" w:hAnsi="Times New Roman" w:cs="Times New Roman"/>
          <w:sz w:val="24"/>
          <w:szCs w:val="24"/>
        </w:rPr>
        <w:t xml:space="preserve">Similarly, Bruce’s Six Frames model </w:t>
      </w:r>
      <w:r>
        <w:rPr>
          <w:rFonts w:ascii="Times New Roman" w:hAnsi="Times New Roman" w:cs="Times New Roman"/>
          <w:sz w:val="24"/>
          <w:szCs w:val="24"/>
        </w:rPr>
        <w:t>(</w:t>
      </w:r>
      <w:r>
        <w:rPr>
          <w:rStyle w:val="contribdegrees"/>
          <w:rFonts w:ascii="Times New Roman" w:hAnsi="Times New Roman" w:cs="Times New Roman"/>
          <w:sz w:val="24"/>
          <w:szCs w:val="24"/>
        </w:rPr>
        <w:t>Bruce, Edwards and Lupton,</w:t>
      </w:r>
      <w:r>
        <w:rPr>
          <w:rFonts w:ascii="Times New Roman" w:eastAsia="Times New Roman" w:hAnsi="Times New Roman" w:cs="Times New Roman"/>
          <w:sz w:val="24"/>
          <w:szCs w:val="24"/>
        </w:rPr>
        <w:t xml:space="preserve"> </w:t>
      </w:r>
      <w:r>
        <w:rPr>
          <w:rFonts w:ascii="Times New Roman" w:hAnsi="Times New Roman" w:cs="Times New Roman"/>
          <w:sz w:val="24"/>
          <w:szCs w:val="24"/>
        </w:rPr>
        <w:t>2015) which informs this study is also relevant in relation to the research question because it can be applied to explain the levels of ILS among undergraduate medical students. However, the Sauce model informs this research question because of the inherent weaknesses of the</w:t>
      </w:r>
      <w:r>
        <w:rPr>
          <w:rFonts w:ascii="Times New Roman" w:eastAsia="Calibri" w:hAnsi="Times New Roman" w:cs="Times New Roman"/>
          <w:sz w:val="24"/>
          <w:szCs w:val="24"/>
        </w:rPr>
        <w:t xml:space="preserve"> Bruce’s Six Frames model as explained in chapter two of this thesis</w:t>
      </w:r>
      <w:r>
        <w:rPr>
          <w:rFonts w:ascii="Times New Roman" w:hAnsi="Times New Roman" w:cs="Times New Roman"/>
          <w:sz w:val="24"/>
          <w:szCs w:val="24"/>
        </w:rPr>
        <w:t>.</w:t>
      </w:r>
      <w:r>
        <w:rPr>
          <w:rFonts w:ascii="Times New Roman" w:eastAsia="Calibri" w:hAnsi="Times New Roman" w:cs="Times New Roman"/>
          <w:sz w:val="24"/>
          <w:szCs w:val="24"/>
        </w:rPr>
        <w:t xml:space="preserve"> Status of ILS provides viable feedback on what ILS are required and their importance to undergraduate medical students at the University of Nairobi and Moi University. Further, it helps the study understand with clarity the various ILS that medical undergraduate students possess and possibly what deficit there exists. Furthermore, the status of ILS acts as a pointer on the adequacy of the ILS acquired, effectiveness of the ILS curriculum and policy in place; effectiveness of the pedagogy applied; how medical undergraduate view ILS and its training; and on how technologically oriented undergraduate students are towards the utilization of various ICT innovation for example big data, artificial intelligence.   This section covers the study question: </w:t>
      </w:r>
      <w:r>
        <w:rPr>
          <w:rFonts w:ascii="Times New Roman" w:eastAsia="Calibri" w:hAnsi="Times New Roman" w:cs="Times New Roman"/>
          <w:i/>
          <w:sz w:val="24"/>
          <w:szCs w:val="24"/>
        </w:rPr>
        <w:t>What is the status of ILS among medical undergraduate.</w:t>
      </w:r>
      <w:r>
        <w:rPr>
          <w:rFonts w:ascii="Times New Roman" w:eastAsia="Calibri" w:hAnsi="Times New Roman" w:cs="Times New Roman"/>
          <w:sz w:val="24"/>
          <w:szCs w:val="24"/>
        </w:rPr>
        <w:t xml:space="preserve"> This question had a Cronbach's Alpha values of 0.803 in the </w:t>
      </w:r>
      <w:r>
        <w:rPr>
          <w:rFonts w:ascii="Times New Roman" w:eastAsia="Calibri" w:hAnsi="Times New Roman" w:cs="Times New Roman"/>
          <w:sz w:val="24"/>
          <w:szCs w:val="24"/>
        </w:rPr>
        <w:lastRenderedPageBreak/>
        <w:t>questionnaire. This indicated that the questions had a good internal validity (as shown in appendix I-IV).</w:t>
      </w:r>
    </w:p>
    <w:p w14:paraId="4A7D6AD2" w14:textId="77777777" w:rsidR="00B01D46" w:rsidRDefault="0067013E">
      <w:pPr>
        <w:shd w:val="clear" w:color="auto" w:fill="FFFFFF"/>
        <w:tabs>
          <w:tab w:val="left" w:pos="360"/>
        </w:tabs>
        <w:autoSpaceDE w:val="0"/>
        <w:autoSpaceDN w:val="0"/>
        <w:adjustRightInd w:val="0"/>
        <w:spacing w:before="120" w:after="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Both students and lecturers were requested to declare their views regarding the status of ILS among medical undergraduate students. Their responses are presented in two parts that are; 5.4.1.1-students' responses on the status of ILS and 5.4.1.2-lecturers' responses on the status of ILS.</w:t>
      </w:r>
    </w:p>
    <w:p w14:paraId="4877E6DC" w14:textId="77777777" w:rsidR="00B01D46" w:rsidRDefault="0067013E">
      <w:pPr>
        <w:pStyle w:val="Heading4"/>
      </w:pPr>
      <w:bookmarkStart w:id="1319" w:name="_Toc184272923"/>
      <w:r>
        <w:t>5.4.1.1 Students’ response on ILS parameters to determine their ILS status</w:t>
      </w:r>
      <w:bookmarkEnd w:id="1319"/>
      <w:r>
        <w:t xml:space="preserve"> </w:t>
      </w:r>
    </w:p>
    <w:p w14:paraId="3AE06754" w14:textId="77777777" w:rsidR="00B01D46" w:rsidRDefault="0067013E">
      <w:pPr>
        <w:pStyle w:val="Heading5"/>
      </w:pPr>
      <w:bookmarkStart w:id="1320" w:name="_Toc184272924"/>
      <w:r>
        <w:t>5.4.1.1.1 ILS status of medical students</w:t>
      </w:r>
      <w:bookmarkEnd w:id="1320"/>
      <w:r>
        <w:t xml:space="preserve"> </w:t>
      </w:r>
    </w:p>
    <w:p w14:paraId="4DE8E073" w14:textId="77777777" w:rsidR="00B01D46" w:rsidRDefault="0067013E">
      <w:pPr>
        <w:ind w:right="65"/>
        <w:rPr>
          <w:rFonts w:ascii="Times New Roman" w:hAnsi="Times New Roman" w:cs="Times New Roman"/>
          <w:sz w:val="24"/>
          <w:szCs w:val="24"/>
        </w:rPr>
      </w:pPr>
      <w:bookmarkStart w:id="1321" w:name="_Toc165363437"/>
      <w:bookmarkStart w:id="1322" w:name="_Toc164664041"/>
      <w:bookmarkStart w:id="1323" w:name="_Toc165369230"/>
      <w:bookmarkStart w:id="1324" w:name="_Toc165368414"/>
      <w:bookmarkStart w:id="1325" w:name="_Toc165973113"/>
      <w:bookmarkStart w:id="1326" w:name="_Toc165365211"/>
      <w:bookmarkStart w:id="1327" w:name="_Toc165975834"/>
      <w:r>
        <w:rPr>
          <w:rFonts w:ascii="Times New Roman" w:hAnsi="Times New Roman" w:cs="Times New Roman"/>
          <w:b/>
          <w:bCs/>
          <w:sz w:val="24"/>
          <w:szCs w:val="24"/>
        </w:rPr>
        <w:t>Students’ Responses on the Status of their ILS</w:t>
      </w:r>
      <w:bookmarkEnd w:id="1321"/>
      <w:bookmarkEnd w:id="1322"/>
      <w:bookmarkEnd w:id="1323"/>
      <w:bookmarkEnd w:id="1324"/>
      <w:bookmarkEnd w:id="1325"/>
      <w:bookmarkEnd w:id="1326"/>
      <w:bookmarkEnd w:id="1327"/>
    </w:p>
    <w:p w14:paraId="79F77AEF" w14:textId="77777777" w:rsidR="00B01D46" w:rsidRDefault="0067013E">
      <w:pPr>
        <w:spacing w:before="120" w:after="0" w:line="480" w:lineRule="auto"/>
        <w:ind w:right="65"/>
        <w:jc w:val="both"/>
        <w:rPr>
          <w:rFonts w:ascii="Times New Roman" w:eastAsia="Calibri" w:hAnsi="Times New Roman" w:cs="Times New Roman"/>
          <w:sz w:val="24"/>
          <w:szCs w:val="24"/>
        </w:rPr>
      </w:pPr>
      <w:bookmarkStart w:id="1328" w:name="_Hlk101067843"/>
      <w:r>
        <w:rPr>
          <w:rFonts w:ascii="Times New Roman" w:eastAsia="Calibri" w:hAnsi="Times New Roman" w:cs="Times New Roman"/>
          <w:sz w:val="24"/>
          <w:szCs w:val="24"/>
        </w:rPr>
        <w:t>The students were asked to express their current ILS status that facilitate them to determine their information requirements, search, evaluate, synthesis, apply and share information through a Likert scale on a scale of 5 to 1; where 5 represented Strongly Disagree (SD), 4 for Disagree (D), 3 for Neutral (N), 2 for Agree (A) and 1 for Strongly Agree (SA), in that order.  The responses are shown in Table 5.7. The study finding in table 5.7 above are discussed under various sub-themes derived from the essential skills facet of the Sauce model (Bond, 2011). The variables of the essential skills facet are information; communication; numeracy; solving problems; self-management and competitive; social and cooperative; and labor &amp; learning abilities.</w:t>
      </w:r>
    </w:p>
    <w:p w14:paraId="263416E4" w14:textId="77777777" w:rsidR="00B01D46" w:rsidRDefault="0067013E">
      <w:pPr>
        <w:spacing w:after="200" w:line="276" w:lineRule="auto"/>
        <w:ind w:right="65"/>
        <w:rPr>
          <w:rFonts w:ascii="Times New Roman" w:eastAsia="Calibri" w:hAnsi="Times New Roman" w:cs="Times New Roman"/>
          <w:b/>
          <w:color w:val="000000"/>
          <w:sz w:val="24"/>
          <w:szCs w:val="24"/>
        </w:rPr>
      </w:pPr>
      <w:bookmarkStart w:id="1329" w:name="_Hlk159792700"/>
      <w:bookmarkStart w:id="1330" w:name="_Hlk131494974"/>
      <w:r>
        <w:rPr>
          <w:rFonts w:ascii="Times New Roman" w:eastAsia="Calibri" w:hAnsi="Times New Roman" w:cs="Times New Roman"/>
          <w:b/>
          <w:color w:val="000000"/>
          <w:sz w:val="24"/>
          <w:szCs w:val="24"/>
        </w:rPr>
        <w:br w:type="page"/>
      </w:r>
    </w:p>
    <w:p w14:paraId="375EEA3E" w14:textId="77777777" w:rsidR="00B01D46" w:rsidRDefault="0067013E">
      <w:pPr>
        <w:pStyle w:val="Caption"/>
      </w:pPr>
      <w:bookmarkStart w:id="1331" w:name="_Toc184271996"/>
      <w:bookmarkStart w:id="1332" w:name="_Toc165365212"/>
      <w:bookmarkStart w:id="1333" w:name="_Toc165975835"/>
      <w:bookmarkStart w:id="1334" w:name="_Toc184276906"/>
      <w:bookmarkStart w:id="1335" w:name="_Toc165973114"/>
      <w:bookmarkStart w:id="1336" w:name="_Toc165363438"/>
      <w:r>
        <w:lastRenderedPageBreak/>
        <w:t xml:space="preserve">Table 5.7: </w:t>
      </w:r>
      <w:bookmarkStart w:id="1337" w:name="_Hlk147911790"/>
      <w:r>
        <w:t>Status of Students’ ILS (n= 255)</w:t>
      </w:r>
      <w:bookmarkEnd w:id="1331"/>
      <w:bookmarkEnd w:id="1332"/>
      <w:bookmarkEnd w:id="1333"/>
      <w:bookmarkEnd w:id="1334"/>
      <w:bookmarkEnd w:id="1335"/>
      <w:bookmarkEnd w:id="1336"/>
    </w:p>
    <w:bookmarkEnd w:id="1329"/>
    <w:p w14:paraId="4F4D15F4" w14:textId="77777777" w:rsidR="00B01D46" w:rsidRDefault="0067013E">
      <w:pPr>
        <w:autoSpaceDE w:val="0"/>
        <w:autoSpaceDN w:val="0"/>
        <w:adjustRightInd w:val="0"/>
        <w:spacing w:before="120" w:after="0" w:line="480" w:lineRule="auto"/>
        <w:ind w:right="65"/>
        <w:jc w:val="both"/>
        <w:rPr>
          <w:rFonts w:ascii="Times New Roman" w:eastAsia="Calibri" w:hAnsi="Times New Roman" w:cs="Times New Roman"/>
          <w:b/>
          <w:sz w:val="24"/>
          <w:szCs w:val="24"/>
        </w:rPr>
      </w:pPr>
      <w:r>
        <w:rPr>
          <w:rFonts w:ascii="Times New Roman" w:hAnsi="Times New Roman" w:cs="Times New Roman"/>
          <w:noProof/>
          <w:sz w:val="24"/>
          <w:szCs w:val="24"/>
        </w:rPr>
        <w:drawing>
          <wp:inline distT="0" distB="0" distL="0" distR="0" wp14:anchorId="2502B171" wp14:editId="735DF0A6">
            <wp:extent cx="5159375" cy="4641850"/>
            <wp:effectExtent l="0" t="0" r="3175" b="6350"/>
            <wp:docPr id="1917978919" name="Picture 1917978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978919" name="Picture 19179789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175944" cy="4656674"/>
                    </a:xfrm>
                    <a:prstGeom prst="rect">
                      <a:avLst/>
                    </a:prstGeom>
                    <a:noFill/>
                    <a:ln>
                      <a:noFill/>
                    </a:ln>
                  </pic:spPr>
                </pic:pic>
              </a:graphicData>
            </a:graphic>
          </wp:inline>
        </w:drawing>
      </w:r>
    </w:p>
    <w:bookmarkEnd w:id="1328"/>
    <w:bookmarkEnd w:id="1330"/>
    <w:p w14:paraId="5B500BC7"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Source:</w:t>
      </w:r>
      <w:r>
        <w:rPr>
          <w:rFonts w:ascii="Times New Roman" w:eastAsia="Calibri" w:hAnsi="Times New Roman" w:cs="Times New Roman"/>
          <w:b/>
          <w:sz w:val="24"/>
          <w:szCs w:val="24"/>
        </w:rPr>
        <w:t xml:space="preserve"> Field Data (2021)</w:t>
      </w:r>
      <w:r>
        <w:rPr>
          <w:rFonts w:ascii="Times New Roman" w:eastAsia="Calibri" w:hAnsi="Times New Roman" w:cs="Times New Roman"/>
          <w:b/>
          <w:bCs/>
          <w:sz w:val="24"/>
          <w:szCs w:val="24"/>
        </w:rPr>
        <w:t xml:space="preserve"> </w:t>
      </w:r>
    </w:p>
    <w:p w14:paraId="28E0BED7" w14:textId="77777777" w:rsidR="00B01D46" w:rsidRDefault="00B01D46">
      <w:pPr>
        <w:spacing w:after="0" w:line="240" w:lineRule="auto"/>
        <w:ind w:right="65"/>
        <w:jc w:val="both"/>
        <w:rPr>
          <w:rFonts w:ascii="Times New Roman" w:eastAsia="Calibri" w:hAnsi="Times New Roman" w:cs="Times New Roman"/>
          <w:sz w:val="24"/>
          <w:szCs w:val="24"/>
        </w:rPr>
      </w:pPr>
    </w:p>
    <w:p w14:paraId="51060703" w14:textId="77777777" w:rsidR="00B01D46" w:rsidRDefault="0067013E">
      <w:pPr>
        <w:pStyle w:val="Heading5"/>
      </w:pPr>
      <w:bookmarkStart w:id="1338" w:name="_Toc165365213"/>
      <w:bookmarkStart w:id="1339" w:name="_Toc165363439"/>
      <w:bookmarkStart w:id="1340" w:name="_Toc164664042"/>
      <w:bookmarkStart w:id="1341" w:name="_Toc184272925"/>
      <w:bookmarkStart w:id="1342" w:name="_Toc165368416"/>
      <w:bookmarkStart w:id="1343" w:name="_Toc165369232"/>
      <w:bookmarkEnd w:id="1337"/>
      <w:r>
        <w:t>5.4.1.1.2 Information Skills Levels</w:t>
      </w:r>
      <w:bookmarkEnd w:id="1338"/>
      <w:bookmarkEnd w:id="1339"/>
      <w:bookmarkEnd w:id="1340"/>
      <w:bookmarkEnd w:id="1341"/>
      <w:bookmarkEnd w:id="1342"/>
      <w:bookmarkEnd w:id="1343"/>
    </w:p>
    <w:p w14:paraId="6F47CDD0"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sought to understand if students understood the type and application of information. To effectively gauge if students understood the type and application of information, students were requested to respond to these sentiments; </w:t>
      </w:r>
      <w:r>
        <w:rPr>
          <w:rFonts w:ascii="Times New Roman" w:eastAsia="Calibri" w:hAnsi="Times New Roman" w:cs="Times New Roman"/>
          <w:i/>
          <w:iCs/>
          <w:sz w:val="24"/>
          <w:szCs w:val="24"/>
        </w:rPr>
        <w:t>you can define your exact information requirements., you use the information to undertake your everyday tasks, you can recognize precise and comprehensive information and you can arrange information for practical use</w:t>
      </w:r>
      <w:r>
        <w:rPr>
          <w:rFonts w:ascii="Times New Roman" w:eastAsia="Calibri" w:hAnsi="Times New Roman" w:cs="Times New Roman"/>
          <w:sz w:val="24"/>
          <w:szCs w:val="24"/>
        </w:rPr>
        <w:t xml:space="preserve">. </w:t>
      </w:r>
    </w:p>
    <w:p w14:paraId="30AF8898"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revealed that 9 (3.53%), 6 (2.36%), 27 (10.59%) and </w:t>
      </w:r>
      <w:bookmarkStart w:id="1344" w:name="_Hlk143787636"/>
      <w:r>
        <w:rPr>
          <w:rFonts w:ascii="Times New Roman" w:eastAsia="Calibri" w:hAnsi="Times New Roman" w:cs="Times New Roman"/>
          <w:sz w:val="24"/>
          <w:szCs w:val="24"/>
        </w:rPr>
        <w:t xml:space="preserve">156 (61.18%) of the students </w:t>
      </w:r>
      <w:bookmarkEnd w:id="1344"/>
      <w:r>
        <w:rPr>
          <w:rFonts w:ascii="Times New Roman" w:eastAsia="Calibri" w:hAnsi="Times New Roman" w:cs="Times New Roman"/>
          <w:sz w:val="24"/>
          <w:szCs w:val="24"/>
        </w:rPr>
        <w:t xml:space="preserve">gainsaid that they can define their exact information requirements, they </w:t>
      </w:r>
      <w:r>
        <w:rPr>
          <w:rFonts w:ascii="Times New Roman" w:eastAsia="Calibri" w:hAnsi="Times New Roman" w:cs="Times New Roman"/>
          <w:sz w:val="24"/>
          <w:szCs w:val="24"/>
        </w:rPr>
        <w:lastRenderedPageBreak/>
        <w:t xml:space="preserve">understood the need to use the information to carry out their day-to-day tasks, they are capable of recognizing correct and comprehensive information and they are able to arrange information for practical use respectively. In contrast, 232 (90.9%) 228 (89.4%), 171 (67.1%) and 87 (34.12%) of the students agreed that they could define their exact information requirements, they appreciated the requirement to utilize information to carry out daily duties, that they were capable of recognizing correct and comprehensive information, they understood the need to use information to carry out their day-to-day tasks </w:t>
      </w:r>
      <w:bookmarkStart w:id="1345" w:name="_Hlk143787780"/>
      <w:r>
        <w:rPr>
          <w:rFonts w:ascii="Times New Roman" w:eastAsia="Calibri" w:hAnsi="Times New Roman" w:cs="Times New Roman"/>
          <w:sz w:val="24"/>
          <w:szCs w:val="24"/>
        </w:rPr>
        <w:t>and they are capable of arranging information for practical use</w:t>
      </w:r>
      <w:bookmarkEnd w:id="1345"/>
      <w:r>
        <w:rPr>
          <w:rFonts w:ascii="Times New Roman" w:eastAsia="Calibri" w:hAnsi="Times New Roman" w:cs="Times New Roman"/>
          <w:sz w:val="24"/>
          <w:szCs w:val="24"/>
        </w:rPr>
        <w:t xml:space="preserve">, in that order. </w:t>
      </w:r>
    </w:p>
    <w:p w14:paraId="5917F593" w14:textId="77777777" w:rsidR="00B01D46" w:rsidRDefault="0067013E">
      <w:pPr>
        <w:pStyle w:val="Heading5"/>
      </w:pPr>
      <w:bookmarkStart w:id="1346" w:name="_Toc184272926"/>
      <w:bookmarkStart w:id="1347" w:name="_Toc165363440"/>
      <w:bookmarkStart w:id="1348" w:name="_Toc165365214"/>
      <w:bookmarkStart w:id="1349" w:name="_Toc164664043"/>
      <w:bookmarkStart w:id="1350" w:name="_Toc165369233"/>
      <w:bookmarkStart w:id="1351" w:name="_Toc165368417"/>
      <w:r>
        <w:rPr>
          <w:rFonts w:eastAsia="Calibri"/>
        </w:rPr>
        <w:t xml:space="preserve">5.4.1.1.3 </w:t>
      </w:r>
      <w:r>
        <w:t>Numeracy Skills</w:t>
      </w:r>
      <w:bookmarkEnd w:id="1346"/>
      <w:bookmarkEnd w:id="1347"/>
      <w:bookmarkEnd w:id="1348"/>
      <w:bookmarkEnd w:id="1349"/>
      <w:bookmarkEnd w:id="1350"/>
      <w:bookmarkEnd w:id="1351"/>
      <w:r>
        <w:t xml:space="preserve"> </w:t>
      </w:r>
    </w:p>
    <w:p w14:paraId="0734F7C0"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intended to know if students understood how information may be utilized for numeracy. </w:t>
      </w:r>
    </w:p>
    <w:p w14:paraId="16113115"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results revealed that 180(70.59%), 123 (48.24%) and 219(85.89%) of the students disagreed that they use truncation techniques, Boolean logic to search for information and can utilize a variety of reference materials to become more acquainted with a subject. While 33(12.94%), 63(24.71%) and 20(7.84) of the students agreed that they use truncation, Boolean logic techniques to information search and can utilize a variety of reference materials to become more acquainted with a subject.</w:t>
      </w:r>
    </w:p>
    <w:p w14:paraId="2C94AC2D" w14:textId="77777777" w:rsidR="00B01D46" w:rsidRDefault="0067013E">
      <w:pPr>
        <w:pStyle w:val="Heading5"/>
      </w:pPr>
      <w:bookmarkStart w:id="1352" w:name="_Toc164664044"/>
      <w:bookmarkStart w:id="1353" w:name="_Toc165363441"/>
      <w:bookmarkStart w:id="1354" w:name="_Toc165365215"/>
      <w:bookmarkStart w:id="1355" w:name="_Toc184272927"/>
      <w:bookmarkStart w:id="1356" w:name="_Toc165368418"/>
      <w:bookmarkStart w:id="1357" w:name="_Toc165369234"/>
      <w:r>
        <w:t>5.4.1.1.4 Problem-Solving Skills</w:t>
      </w:r>
      <w:bookmarkEnd w:id="1352"/>
      <w:bookmarkEnd w:id="1353"/>
      <w:bookmarkEnd w:id="1354"/>
      <w:bookmarkEnd w:id="1355"/>
      <w:bookmarkEnd w:id="1356"/>
      <w:bookmarkEnd w:id="1357"/>
    </w:p>
    <w:p w14:paraId="5E9E0101" w14:textId="77777777" w:rsidR="00B01D46" w:rsidRDefault="0067013E">
      <w:pPr>
        <w:spacing w:after="0" w:line="480" w:lineRule="auto"/>
        <w:ind w:right="65"/>
        <w:jc w:val="both"/>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The study attempted to figure out if students utilized the retrieved information to solve problems that were of academic nature. The respondents were requested to respond to these statements: </w:t>
      </w:r>
      <w:r>
        <w:rPr>
          <w:rFonts w:ascii="Times New Roman" w:eastAsia="Calibri" w:hAnsi="Times New Roman" w:cs="Times New Roman"/>
          <w:i/>
          <w:iCs/>
          <w:sz w:val="24"/>
          <w:szCs w:val="24"/>
        </w:rPr>
        <w:t xml:space="preserve">you can limit online search fields, are you capable of </w:t>
      </w:r>
      <w:r>
        <w:rPr>
          <w:rFonts w:ascii="Times New Roman" w:eastAsia="Calibri" w:hAnsi="Times New Roman" w:cs="Times New Roman"/>
          <w:i/>
          <w:iCs/>
          <w:sz w:val="24"/>
          <w:szCs w:val="24"/>
        </w:rPr>
        <w:lastRenderedPageBreak/>
        <w:t>applying acquired information to critically think and solve study related problems, and can you effectively utilize the library catalogue to retrieve relevant information.</w:t>
      </w:r>
    </w:p>
    <w:p w14:paraId="6E996837"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results in table 5.7 disclosed that the plurality of the </w:t>
      </w:r>
      <w:bookmarkStart w:id="1358" w:name="_Hlk143790839"/>
      <w:r>
        <w:rPr>
          <w:rFonts w:ascii="Times New Roman" w:eastAsia="Calibri" w:hAnsi="Times New Roman" w:cs="Times New Roman"/>
          <w:sz w:val="24"/>
          <w:szCs w:val="24"/>
        </w:rPr>
        <w:t>respondents 144(56.47%), 202(79.22%) and 131(51.37%) were oblivion on ways to limit a search by fields, use information to critically think and solve study related problems, and the ways of utilizing the library catalogue to effectively retrieve information materials based on their information need/s</w:t>
      </w:r>
      <w:bookmarkEnd w:id="1358"/>
      <w:r>
        <w:rPr>
          <w:rFonts w:ascii="Times New Roman" w:eastAsia="Calibri" w:hAnsi="Times New Roman" w:cs="Times New Roman"/>
          <w:sz w:val="24"/>
          <w:szCs w:val="24"/>
        </w:rPr>
        <w:t>.  On the contrary, 72(28.23%), 20(7.84%) and 110(43.13%) of the students agreed that they utilize information for thinking critically and solving problems, and that they utilize a library catalogue to retrieve relevant information materials based on their information need/s.</w:t>
      </w:r>
    </w:p>
    <w:p w14:paraId="0E3FF28E" w14:textId="77777777" w:rsidR="00B01D46" w:rsidRDefault="0067013E">
      <w:pPr>
        <w:pStyle w:val="Heading5"/>
      </w:pPr>
      <w:bookmarkStart w:id="1359" w:name="_Toc165369235"/>
      <w:bookmarkStart w:id="1360" w:name="_Toc165368419"/>
      <w:bookmarkStart w:id="1361" w:name="_Toc165365216"/>
      <w:bookmarkStart w:id="1362" w:name="_Toc165363442"/>
      <w:bookmarkStart w:id="1363" w:name="_Toc164664045"/>
      <w:bookmarkStart w:id="1364" w:name="_Toc184272928"/>
      <w:r>
        <w:t>5.4.1.1.5 Communication</w:t>
      </w:r>
      <w:bookmarkEnd w:id="1359"/>
      <w:bookmarkEnd w:id="1360"/>
      <w:bookmarkEnd w:id="1361"/>
      <w:bookmarkEnd w:id="1362"/>
      <w:bookmarkEnd w:id="1363"/>
      <w:bookmarkEnd w:id="1364"/>
    </w:p>
    <w:p w14:paraId="4648ECB4"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also wanted to identify if information seekers (students) were capable of communicating information effectively. The study findings revealed that 126 (56.00%) and </w:t>
      </w:r>
      <w:bookmarkStart w:id="1365" w:name="_Hlk143792132"/>
      <w:r>
        <w:rPr>
          <w:rFonts w:ascii="Times New Roman" w:eastAsia="Calibri" w:hAnsi="Times New Roman" w:cs="Times New Roman"/>
          <w:sz w:val="24"/>
          <w:szCs w:val="24"/>
        </w:rPr>
        <w:t xml:space="preserve">218 (96.89%) </w:t>
      </w:r>
      <w:bookmarkEnd w:id="1365"/>
      <w:r>
        <w:rPr>
          <w:rFonts w:ascii="Times New Roman" w:eastAsia="Calibri" w:hAnsi="Times New Roman" w:cs="Times New Roman"/>
          <w:sz w:val="24"/>
          <w:szCs w:val="24"/>
        </w:rPr>
        <w:t xml:space="preserve">of student respondents stated that they use mailing lists to obtain and exchange information, and that they utilize web addresses for internet searches respectively. However, 72(28.23%) and 27(10.59%) of the students surveyed disagreed that they utilize mailing lists to exchange or obtain information from their peers in that order.  </w:t>
      </w:r>
    </w:p>
    <w:p w14:paraId="76AD9B4A" w14:textId="77777777" w:rsidR="00B01D46" w:rsidRDefault="0067013E">
      <w:pPr>
        <w:pStyle w:val="Heading5"/>
      </w:pPr>
      <w:bookmarkStart w:id="1366" w:name="_Toc165368420"/>
      <w:bookmarkStart w:id="1367" w:name="_Toc165363443"/>
      <w:bookmarkStart w:id="1368" w:name="_Toc165365217"/>
      <w:bookmarkStart w:id="1369" w:name="_Toc164664046"/>
      <w:bookmarkStart w:id="1370" w:name="_Toc165369236"/>
      <w:bookmarkStart w:id="1371" w:name="_Toc184272929"/>
      <w:r>
        <w:rPr>
          <w:rStyle w:val="Heading3Char"/>
          <w:rFonts w:eastAsiaTheme="minorHAnsi"/>
          <w:b/>
          <w:szCs w:val="24"/>
        </w:rPr>
        <w:t>5.4.1.</w:t>
      </w:r>
      <w:r>
        <w:rPr>
          <w:rStyle w:val="Heading3Char"/>
          <w:rFonts w:eastAsiaTheme="majorEastAsia"/>
          <w:b/>
          <w:bCs w:val="0"/>
          <w:szCs w:val="24"/>
        </w:rPr>
        <w:t>1.</w:t>
      </w:r>
      <w:r>
        <w:rPr>
          <w:rStyle w:val="Heading3Char"/>
          <w:rFonts w:eastAsiaTheme="minorHAnsi"/>
          <w:b/>
          <w:szCs w:val="24"/>
        </w:rPr>
        <w:t>6 Self-Management</w:t>
      </w:r>
      <w:r>
        <w:t xml:space="preserve"> and Competitive</w:t>
      </w:r>
      <w:bookmarkEnd w:id="1366"/>
      <w:bookmarkEnd w:id="1367"/>
      <w:bookmarkEnd w:id="1368"/>
      <w:bookmarkEnd w:id="1369"/>
      <w:bookmarkEnd w:id="1370"/>
      <w:bookmarkEnd w:id="1371"/>
    </w:p>
    <w:p w14:paraId="7D2B6748"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study also aimed to determine if students were able to self-manage, competitively search and use information to advance their studies. The respondents were requested to assert their reactions to these statements-</w:t>
      </w:r>
      <w:r>
        <w:rPr>
          <w:rFonts w:ascii="Times New Roman" w:eastAsia="Calibri" w:hAnsi="Times New Roman" w:cs="Times New Roman"/>
          <w:i/>
          <w:iCs/>
          <w:sz w:val="24"/>
          <w:szCs w:val="24"/>
        </w:rPr>
        <w:t xml:space="preserve"> do you comprehend the type of information accessible through the internet, </w:t>
      </w:r>
      <w:r>
        <w:rPr>
          <w:rFonts w:ascii="Times New Roman" w:eastAsia="Calibri" w:hAnsi="Times New Roman" w:cs="Times New Roman"/>
          <w:sz w:val="24"/>
          <w:szCs w:val="24"/>
        </w:rPr>
        <w:t>and</w:t>
      </w:r>
      <w:r>
        <w:rPr>
          <w:rFonts w:ascii="Times New Roman" w:eastAsia="Calibri" w:hAnsi="Times New Roman" w:cs="Times New Roman"/>
          <w:i/>
          <w:iCs/>
          <w:sz w:val="24"/>
          <w:szCs w:val="24"/>
        </w:rPr>
        <w:t xml:space="preserve"> can you choose information materials and abridge the content in your own words. </w:t>
      </w:r>
    </w:p>
    <w:p w14:paraId="052629AC"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Majority of the student respondents </w:t>
      </w:r>
      <w:bookmarkStart w:id="1372" w:name="_Hlk145338329"/>
      <w:r>
        <w:rPr>
          <w:rFonts w:ascii="Times New Roman" w:eastAsia="Calibri" w:hAnsi="Times New Roman" w:cs="Times New Roman"/>
          <w:sz w:val="24"/>
          <w:szCs w:val="24"/>
        </w:rPr>
        <w:t xml:space="preserve">204(80%) and 215(84.31%) of the respondents disagreed that they comprehend the nature of publicly available information on the worldwide web and that they can choose information materials and abridge content for use. </w:t>
      </w:r>
      <w:bookmarkEnd w:id="1372"/>
      <w:r>
        <w:rPr>
          <w:rFonts w:ascii="Times New Roman" w:eastAsia="Calibri" w:hAnsi="Times New Roman" w:cs="Times New Roman"/>
          <w:sz w:val="24"/>
          <w:szCs w:val="24"/>
        </w:rPr>
        <w:t>On the other hand, 12 (4.71%) and 10 (3.92%) of respondents believed that they understood the nature of freely available information on the internet, and could easily select and abridge information material in that order.</w:t>
      </w:r>
    </w:p>
    <w:p w14:paraId="24197058" w14:textId="77777777" w:rsidR="00B01D46" w:rsidRDefault="0067013E">
      <w:pPr>
        <w:pStyle w:val="Heading5"/>
      </w:pPr>
      <w:bookmarkStart w:id="1373" w:name="_Toc165363444"/>
      <w:bookmarkStart w:id="1374" w:name="_Toc164664047"/>
      <w:bookmarkStart w:id="1375" w:name="_Toc165368421"/>
      <w:bookmarkStart w:id="1376" w:name="_Toc165369237"/>
      <w:bookmarkStart w:id="1377" w:name="_Toc165365218"/>
      <w:bookmarkStart w:id="1378" w:name="_Toc184272930"/>
      <w:r>
        <w:t>5.4.1.1.7 Social and Co-operative</w:t>
      </w:r>
      <w:bookmarkEnd w:id="1373"/>
      <w:bookmarkEnd w:id="1374"/>
      <w:bookmarkEnd w:id="1375"/>
      <w:bookmarkEnd w:id="1376"/>
      <w:bookmarkEnd w:id="1377"/>
      <w:bookmarkEnd w:id="1378"/>
    </w:p>
    <w:p w14:paraId="7EF7B708"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According Sauce model (2009) a person who is well-versed in information (information literate), among other requirements, should be able to share/exchange acquired information with peers and also obtain information from their peers. To address this concern, the respondents addressed the following statements: - </w:t>
      </w:r>
      <w:r>
        <w:rPr>
          <w:rFonts w:ascii="Times New Roman" w:eastAsia="Calibri" w:hAnsi="Times New Roman" w:cs="Times New Roman"/>
          <w:i/>
          <w:iCs/>
          <w:sz w:val="24"/>
          <w:szCs w:val="24"/>
        </w:rPr>
        <w:t>can you use group discussions to obtain and exchange information, can you use newsgroups to obtain and use information, and do you incorporate contemporary information into an established body of expertise.</w:t>
      </w:r>
    </w:p>
    <w:p w14:paraId="0035B0A9"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revealed that </w:t>
      </w:r>
      <w:bookmarkStart w:id="1379" w:name="_Hlk145339575"/>
      <w:r>
        <w:rPr>
          <w:rFonts w:ascii="Times New Roman" w:hAnsi="Times New Roman" w:cs="Times New Roman"/>
          <w:sz w:val="24"/>
          <w:szCs w:val="24"/>
        </w:rPr>
        <w:t>184 (72.16%), 179 (70.20%), and 79 (30.98%) of the students stated that they use group discussions to receive and exchange information, newsgroups to obtain and manipulate information, and can amalgamate contemporary information into the current insights/expertise in that order.</w:t>
      </w:r>
      <w:bookmarkEnd w:id="1379"/>
      <w:r>
        <w:rPr>
          <w:rFonts w:ascii="Times New Roman" w:hAnsi="Times New Roman" w:cs="Times New Roman"/>
          <w:sz w:val="24"/>
          <w:szCs w:val="24"/>
        </w:rPr>
        <w:t xml:space="preserve"> While 26 (10.20%), 34 (13.33%), and </w:t>
      </w:r>
      <w:bookmarkStart w:id="1380" w:name="_Hlk145340283"/>
      <w:r>
        <w:rPr>
          <w:rFonts w:ascii="Times New Roman" w:hAnsi="Times New Roman" w:cs="Times New Roman"/>
          <w:sz w:val="24"/>
          <w:szCs w:val="24"/>
        </w:rPr>
        <w:t xml:space="preserve">147 (57.65%) </w:t>
      </w:r>
      <w:bookmarkEnd w:id="1380"/>
      <w:r>
        <w:rPr>
          <w:rFonts w:ascii="Times New Roman" w:hAnsi="Times New Roman" w:cs="Times New Roman"/>
          <w:sz w:val="24"/>
          <w:szCs w:val="24"/>
        </w:rPr>
        <w:t>of those respondents disputed that they use group conversations to gather and distribute knowledge, they exploit newsgroups/online forums to receive and use information, and can integrate new information into the current knowledge base correspondingly</w:t>
      </w:r>
      <w:r>
        <w:rPr>
          <w:rFonts w:ascii="Times New Roman" w:eastAsia="Calibri" w:hAnsi="Times New Roman" w:cs="Times New Roman"/>
          <w:sz w:val="24"/>
          <w:szCs w:val="24"/>
        </w:rPr>
        <w:t>.</w:t>
      </w:r>
    </w:p>
    <w:p w14:paraId="26C6F586" w14:textId="77777777" w:rsidR="00B01D46" w:rsidRDefault="0067013E">
      <w:pPr>
        <w:pStyle w:val="Heading5"/>
      </w:pPr>
      <w:bookmarkStart w:id="1381" w:name="_Toc165368422"/>
      <w:bookmarkStart w:id="1382" w:name="_Toc165363445"/>
      <w:bookmarkStart w:id="1383" w:name="_Toc164664048"/>
      <w:bookmarkStart w:id="1384" w:name="_Toc165365219"/>
      <w:bookmarkStart w:id="1385" w:name="_Toc165369238"/>
      <w:bookmarkStart w:id="1386" w:name="_Toc184272931"/>
      <w:r>
        <w:lastRenderedPageBreak/>
        <w:t>5.4.1.1.8 Labor and Learning Skills</w:t>
      </w:r>
      <w:bookmarkEnd w:id="1381"/>
      <w:bookmarkEnd w:id="1382"/>
      <w:bookmarkEnd w:id="1383"/>
      <w:bookmarkEnd w:id="1384"/>
      <w:bookmarkEnd w:id="1385"/>
      <w:bookmarkEnd w:id="1386"/>
    </w:p>
    <w:p w14:paraId="39C5DD03" w14:textId="77777777" w:rsidR="00B01D46" w:rsidRDefault="0067013E">
      <w:pPr>
        <w:spacing w:after="0" w:line="480" w:lineRule="auto"/>
        <w:ind w:right="65"/>
        <w:jc w:val="both"/>
        <w:rPr>
          <w:rFonts w:ascii="Times New Roman" w:eastAsia="Calibri" w:hAnsi="Times New Roman" w:cs="Times New Roman"/>
          <w:i/>
          <w:iCs/>
          <w:sz w:val="24"/>
          <w:szCs w:val="24"/>
        </w:rPr>
      </w:pPr>
      <w:r>
        <w:rPr>
          <w:rFonts w:ascii="Times New Roman" w:eastAsia="Calibri" w:hAnsi="Times New Roman" w:cs="Times New Roman"/>
          <w:sz w:val="24"/>
          <w:szCs w:val="24"/>
        </w:rPr>
        <w:t>The study sought to understand if students have learnt skills that can empower them to search information appropriately, access information from any format or source, and ethically use the accessed information. To adequately address this sub-theme the respondents were requested to answer the following questions: "</w:t>
      </w:r>
      <w:r>
        <w:rPr>
          <w:rFonts w:ascii="Times New Roman" w:eastAsia="Calibri" w:hAnsi="Times New Roman" w:cs="Times New Roman"/>
          <w:i/>
          <w:iCs/>
          <w:sz w:val="24"/>
          <w:szCs w:val="24"/>
        </w:rPr>
        <w:t>Can you accurately clarify a topic's concepts?" Are you able to take notes from both print and electronic resources? "Do you use information in an ethical and legal manner?"</w:t>
      </w:r>
    </w:p>
    <w:p w14:paraId="76BCA151"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results found out that majority 232 (90.98%), 180 (70.59%), and 21 (8.24%) of the students, agreed that they can accurately clarify a topic's concepts, take notes from non-print and print sources by printing or saving into a disc, and apply information legally and ethically in that order. Whereas 9(3.53%), 21(8.24%), and 198(77.65%) of respondents disputed that they can accurately clarify a topic’s concepts, can take notes from print and electronic sources by printing and saving them to a disc and apply information legally and ethically respectively.</w:t>
      </w:r>
    </w:p>
    <w:p w14:paraId="3D85897A" w14:textId="77777777" w:rsidR="00B01D46" w:rsidRDefault="0067013E">
      <w:pPr>
        <w:pStyle w:val="Heading4"/>
        <w:ind w:left="810" w:hanging="810"/>
      </w:pPr>
      <w:bookmarkStart w:id="1387" w:name="_Toc184272932"/>
      <w:bookmarkStart w:id="1388" w:name="_Toc165365220"/>
      <w:bookmarkStart w:id="1389" w:name="_Toc165975836"/>
      <w:bookmarkStart w:id="1390" w:name="_Toc165369239"/>
      <w:bookmarkStart w:id="1391" w:name="_Toc165973115"/>
      <w:bookmarkStart w:id="1392" w:name="_Toc165363446"/>
      <w:bookmarkStart w:id="1393" w:name="_Toc165368423"/>
      <w:bookmarkStart w:id="1394" w:name="_Toc164664049"/>
      <w:r>
        <w:t>5.4.1.2 Lecturers’ Response on ILS Parameter to Determine ILS Status of Medical Students</w:t>
      </w:r>
      <w:bookmarkEnd w:id="1387"/>
    </w:p>
    <w:p w14:paraId="46F7DA46" w14:textId="77777777" w:rsidR="00B01D46" w:rsidRDefault="0067013E">
      <w:pPr>
        <w:pStyle w:val="Heading5"/>
      </w:pPr>
      <w:bookmarkStart w:id="1395" w:name="_Toc184272933"/>
      <w:r>
        <w:t>5.4.1.2.1 ILS Status of Medical Students</w:t>
      </w:r>
      <w:bookmarkEnd w:id="1395"/>
      <w:r>
        <w:t xml:space="preserve"> </w:t>
      </w:r>
    </w:p>
    <w:bookmarkEnd w:id="1388"/>
    <w:bookmarkEnd w:id="1389"/>
    <w:bookmarkEnd w:id="1390"/>
    <w:bookmarkEnd w:id="1391"/>
    <w:bookmarkEnd w:id="1392"/>
    <w:bookmarkEnd w:id="1393"/>
    <w:bookmarkEnd w:id="1394"/>
    <w:p w14:paraId="2D7D77D0" w14:textId="77777777" w:rsidR="00B01D46" w:rsidRDefault="0067013E">
      <w:pPr>
        <w:autoSpaceDE w:val="0"/>
        <w:autoSpaceDN w:val="0"/>
        <w:adjustRightInd w:val="0"/>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lecturers were prompted to respond to closed-ended questions on a Likert rating scale that aimed to quantify the status of ILS among undergraduate medical students on a rating scale of 5 to 1, with 5 indicating strongly disagree, 4 indicating disagree, 3 indicating neutral, 2 indicating agreement, and 1 indicating strong agreement.</w:t>
      </w:r>
    </w:p>
    <w:p w14:paraId="416A2BDF" w14:textId="77777777" w:rsidR="00B01D46" w:rsidRDefault="0067013E">
      <w:pPr>
        <w:spacing w:after="0" w:line="240" w:lineRule="auto"/>
        <w:rPr>
          <w:rFonts w:ascii="Times New Roman" w:hAnsi="Times New Roman"/>
          <w:bCs/>
          <w:i/>
          <w:sz w:val="24"/>
          <w:szCs w:val="18"/>
        </w:rPr>
      </w:pPr>
      <w:bookmarkStart w:id="1396" w:name="_Toc165975837"/>
      <w:bookmarkStart w:id="1397" w:name="_Toc165973116"/>
      <w:bookmarkStart w:id="1398" w:name="_Hlk159792816"/>
      <w:r>
        <w:br w:type="page"/>
      </w:r>
    </w:p>
    <w:p w14:paraId="2121E487" w14:textId="77777777" w:rsidR="00B01D46" w:rsidRDefault="0067013E">
      <w:pPr>
        <w:pStyle w:val="Caption"/>
        <w:rPr>
          <w:rFonts w:eastAsia="Calibri"/>
          <w:color w:val="000000"/>
        </w:rPr>
      </w:pPr>
      <w:bookmarkStart w:id="1399" w:name="_Toc184271997"/>
      <w:bookmarkStart w:id="1400" w:name="_Toc184276907"/>
      <w:r>
        <w:lastRenderedPageBreak/>
        <w:t xml:space="preserve">Table 5.8: </w:t>
      </w:r>
      <w:bookmarkStart w:id="1401" w:name="_Hlk147911888"/>
      <w:r>
        <w:t>Lecturers' Responses on the Status of ILS of Undergraduate Medical Students (</w:t>
      </w:r>
      <w:r>
        <w:rPr>
          <w:rFonts w:eastAsia="Calibri"/>
          <w:color w:val="000000"/>
        </w:rPr>
        <w:t>N=62)</w:t>
      </w:r>
      <w:bookmarkEnd w:id="1396"/>
      <w:bookmarkEnd w:id="1397"/>
      <w:bookmarkEnd w:id="1399"/>
      <w:bookmarkEnd w:id="1400"/>
    </w:p>
    <w:bookmarkEnd w:id="1398"/>
    <w:p w14:paraId="2C48D2B4" w14:textId="77777777" w:rsidR="00B01D46" w:rsidRDefault="0067013E">
      <w:pPr>
        <w:spacing w:before="120" w:after="0"/>
        <w:ind w:right="6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E5FDC6" wp14:editId="13457D4F">
            <wp:extent cx="5162550" cy="2417445"/>
            <wp:effectExtent l="0" t="0" r="0" b="1905"/>
            <wp:docPr id="13654536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453625"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181150" cy="2426074"/>
                    </a:xfrm>
                    <a:prstGeom prst="rect">
                      <a:avLst/>
                    </a:prstGeom>
                    <a:noFill/>
                    <a:ln>
                      <a:noFill/>
                    </a:ln>
                  </pic:spPr>
                </pic:pic>
              </a:graphicData>
            </a:graphic>
          </wp:inline>
        </w:drawing>
      </w:r>
    </w:p>
    <w:p w14:paraId="00C81E0F" w14:textId="77777777" w:rsidR="00B01D46" w:rsidRDefault="0067013E">
      <w:pPr>
        <w:spacing w:before="120" w:after="0" w:line="480" w:lineRule="auto"/>
        <w:ind w:right="65"/>
        <w:jc w:val="both"/>
        <w:rPr>
          <w:rFonts w:ascii="Times New Roman" w:eastAsia="Calibri" w:hAnsi="Times New Roman" w:cs="Times New Roman"/>
          <w:b/>
          <w:sz w:val="24"/>
          <w:szCs w:val="24"/>
        </w:rPr>
      </w:pPr>
      <w:bookmarkStart w:id="1402" w:name="_Hlk101004418"/>
      <w:r>
        <w:rPr>
          <w:rFonts w:ascii="Times New Roman" w:eastAsia="Calibri" w:hAnsi="Times New Roman" w:cs="Times New Roman"/>
          <w:b/>
          <w:bCs/>
          <w:sz w:val="24"/>
          <w:szCs w:val="24"/>
        </w:rPr>
        <w:t>Source</w:t>
      </w:r>
      <w:r>
        <w:rPr>
          <w:rFonts w:ascii="Times New Roman" w:eastAsia="Calibri" w:hAnsi="Times New Roman" w:cs="Times New Roman"/>
          <w:b/>
          <w:sz w:val="24"/>
          <w:szCs w:val="24"/>
        </w:rPr>
        <w:t>: Field data (2021)</w:t>
      </w:r>
    </w:p>
    <w:bookmarkEnd w:id="1401"/>
    <w:p w14:paraId="1835D0B0"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analysis of the findings in table 5.8 above are also discussed using the sub-themes derived from the essential skills facet as suggested in the Sauce model (2009) as drawn from the literature. The sub-themes are information; numeracy; solving problems; communication; individual-management and competitiveness; co-operative and social; and labor &amp; learning abilities.</w:t>
      </w:r>
    </w:p>
    <w:p w14:paraId="63939BFF" w14:textId="77777777" w:rsidR="00B01D46" w:rsidRDefault="0067013E">
      <w:pPr>
        <w:pStyle w:val="Heading5"/>
      </w:pPr>
      <w:bookmarkStart w:id="1403" w:name="_Toc165368424"/>
      <w:bookmarkStart w:id="1404" w:name="_Toc165369241"/>
      <w:bookmarkStart w:id="1405" w:name="_Toc164664050"/>
      <w:bookmarkStart w:id="1406" w:name="_Toc165363447"/>
      <w:bookmarkStart w:id="1407" w:name="_Toc165365221"/>
      <w:bookmarkStart w:id="1408" w:name="_Toc184272934"/>
      <w:r>
        <w:t>5.4.1.2.2 Information Skills Level</w:t>
      </w:r>
      <w:bookmarkEnd w:id="1403"/>
      <w:bookmarkEnd w:id="1404"/>
      <w:bookmarkEnd w:id="1405"/>
      <w:bookmarkEnd w:id="1406"/>
      <w:bookmarkEnd w:id="1407"/>
      <w:bookmarkEnd w:id="1408"/>
    </w:p>
    <w:p w14:paraId="30D4637C" w14:textId="77777777" w:rsidR="00B01D46" w:rsidRDefault="0067013E">
      <w:pPr>
        <w:spacing w:after="0" w:line="480" w:lineRule="auto"/>
        <w:ind w:right="65"/>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Respondents were requested to state how they rate students' ILS skills based on how they search, synthesize, and apply facts. The lecturers responded to these statements;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 xml:space="preserve">Students can define their exact information requirements, students use the information to undertake their everyday task, and students can recognize accurate and complete information </w:t>
      </w:r>
    </w:p>
    <w:p w14:paraId="5EF9661C" w14:textId="77777777" w:rsidR="00B01D46" w:rsidRDefault="0067013E">
      <w:pPr>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study findings revealed that </w:t>
      </w:r>
      <w:bookmarkStart w:id="1409" w:name="_Hlk143786443"/>
      <w:r>
        <w:rPr>
          <w:rFonts w:ascii="Times New Roman" w:hAnsi="Times New Roman" w:cs="Times New Roman"/>
          <w:sz w:val="24"/>
          <w:szCs w:val="24"/>
        </w:rPr>
        <w:t>53 (85.48%), 52 (82.82%)</w:t>
      </w:r>
      <w:bookmarkEnd w:id="1409"/>
      <w:r>
        <w:rPr>
          <w:rFonts w:ascii="Times New Roman" w:hAnsi="Times New Roman" w:cs="Times New Roman"/>
          <w:sz w:val="24"/>
          <w:szCs w:val="24"/>
        </w:rPr>
        <w:t xml:space="preserve">, and 3 (5.47%) of the lecturer respondents agreed that undergraduate medical students were able to define their exact information requirements, use the information to undertake their everyday tasks, and can recognize accurate and complete information in that order. However, </w:t>
      </w:r>
      <w:r>
        <w:rPr>
          <w:rFonts w:ascii="Times New Roman" w:hAnsi="Times New Roman" w:cs="Times New Roman"/>
          <w:sz w:val="24"/>
          <w:szCs w:val="24"/>
        </w:rPr>
        <w:lastRenderedPageBreak/>
        <w:t>6 (10.16%), 5 (8.59), and 54 (87.09%) of the respondents gainsaid that were able to define their exact information requirements, use the information to undertake their everyday tasks, and can recognize accurate and complete information respectively.</w:t>
      </w:r>
    </w:p>
    <w:p w14:paraId="20CF26C0" w14:textId="77777777" w:rsidR="00B01D46" w:rsidRDefault="0067013E">
      <w:pPr>
        <w:pStyle w:val="Heading5"/>
      </w:pPr>
      <w:bookmarkStart w:id="1410" w:name="_Toc184272935"/>
      <w:bookmarkStart w:id="1411" w:name="_Toc165365222"/>
      <w:bookmarkStart w:id="1412" w:name="_Toc165369242"/>
      <w:bookmarkStart w:id="1413" w:name="_Toc165363448"/>
      <w:bookmarkStart w:id="1414" w:name="_Toc164664051"/>
      <w:bookmarkStart w:id="1415" w:name="_Toc165368425"/>
      <w:r>
        <w:t>5.4.1.2.3 Numeracy Skills</w:t>
      </w:r>
      <w:bookmarkEnd w:id="1410"/>
      <w:bookmarkEnd w:id="1411"/>
      <w:bookmarkEnd w:id="1412"/>
      <w:bookmarkEnd w:id="1413"/>
      <w:bookmarkEnd w:id="1414"/>
      <w:bookmarkEnd w:id="1415"/>
    </w:p>
    <w:p w14:paraId="460E60C7"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According to the findings, 5 (8.60%), 16 (25.70%), and 10 (16.12%) of the respondents indicated that students use several sources of information to improve knowledge about a topic, students use truncation to search for information, and students use Boolean logic to adequately search and retrieve information. On the other hand, </w:t>
      </w:r>
      <w:bookmarkStart w:id="1416" w:name="_Hlk143787258"/>
      <w:r>
        <w:rPr>
          <w:rFonts w:ascii="Times New Roman" w:hAnsi="Times New Roman" w:cs="Times New Roman"/>
          <w:sz w:val="24"/>
          <w:szCs w:val="24"/>
        </w:rPr>
        <w:t>52 (83.37%), 40 (65.63%), and 42 (67.97%) of lecturer respondents disagreed that students can use a variety of reference materials to become more familiar with a subject, can use truncation techniques to search for information, and can use Boolean logic to search for information respectively</w:t>
      </w:r>
      <w:bookmarkEnd w:id="1416"/>
      <w:r>
        <w:rPr>
          <w:rFonts w:ascii="Times New Roman" w:hAnsi="Times New Roman" w:cs="Times New Roman"/>
          <w:sz w:val="24"/>
          <w:szCs w:val="24"/>
        </w:rPr>
        <w:t>.</w:t>
      </w:r>
    </w:p>
    <w:p w14:paraId="30A381A5" w14:textId="77777777" w:rsidR="00B01D46" w:rsidRDefault="0067013E">
      <w:pPr>
        <w:pStyle w:val="Heading5"/>
      </w:pPr>
      <w:bookmarkStart w:id="1417" w:name="_Toc164664052"/>
      <w:bookmarkStart w:id="1418" w:name="_Toc165368426"/>
      <w:bookmarkStart w:id="1419" w:name="_Toc165365223"/>
      <w:bookmarkStart w:id="1420" w:name="_Toc165369243"/>
      <w:bookmarkStart w:id="1421" w:name="_Toc165363449"/>
      <w:bookmarkStart w:id="1422" w:name="_Toc184272936"/>
      <w:r>
        <w:t>5.4.1.2.4 Problem-Solving</w:t>
      </w:r>
      <w:bookmarkEnd w:id="1417"/>
      <w:bookmarkEnd w:id="1418"/>
      <w:bookmarkEnd w:id="1419"/>
      <w:bookmarkEnd w:id="1420"/>
      <w:bookmarkEnd w:id="1421"/>
      <w:bookmarkEnd w:id="1422"/>
    </w:p>
    <w:p w14:paraId="0BB15822" w14:textId="77777777" w:rsidR="00B01D46" w:rsidRDefault="0067013E">
      <w:pPr>
        <w:spacing w:after="0" w:line="480" w:lineRule="auto"/>
        <w:ind w:right="65"/>
        <w:jc w:val="both"/>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The study sought to understand if students use searched information for problem-solving, therefore, the lecturer respondents were asked to respond to statements: </w:t>
      </w:r>
      <w:r>
        <w:rPr>
          <w:rFonts w:ascii="Times New Roman" w:eastAsia="Calibri" w:hAnsi="Times New Roman" w:cs="Times New Roman"/>
          <w:i/>
          <w:iCs/>
          <w:sz w:val="24"/>
          <w:szCs w:val="24"/>
        </w:rPr>
        <w:t>students can narrow down the internet search by fields, students are capable of applying acquired information to critically think and solve study related problems, and students can effectively use the library catalogue to look up for particular information.</w:t>
      </w:r>
    </w:p>
    <w:p w14:paraId="2D8EC4E1"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allude that most of the lecturer respondents 29 (46.08%), </w:t>
      </w:r>
      <w:bookmarkStart w:id="1423" w:name="_Hlk143790970"/>
      <w:r>
        <w:rPr>
          <w:rFonts w:ascii="Times New Roman" w:eastAsia="Calibri" w:hAnsi="Times New Roman" w:cs="Times New Roman"/>
          <w:sz w:val="24"/>
          <w:szCs w:val="24"/>
        </w:rPr>
        <w:t xml:space="preserve">52 (82.81%) and 32 (50.75%) disagreed that students can narrow down the internet search by fields, students utilize the information for problem-solving and critical thinking and students utilize the catalog to search for specific information correspondingly. </w:t>
      </w:r>
      <w:bookmarkEnd w:id="1423"/>
      <w:r>
        <w:rPr>
          <w:rFonts w:ascii="Times New Roman" w:eastAsia="Calibri" w:hAnsi="Times New Roman" w:cs="Times New Roman"/>
          <w:sz w:val="24"/>
          <w:szCs w:val="24"/>
        </w:rPr>
        <w:t xml:space="preserve">On the contrary, 6 (9.38%), 5 (8.06%) and 5 (8.06%) of the respondents were of a neutral </w:t>
      </w:r>
      <w:r>
        <w:rPr>
          <w:rFonts w:ascii="Times New Roman" w:eastAsia="Calibri" w:hAnsi="Times New Roman" w:cs="Times New Roman"/>
          <w:sz w:val="24"/>
          <w:szCs w:val="24"/>
        </w:rPr>
        <w:lastRenderedPageBreak/>
        <w:t xml:space="preserve">opinion that students can limit the online search by field, utilize information for thinking critically and problem solutions, and can utilize the library catalog to find explicit information in that order. </w:t>
      </w:r>
    </w:p>
    <w:p w14:paraId="5923ABE0" w14:textId="77777777" w:rsidR="00B01D46" w:rsidRDefault="0067013E">
      <w:pPr>
        <w:pStyle w:val="Heading5"/>
      </w:pPr>
      <w:bookmarkStart w:id="1424" w:name="_Toc165363450"/>
      <w:bookmarkStart w:id="1425" w:name="_Toc165365224"/>
      <w:bookmarkStart w:id="1426" w:name="_Toc165368427"/>
      <w:bookmarkStart w:id="1427" w:name="_Toc184272937"/>
      <w:bookmarkStart w:id="1428" w:name="_Toc164664053"/>
      <w:bookmarkStart w:id="1429" w:name="_Toc165369244"/>
      <w:r>
        <w:t>5.4.1.2.5 Communication</w:t>
      </w:r>
      <w:bookmarkEnd w:id="1424"/>
      <w:bookmarkEnd w:id="1425"/>
      <w:bookmarkEnd w:id="1426"/>
      <w:bookmarkEnd w:id="1427"/>
      <w:bookmarkEnd w:id="1428"/>
      <w:bookmarkEnd w:id="1429"/>
    </w:p>
    <w:p w14:paraId="48859CCC"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lecturers were requested to respond to statements</w:t>
      </w:r>
      <w:r>
        <w:rPr>
          <w:rFonts w:ascii="Times New Roman" w:eastAsia="Calibri" w:hAnsi="Times New Roman" w:cs="Times New Roman"/>
          <w:i/>
          <w:iCs/>
          <w:sz w:val="24"/>
          <w:szCs w:val="24"/>
        </w:rPr>
        <w:t>: students utilize mailing lists to obtain and use information and students utilize the web address to search the internet</w:t>
      </w:r>
    </w:p>
    <w:p w14:paraId="48DD1194"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results indicated the majority of lecturers 39 (63.28%) and 53(85.48%) agreed that students use mailing lists to collect and use information, and they use web addresses for internet searches in that order. However, 13 (21.08%) and 3(4.69%) of respondents disagreed that students use mailing lists to collect and use information, and that they use web addresses to look for information on the internet respectively.</w:t>
      </w:r>
    </w:p>
    <w:p w14:paraId="63F841F1" w14:textId="77777777" w:rsidR="00B01D46" w:rsidRDefault="0067013E">
      <w:pPr>
        <w:pStyle w:val="Heading5"/>
      </w:pPr>
      <w:bookmarkStart w:id="1430" w:name="_Toc164664054"/>
      <w:bookmarkStart w:id="1431" w:name="_Toc165363451"/>
      <w:bookmarkStart w:id="1432" w:name="_Toc165365225"/>
      <w:bookmarkStart w:id="1433" w:name="_Toc184272938"/>
      <w:bookmarkStart w:id="1434" w:name="_Toc165368428"/>
      <w:bookmarkStart w:id="1435" w:name="_Toc165369245"/>
      <w:r>
        <w:t>5.4.1.2.6 Self-Management and Competitive</w:t>
      </w:r>
      <w:bookmarkEnd w:id="1430"/>
      <w:bookmarkEnd w:id="1431"/>
      <w:bookmarkEnd w:id="1432"/>
      <w:bookmarkEnd w:id="1433"/>
      <w:bookmarkEnd w:id="1434"/>
      <w:bookmarkEnd w:id="1435"/>
    </w:p>
    <w:p w14:paraId="460698F6"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research intended to determine if learners utilized information for self-management and for competitiveness. This concern was addressed through the following statements; </w:t>
      </w:r>
    </w:p>
    <w:p w14:paraId="0626EA1D" w14:textId="77777777" w:rsidR="00B01D46" w:rsidRDefault="0067013E">
      <w:pPr>
        <w:spacing w:before="120" w:after="0" w:line="240" w:lineRule="auto"/>
        <w:ind w:left="851"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ability of the students to choose information materials and abridge in their own words and use, and comprehend the type of information accessible through the global web. </w:t>
      </w:r>
    </w:p>
    <w:p w14:paraId="1DF01EB9"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Majority of the study participants </w:t>
      </w:r>
      <w:bookmarkStart w:id="1436" w:name="_Hlk145338380"/>
      <w:r>
        <w:rPr>
          <w:rFonts w:ascii="Times New Roman" w:eastAsia="Calibri" w:hAnsi="Times New Roman" w:cs="Times New Roman"/>
          <w:sz w:val="24"/>
          <w:szCs w:val="24"/>
        </w:rPr>
        <w:t xml:space="preserve">51(82.03%) and 49(79.68%) disagreed that </w:t>
      </w:r>
      <w:r>
        <w:rPr>
          <w:rFonts w:ascii="Times New Roman" w:eastAsia="Times New Roman" w:hAnsi="Times New Roman" w:cs="Times New Roman"/>
          <w:color w:val="000000"/>
          <w:sz w:val="24"/>
          <w:szCs w:val="24"/>
        </w:rPr>
        <w:t>students can choose information items and summarize them in their unique terms for their individual use, and they</w:t>
      </w:r>
      <w:r>
        <w:rPr>
          <w:rFonts w:ascii="Times New Roman" w:eastAsia="Calibri" w:hAnsi="Times New Roman" w:cs="Times New Roman"/>
          <w:sz w:val="24"/>
          <w:szCs w:val="24"/>
        </w:rPr>
        <w:t xml:space="preserve"> understood the type of information accessible through the global web correspondingly. </w:t>
      </w:r>
      <w:bookmarkEnd w:id="1436"/>
      <w:r>
        <w:rPr>
          <w:rFonts w:ascii="Times New Roman" w:eastAsia="Times New Roman" w:hAnsi="Times New Roman" w:cs="Times New Roman"/>
          <w:color w:val="000000"/>
          <w:sz w:val="24"/>
          <w:szCs w:val="24"/>
        </w:rPr>
        <w:t xml:space="preserve">However, 11(8.59%) and </w:t>
      </w:r>
      <w:r>
        <w:rPr>
          <w:rFonts w:ascii="Times New Roman" w:eastAsia="Calibri" w:hAnsi="Times New Roman" w:cs="Times New Roman"/>
          <w:sz w:val="24"/>
          <w:szCs w:val="24"/>
        </w:rPr>
        <w:t xml:space="preserve">7(11.72%) </w:t>
      </w:r>
      <w:r>
        <w:rPr>
          <w:rFonts w:ascii="Times New Roman" w:eastAsia="Times New Roman" w:hAnsi="Times New Roman" w:cs="Times New Roman"/>
          <w:color w:val="000000"/>
          <w:sz w:val="24"/>
          <w:szCs w:val="24"/>
        </w:rPr>
        <w:t xml:space="preserve">of the respondents agreed that students can choose information materials and abridge in </w:t>
      </w:r>
      <w:r>
        <w:rPr>
          <w:rFonts w:ascii="Times New Roman" w:eastAsia="Times New Roman" w:hAnsi="Times New Roman" w:cs="Times New Roman"/>
          <w:color w:val="000000"/>
          <w:sz w:val="24"/>
          <w:szCs w:val="24"/>
        </w:rPr>
        <w:lastRenderedPageBreak/>
        <w:t>their own words for their use, and</w:t>
      </w:r>
      <w:r>
        <w:rPr>
          <w:rFonts w:ascii="Times New Roman" w:eastAsia="Calibri" w:hAnsi="Times New Roman" w:cs="Times New Roman"/>
          <w:sz w:val="24"/>
          <w:szCs w:val="24"/>
        </w:rPr>
        <w:t xml:space="preserve"> students comprehend the type of information accessible through the global web respectively.</w:t>
      </w:r>
    </w:p>
    <w:p w14:paraId="1FD75DED" w14:textId="77777777" w:rsidR="00B01D46" w:rsidRDefault="0067013E">
      <w:pPr>
        <w:pStyle w:val="Heading5"/>
      </w:pPr>
      <w:bookmarkStart w:id="1437" w:name="_Toc165369246"/>
      <w:bookmarkStart w:id="1438" w:name="_Toc165365226"/>
      <w:bookmarkStart w:id="1439" w:name="_Toc165363452"/>
      <w:bookmarkStart w:id="1440" w:name="_Toc184272939"/>
      <w:bookmarkStart w:id="1441" w:name="_Toc165368429"/>
      <w:bookmarkStart w:id="1442" w:name="_Toc164664055"/>
      <w:r>
        <w:t>5.4.1.2.7 Social and Co-operative</w:t>
      </w:r>
      <w:bookmarkEnd w:id="1437"/>
      <w:bookmarkEnd w:id="1438"/>
      <w:bookmarkEnd w:id="1439"/>
      <w:bookmarkEnd w:id="1440"/>
      <w:bookmarkEnd w:id="1441"/>
      <w:bookmarkEnd w:id="1442"/>
    </w:p>
    <w:p w14:paraId="243B01D9" w14:textId="77777777" w:rsidR="00B01D46" w:rsidRDefault="0067013E">
      <w:pPr>
        <w:spacing w:after="0" w:line="480" w:lineRule="auto"/>
        <w:ind w:right="65"/>
        <w:jc w:val="both"/>
        <w:rPr>
          <w:rFonts w:ascii="Times New Roman" w:eastAsia="Calibri" w:hAnsi="Times New Roman" w:cs="Times New Roman"/>
          <w:i/>
          <w:iCs/>
          <w:sz w:val="24"/>
          <w:szCs w:val="24"/>
        </w:rPr>
      </w:pPr>
      <w:r>
        <w:rPr>
          <w:rFonts w:ascii="Times New Roman" w:eastAsia="Times New Roman" w:hAnsi="Times New Roman" w:cs="Times New Roman"/>
          <w:color w:val="000000"/>
          <w:sz w:val="24"/>
          <w:szCs w:val="24"/>
        </w:rPr>
        <w:t xml:space="preserve">To address this sub-theme, the respondents were required to respond </w:t>
      </w:r>
      <w:r>
        <w:rPr>
          <w:rFonts w:ascii="Times New Roman" w:eastAsia="Times New Roman" w:hAnsi="Times New Roman" w:cs="Times New Roman"/>
          <w:i/>
          <w:iCs/>
          <w:color w:val="000000"/>
          <w:sz w:val="24"/>
          <w:szCs w:val="24"/>
        </w:rPr>
        <w:t xml:space="preserve">if students utilize group discussions to gather and share information, if students utilize newsgroups/online forums to gather and share information and whether they can </w:t>
      </w:r>
      <w:r>
        <w:rPr>
          <w:rFonts w:ascii="Times New Roman" w:eastAsia="Calibri" w:hAnsi="Times New Roman" w:cs="Times New Roman"/>
          <w:i/>
          <w:iCs/>
          <w:sz w:val="24"/>
          <w:szCs w:val="24"/>
        </w:rPr>
        <w:t xml:space="preserve">integrate new information into an existing body of knowledge. </w:t>
      </w:r>
    </w:p>
    <w:p w14:paraId="06C2B6E1"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rPr>
        <w:t xml:space="preserve">Study results indicated that, </w:t>
      </w:r>
      <w:bookmarkStart w:id="1443" w:name="_Hlk145339755"/>
      <w:r>
        <w:rPr>
          <w:rFonts w:ascii="Times New Roman" w:eastAsia="Times New Roman" w:hAnsi="Times New Roman" w:cs="Times New Roman"/>
          <w:color w:val="000000"/>
          <w:sz w:val="24"/>
          <w:szCs w:val="24"/>
        </w:rPr>
        <w:t>55 (89.06%), 55 (89.06%),</w:t>
      </w:r>
      <w:bookmarkEnd w:id="1443"/>
      <w:r>
        <w:rPr>
          <w:rFonts w:ascii="Times New Roman" w:eastAsia="Times New Roman" w:hAnsi="Times New Roman" w:cs="Times New Roman"/>
          <w:color w:val="000000"/>
          <w:sz w:val="24"/>
          <w:szCs w:val="24"/>
        </w:rPr>
        <w:t xml:space="preserve"> and 5 (7.81%) of the participants surveyed agreed </w:t>
      </w:r>
      <w:bookmarkStart w:id="1444" w:name="_Hlk145339835"/>
      <w:r>
        <w:rPr>
          <w:rFonts w:ascii="Times New Roman" w:eastAsia="Times New Roman" w:hAnsi="Times New Roman" w:cs="Times New Roman"/>
          <w:color w:val="000000"/>
          <w:sz w:val="24"/>
          <w:szCs w:val="24"/>
        </w:rPr>
        <w:t>that students use group discussions for collecting and exchanging information, newsgroups/online forums to gather and share information,</w:t>
      </w:r>
      <w:bookmarkEnd w:id="1444"/>
      <w:r>
        <w:rPr>
          <w:rFonts w:ascii="Times New Roman" w:eastAsia="Times New Roman" w:hAnsi="Times New Roman" w:cs="Times New Roman"/>
          <w:color w:val="000000"/>
          <w:sz w:val="24"/>
          <w:szCs w:val="24"/>
        </w:rPr>
        <w:t xml:space="preserve"> and may incorporate fresh facts into the current knowledge in that order. While 3 (4.69%), 3 (4.69%), and </w:t>
      </w:r>
      <w:bookmarkStart w:id="1445" w:name="_Hlk145340215"/>
      <w:r>
        <w:rPr>
          <w:rFonts w:ascii="Times New Roman" w:eastAsia="Times New Roman" w:hAnsi="Times New Roman" w:cs="Times New Roman"/>
          <w:color w:val="000000"/>
          <w:sz w:val="24"/>
          <w:szCs w:val="24"/>
        </w:rPr>
        <w:t xml:space="preserve">50 (80.47%) </w:t>
      </w:r>
      <w:bookmarkEnd w:id="1445"/>
      <w:r>
        <w:rPr>
          <w:rFonts w:ascii="Times New Roman" w:eastAsia="Times New Roman" w:hAnsi="Times New Roman" w:cs="Times New Roman"/>
          <w:color w:val="000000"/>
          <w:sz w:val="24"/>
          <w:szCs w:val="24"/>
        </w:rPr>
        <w:t>of respondents disagreed that students leverage group discussions to acquire and exchange information, newsgroups/online forums to gather and share information, and may incorporate fresh facts into the current knowledge respectively</w:t>
      </w:r>
      <w:r>
        <w:rPr>
          <w:rFonts w:ascii="Times New Roman" w:eastAsia="Calibri" w:hAnsi="Times New Roman" w:cs="Times New Roman"/>
          <w:sz w:val="24"/>
          <w:szCs w:val="24"/>
        </w:rPr>
        <w:t>.</w:t>
      </w:r>
    </w:p>
    <w:p w14:paraId="76EE8F6E" w14:textId="77777777" w:rsidR="00B01D46" w:rsidRDefault="0067013E">
      <w:pPr>
        <w:pStyle w:val="Heading5"/>
      </w:pPr>
      <w:bookmarkStart w:id="1446" w:name="_Toc164664056"/>
      <w:bookmarkStart w:id="1447" w:name="_Toc165369247"/>
      <w:bookmarkStart w:id="1448" w:name="_Toc165363453"/>
      <w:bookmarkStart w:id="1449" w:name="_Toc165365227"/>
      <w:bookmarkStart w:id="1450" w:name="_Toc165368430"/>
      <w:bookmarkStart w:id="1451" w:name="_Toc184272940"/>
      <w:r>
        <w:t>5.4.1.2.8 Labor and Learning Skills</w:t>
      </w:r>
      <w:bookmarkEnd w:id="1446"/>
      <w:bookmarkEnd w:id="1447"/>
      <w:bookmarkEnd w:id="1448"/>
      <w:bookmarkEnd w:id="1449"/>
      <w:bookmarkEnd w:id="1450"/>
      <w:bookmarkEnd w:id="1451"/>
    </w:p>
    <w:p w14:paraId="390169EB" w14:textId="77777777" w:rsidR="00B01D46" w:rsidRDefault="0067013E">
      <w:pPr>
        <w:spacing w:after="0" w:line="480" w:lineRule="auto"/>
        <w:ind w:right="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study wanted to divulge if students can recognize accurate and complete information. The study findings revealed that 3 (4.69%), 55(88.28%), 43(70.32%) and 25 (40.61%) of the lecturers agreed that learners can recognize accurate and complete information, can take notes from print and electronic sources by the printing or saving them to disk, can accurately clarify a topic’s concepts and can utilize information ethically and lawfully in that order. However, 54 (87.08%), 8(6.24%), 5 (8.06%), 11(17.74%) and 28 (45.32%) of the lecturers gainsaid that student can recognize accurate and complete information, can take notes from print and electronic </w:t>
      </w:r>
      <w:r>
        <w:rPr>
          <w:rFonts w:ascii="Times New Roman" w:eastAsia="Times New Roman" w:hAnsi="Times New Roman" w:cs="Times New Roman"/>
          <w:color w:val="000000"/>
          <w:sz w:val="24"/>
          <w:szCs w:val="24"/>
        </w:rPr>
        <w:lastRenderedPageBreak/>
        <w:t>sources by the printing or saving them to a disk, can accurately clarify a topic’s concepts and can utilize information ethically and legally correspondingly.</w:t>
      </w:r>
    </w:p>
    <w:p w14:paraId="06493910" w14:textId="77777777" w:rsidR="00B01D46" w:rsidRDefault="0067013E">
      <w:pPr>
        <w:shd w:val="clear" w:color="auto" w:fill="FFFFFF"/>
        <w:tabs>
          <w:tab w:val="left" w:pos="360"/>
        </w:tabs>
        <w:autoSpaceDE w:val="0"/>
        <w:autoSpaceDN w:val="0"/>
        <w:adjustRightInd w:val="0"/>
        <w:spacing w:before="120" w:after="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Concerning the Status of their ILS, One University librarian (UL01) was interviewed and had this to say: </w:t>
      </w:r>
    </w:p>
    <w:p w14:paraId="421EC260" w14:textId="77777777" w:rsidR="00B01D46" w:rsidRDefault="0067013E">
      <w:pPr>
        <w:spacing w:before="120" w:after="0" w:line="240" w:lineRule="auto"/>
        <w:ind w:left="720" w:right="9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ILS has helped many students improve and refine their communication and socialization abilities, as well as fundamental information locating and usage skills.... However, majority of students are unable to synthesize and apply the knowledge needed... We also have a plagiarism problem among our finalist pupils..." </w:t>
      </w:r>
    </w:p>
    <w:p w14:paraId="3113B31E"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Additionally, one Medical Librarian (ML02) said:</w:t>
      </w:r>
    </w:p>
    <w:p w14:paraId="5BCB625C" w14:textId="77777777" w:rsidR="00B01D46" w:rsidRDefault="0067013E">
      <w:pPr>
        <w:spacing w:before="120" w:after="0" w:line="240" w:lineRule="auto"/>
        <w:ind w:left="720" w:right="965"/>
        <w:jc w:val="both"/>
        <w:rPr>
          <w:rFonts w:ascii="Times New Roman" w:eastAsia="Calibri" w:hAnsi="Times New Roman" w:cs="Times New Roman"/>
          <w:sz w:val="24"/>
          <w:szCs w:val="24"/>
        </w:rPr>
      </w:pPr>
      <w:r>
        <w:rPr>
          <w:rFonts w:ascii="Times New Roman" w:eastAsia="Calibri" w:hAnsi="Times New Roman" w:cs="Times New Roman"/>
          <w:i/>
          <w:iCs/>
          <w:sz w:val="24"/>
          <w:szCs w:val="24"/>
        </w:rPr>
        <w:t>“……. . majority of our undergraduate students do not have sufficient ILS skills hence majority of them don’t have independent searching skills, or ability to compare and contrast information retrieved from a range of information resources and understand them….”</w:t>
      </w:r>
      <w:r>
        <w:rPr>
          <w:rFonts w:ascii="Times New Roman" w:eastAsia="Calibri" w:hAnsi="Times New Roman" w:cs="Times New Roman"/>
          <w:sz w:val="24"/>
          <w:szCs w:val="24"/>
        </w:rPr>
        <w:t xml:space="preserve"> </w:t>
      </w:r>
    </w:p>
    <w:p w14:paraId="248942CF"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Further, quoting one of the Head of Department (HD05)</w:t>
      </w:r>
    </w:p>
    <w:p w14:paraId="40D4BB71" w14:textId="77777777" w:rsidR="00B01D46" w:rsidRDefault="0067013E">
      <w:pPr>
        <w:spacing w:before="120" w:after="0" w:line="240" w:lineRule="auto"/>
        <w:ind w:left="720" w:right="965"/>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“…students can conduct basic information resources searches in the library; however, majority of students are unable to search information in complex information databases especially </w:t>
      </w:r>
      <w:r>
        <w:rPr>
          <w:rFonts w:ascii="Times New Roman" w:eastAsia="Calibri" w:hAnsi="Times New Roman" w:cs="Times New Roman"/>
          <w:sz w:val="24"/>
          <w:szCs w:val="24"/>
        </w:rPr>
        <w:t xml:space="preserve">MEDLINE, PROQUEST, NEXISLEXIS </w:t>
      </w:r>
      <w:r>
        <w:rPr>
          <w:rFonts w:ascii="Times New Roman" w:eastAsia="Calibri" w:hAnsi="Times New Roman" w:cs="Times New Roman"/>
          <w:i/>
          <w:sz w:val="24"/>
          <w:szCs w:val="24"/>
        </w:rPr>
        <w:t>… an indication of insufficient ILS skills…. majority of the students cannot do high level information searches….”</w:t>
      </w:r>
    </w:p>
    <w:p w14:paraId="3C27B964" w14:textId="77777777" w:rsidR="00B01D46" w:rsidRDefault="0067013E">
      <w:pPr>
        <w:spacing w:before="120" w:after="0" w:line="480" w:lineRule="auto"/>
        <w:ind w:right="65"/>
        <w:jc w:val="both"/>
        <w:rPr>
          <w:rFonts w:ascii="Times New Roman" w:eastAsia="Calibri" w:hAnsi="Times New Roman" w:cs="Times New Roman"/>
          <w:iCs/>
          <w:sz w:val="24"/>
          <w:szCs w:val="24"/>
        </w:rPr>
      </w:pPr>
      <w:r>
        <w:rPr>
          <w:rFonts w:ascii="Times New Roman" w:eastAsia="Calibri" w:hAnsi="Times New Roman" w:cs="Times New Roman"/>
          <w:iCs/>
          <w:sz w:val="24"/>
          <w:szCs w:val="24"/>
        </w:rPr>
        <w:t>However, another Head of Department (HD02) interviewed said</w:t>
      </w:r>
    </w:p>
    <w:p w14:paraId="5AFFF4EA" w14:textId="77777777" w:rsidR="00B01D46" w:rsidRDefault="0067013E">
      <w:pPr>
        <w:spacing w:before="120" w:after="0" w:line="240" w:lineRule="auto"/>
        <w:ind w:left="720" w:right="965"/>
        <w:jc w:val="both"/>
        <w:rPr>
          <w:rFonts w:ascii="Times New Roman" w:eastAsia="Calibri" w:hAnsi="Times New Roman" w:cs="Times New Roman"/>
          <w:i/>
          <w:sz w:val="24"/>
          <w:szCs w:val="24"/>
        </w:rPr>
      </w:pPr>
      <w:r>
        <w:rPr>
          <w:rFonts w:ascii="Times New Roman" w:eastAsia="Calibri" w:hAnsi="Times New Roman" w:cs="Times New Roman"/>
          <w:i/>
          <w:sz w:val="24"/>
          <w:szCs w:val="24"/>
        </w:rPr>
        <w:t>“……majority of our students do not possess enough or sufficient ILS to enable them to be independent learners and information searchers….”</w:t>
      </w:r>
    </w:p>
    <w:p w14:paraId="286388B4"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Additionally, one Medical Librarian (ML01) said:</w:t>
      </w:r>
    </w:p>
    <w:p w14:paraId="0D80371D" w14:textId="77777777" w:rsidR="00B01D46" w:rsidRDefault="0067013E">
      <w:pPr>
        <w:spacing w:before="120" w:after="0" w:line="240" w:lineRule="auto"/>
        <w:ind w:left="720" w:right="78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iCs/>
          <w:sz w:val="24"/>
          <w:szCs w:val="24"/>
        </w:rPr>
        <w:t>all is not lost, because lecturers are embracing group learning which is helping in imparting ILS learning and training among students….”</w:t>
      </w:r>
    </w:p>
    <w:p w14:paraId="0ACEFF39" w14:textId="77777777" w:rsidR="00B01D46" w:rsidRDefault="0067013E">
      <w:pPr>
        <w:shd w:val="clear" w:color="auto" w:fill="FFFFFF"/>
        <w:tabs>
          <w:tab w:val="left" w:pos="360"/>
        </w:tabs>
        <w:autoSpaceDE w:val="0"/>
        <w:autoSpaceDN w:val="0"/>
        <w:adjustRightInd w:val="0"/>
        <w:spacing w:before="12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rPr>
        <w:t>The sentiments made by HD02 concurred with the sentiments of other heads of departments regarding the</w:t>
      </w:r>
      <w:r>
        <w:rPr>
          <w:rFonts w:ascii="Times New Roman" w:eastAsia="Times New Roman" w:hAnsi="Times New Roman" w:cs="Times New Roman"/>
          <w:sz w:val="24"/>
          <w:szCs w:val="24"/>
        </w:rPr>
        <w:t xml:space="preserve"> status of ILS among undergraduate medical students. </w:t>
      </w:r>
      <w:r>
        <w:rPr>
          <w:rFonts w:ascii="Times New Roman" w:eastAsia="Calibri" w:hAnsi="Times New Roman" w:cs="Times New Roman"/>
          <w:sz w:val="24"/>
          <w:szCs w:val="24"/>
        </w:rPr>
        <w:t>The results indicated that students can define their information needs. However, students have difficulty in obtaining information from different resources like the internet, e-</w:t>
      </w:r>
      <w:r>
        <w:rPr>
          <w:rFonts w:ascii="Times New Roman" w:eastAsia="Calibri" w:hAnsi="Times New Roman" w:cs="Times New Roman"/>
          <w:sz w:val="24"/>
          <w:szCs w:val="24"/>
        </w:rPr>
        <w:lastRenderedPageBreak/>
        <w:t xml:space="preserve">databases, and library shelves, </w:t>
      </w:r>
      <w:bookmarkStart w:id="1452" w:name="_Hlk143791172"/>
      <w:r>
        <w:rPr>
          <w:rFonts w:ascii="Times New Roman" w:eastAsia="Calibri" w:hAnsi="Times New Roman" w:cs="Times New Roman"/>
          <w:sz w:val="24"/>
          <w:szCs w:val="24"/>
        </w:rPr>
        <w:t xml:space="preserve">and </w:t>
      </w:r>
      <w:r>
        <w:rPr>
          <w:rFonts w:ascii="Times New Roman" w:eastAsia="Calibri" w:hAnsi="Times New Roman" w:cs="Times New Roman"/>
          <w:color w:val="000000"/>
          <w:sz w:val="24"/>
          <w:szCs w:val="24"/>
        </w:rPr>
        <w:t>are incapable of utilizing acquired information to critically think and solve study related problems in their fields of study</w:t>
      </w:r>
      <w:r>
        <w:rPr>
          <w:rFonts w:ascii="Times New Roman" w:eastAsia="Calibri" w:hAnsi="Times New Roman" w:cs="Times New Roman"/>
          <w:sz w:val="24"/>
          <w:szCs w:val="24"/>
        </w:rPr>
        <w:t>.</w:t>
      </w:r>
    </w:p>
    <w:p w14:paraId="4221DD36" w14:textId="77777777" w:rsidR="00B01D46" w:rsidRDefault="0067013E">
      <w:pPr>
        <w:pStyle w:val="Heading3"/>
        <w:ind w:left="720" w:hanging="720"/>
      </w:pPr>
      <w:bookmarkStart w:id="1453" w:name="_Toc165368431"/>
      <w:bookmarkStart w:id="1454" w:name="_Toc165975838"/>
      <w:bookmarkStart w:id="1455" w:name="_Toc165363454"/>
      <w:bookmarkStart w:id="1456" w:name="_Toc165365228"/>
      <w:bookmarkStart w:id="1457" w:name="_Toc164664057"/>
      <w:bookmarkStart w:id="1458" w:name="_Toc165369248"/>
      <w:bookmarkStart w:id="1459" w:name="_Toc165973117"/>
      <w:bookmarkStart w:id="1460" w:name="_Toc184272941"/>
      <w:bookmarkEnd w:id="1402"/>
      <w:bookmarkEnd w:id="1452"/>
      <w:r>
        <w:t>5.</w:t>
      </w:r>
      <w:bookmarkStart w:id="1461" w:name="_Hlk154894507"/>
      <w:r>
        <w:t>4.2 ILS policy and Curricula supporting delivery of ILS to medical undergraduate students</w:t>
      </w:r>
      <w:bookmarkEnd w:id="1453"/>
      <w:bookmarkEnd w:id="1454"/>
      <w:bookmarkEnd w:id="1455"/>
      <w:bookmarkEnd w:id="1456"/>
      <w:bookmarkEnd w:id="1457"/>
      <w:bookmarkEnd w:id="1458"/>
      <w:bookmarkEnd w:id="1459"/>
      <w:bookmarkEnd w:id="1460"/>
    </w:p>
    <w:bookmarkEnd w:id="1461"/>
    <w:p w14:paraId="2830409A" w14:textId="77777777" w:rsidR="00B01D46" w:rsidRDefault="0067013E">
      <w:pPr>
        <w:spacing w:line="480" w:lineRule="auto"/>
        <w:ind w:right="65"/>
        <w:jc w:val="both"/>
        <w:rPr>
          <w:rFonts w:ascii="Times New Roman" w:eastAsia="Times New Roman" w:hAnsi="Times New Roman" w:cs="Times New Roman"/>
          <w:sz w:val="24"/>
          <w:szCs w:val="24"/>
        </w:rPr>
      </w:pPr>
      <w:r>
        <w:rPr>
          <w:rFonts w:ascii="Times New Roman" w:hAnsi="Times New Roman" w:cs="Times New Roman"/>
          <w:sz w:val="24"/>
          <w:szCs w:val="24"/>
        </w:rPr>
        <w:t xml:space="preserve">To adequately address this objective, the study started off by interrogating the availability, tenets and viability of ILS policies and then delved into the ILS curricula in place to support ILS learning and training, in the terms of its adequacy, content, delivery mechanisms, assessment and levels of success. </w:t>
      </w:r>
    </w:p>
    <w:p w14:paraId="5E2B2192" w14:textId="77777777" w:rsidR="00B01D46" w:rsidRDefault="0067013E">
      <w:pPr>
        <w:pStyle w:val="Heading4"/>
        <w:rPr>
          <w:rStyle w:val="Heading3Char"/>
          <w:rFonts w:eastAsiaTheme="majorEastAsia"/>
          <w:b/>
          <w:szCs w:val="24"/>
        </w:rPr>
      </w:pPr>
      <w:bookmarkStart w:id="1462" w:name="_Toc165363455"/>
      <w:bookmarkStart w:id="1463" w:name="_Toc165368432"/>
      <w:bookmarkStart w:id="1464" w:name="_Toc165975839"/>
      <w:bookmarkStart w:id="1465" w:name="_Toc165369249"/>
      <w:bookmarkStart w:id="1466" w:name="_Toc164664058"/>
      <w:bookmarkStart w:id="1467" w:name="_Toc165973118"/>
      <w:bookmarkStart w:id="1468" w:name="_Toc165365229"/>
      <w:bookmarkStart w:id="1469" w:name="_Toc184272942"/>
      <w:r>
        <w:t>5</w:t>
      </w:r>
      <w:r>
        <w:rPr>
          <w:rStyle w:val="Heading3Char"/>
          <w:rFonts w:eastAsiaTheme="majorEastAsia"/>
          <w:b/>
          <w:szCs w:val="24"/>
        </w:rPr>
        <w:t>.4.2.1 ILS Policy</w:t>
      </w:r>
      <w:bookmarkEnd w:id="1462"/>
      <w:bookmarkEnd w:id="1463"/>
      <w:bookmarkEnd w:id="1464"/>
      <w:bookmarkEnd w:id="1465"/>
      <w:bookmarkEnd w:id="1466"/>
      <w:bookmarkEnd w:id="1467"/>
      <w:bookmarkEnd w:id="1468"/>
      <w:bookmarkEnd w:id="1469"/>
      <w:r>
        <w:rPr>
          <w:rStyle w:val="Heading3Char"/>
          <w:rFonts w:eastAsiaTheme="majorEastAsia"/>
          <w:b/>
          <w:szCs w:val="24"/>
        </w:rPr>
        <w:t xml:space="preserve"> </w:t>
      </w:r>
    </w:p>
    <w:p w14:paraId="37B3BEC6" w14:textId="77777777" w:rsidR="00B01D46" w:rsidRDefault="0067013E">
      <w:pPr>
        <w:pStyle w:val="Default"/>
        <w:spacing w:line="480" w:lineRule="auto"/>
        <w:ind w:right="65"/>
        <w:jc w:val="both"/>
      </w:pPr>
      <w:r>
        <w:rPr>
          <w:rFonts w:eastAsia="Times New Roman"/>
        </w:rPr>
        <w:t xml:space="preserve">The essential skills facet of the Sauce model (Bond, 2012) guides ILS policy formulation used in imparting ILS by advocating for the formulation and implementation of policies that will help empower students search, retrieve, utilize and share information using learned ILS.   The Cronbach’s alpha value is 0.707 for objects in the students’ questionnaire. An indication that the internal validity of the questions is high. Therefore, the researcher sought answers to the question </w:t>
      </w:r>
      <w:r>
        <w:rPr>
          <w:rFonts w:eastAsia="Times New Roman"/>
          <w:iCs/>
        </w:rPr>
        <w:t>“</w:t>
      </w:r>
      <w:r>
        <w:rPr>
          <w:i/>
        </w:rPr>
        <w:t>What ILS policy and curriculum are used in imparting?”</w:t>
      </w:r>
      <w:r>
        <w:t xml:space="preserve"> </w:t>
      </w:r>
    </w:p>
    <w:p w14:paraId="05AA7884" w14:textId="77777777" w:rsidR="00B01D46" w:rsidRDefault="0067013E">
      <w:pPr>
        <w:shd w:val="clear" w:color="auto" w:fill="FFFFFF"/>
        <w:tabs>
          <w:tab w:val="left" w:pos="360"/>
        </w:tabs>
        <w:autoSpaceDE w:val="0"/>
        <w:autoSpaceDN w:val="0"/>
        <w:adjustRightInd w:val="0"/>
        <w:spacing w:before="12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are as follows;</w:t>
      </w:r>
    </w:p>
    <w:p w14:paraId="77DE1779" w14:textId="77777777" w:rsidR="00B01D46" w:rsidRDefault="0067013E">
      <w:pPr>
        <w:pStyle w:val="Heading5"/>
      </w:pPr>
      <w:bookmarkStart w:id="1470" w:name="_Toc184272943"/>
      <w:r>
        <w:t>5.4.2.1.1 The availability of a Formal ILS Policy</w:t>
      </w:r>
      <w:bookmarkEnd w:id="1470"/>
    </w:p>
    <w:p w14:paraId="1E376DA7" w14:textId="77777777" w:rsidR="00B01D46" w:rsidRDefault="0067013E">
      <w:pPr>
        <w:spacing w:after="0" w:line="480" w:lineRule="auto"/>
        <w:ind w:right="65"/>
        <w:rPr>
          <w:rFonts w:ascii="Times New Roman" w:hAnsi="Times New Roman" w:cs="Times New Roman"/>
          <w:b/>
          <w:sz w:val="24"/>
          <w:szCs w:val="24"/>
        </w:rPr>
      </w:pPr>
      <w:bookmarkStart w:id="1471" w:name="_Toc165369250"/>
      <w:bookmarkStart w:id="1472" w:name="_Toc165363456"/>
      <w:bookmarkStart w:id="1473" w:name="_Toc164664059"/>
      <w:bookmarkStart w:id="1474" w:name="_Toc165365230"/>
      <w:bookmarkStart w:id="1475" w:name="_Toc165368433"/>
      <w:r>
        <w:rPr>
          <w:rFonts w:ascii="Times New Roman" w:hAnsi="Times New Roman" w:cs="Times New Roman"/>
          <w:b/>
          <w:sz w:val="24"/>
          <w:szCs w:val="24"/>
        </w:rPr>
        <w:t>Students Response on the availability of a Formal ILS Policy</w:t>
      </w:r>
      <w:bookmarkEnd w:id="1471"/>
      <w:bookmarkEnd w:id="1472"/>
      <w:bookmarkEnd w:id="1473"/>
      <w:bookmarkEnd w:id="1474"/>
      <w:bookmarkEnd w:id="1475"/>
      <w:r>
        <w:rPr>
          <w:rFonts w:ascii="Times New Roman" w:hAnsi="Times New Roman" w:cs="Times New Roman"/>
          <w:b/>
          <w:sz w:val="24"/>
          <w:szCs w:val="24"/>
        </w:rPr>
        <w:t xml:space="preserve"> </w:t>
      </w:r>
    </w:p>
    <w:p w14:paraId="4F765A56"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students were requested to indicate if there was an ILS policy in their institution of learning. </w:t>
      </w:r>
    </w:p>
    <w:p w14:paraId="0A7477B4" w14:textId="77777777" w:rsidR="00B01D46" w:rsidRDefault="0067013E">
      <w:pPr>
        <w:spacing w:before="120" w:after="0" w:line="480" w:lineRule="auto"/>
        <w:ind w:right="65"/>
        <w:jc w:val="both"/>
        <w:rPr>
          <w:rFonts w:ascii="Times New Roman" w:eastAsia="Calibri" w:hAnsi="Times New Roman" w:cs="Times New Roman"/>
          <w:b/>
          <w:bCs/>
          <w:sz w:val="24"/>
          <w:szCs w:val="24"/>
        </w:rPr>
      </w:pPr>
      <w:r>
        <w:rPr>
          <w:rFonts w:ascii="Times New Roman" w:eastAsia="Calibri" w:hAnsi="Times New Roman" w:cs="Times New Roman"/>
          <w:noProof/>
          <w:sz w:val="24"/>
          <w:szCs w:val="24"/>
        </w:rPr>
        <w:lastRenderedPageBreak/>
        <w:drawing>
          <wp:inline distT="0" distB="0" distL="0" distR="0" wp14:anchorId="6BE4F439" wp14:editId="497A1535">
            <wp:extent cx="4572000" cy="2419350"/>
            <wp:effectExtent l="0" t="0" r="19050" b="1905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120DB6E" w14:textId="77777777" w:rsidR="00B01D46" w:rsidRDefault="0067013E">
      <w:pPr>
        <w:pStyle w:val="Caption"/>
      </w:pPr>
      <w:bookmarkStart w:id="1476" w:name="_Toc165368434"/>
      <w:bookmarkStart w:id="1477" w:name="_Toc165975840"/>
      <w:bookmarkStart w:id="1478" w:name="_Toc165369251"/>
      <w:bookmarkStart w:id="1479" w:name="_Toc165363457"/>
      <w:bookmarkStart w:id="1480" w:name="_Toc165973119"/>
      <w:bookmarkStart w:id="1481" w:name="_Toc165365231"/>
      <w:bookmarkStart w:id="1482" w:name="_Toc184271998"/>
      <w:bookmarkStart w:id="1483" w:name="_Toc184276908"/>
      <w:bookmarkStart w:id="1484" w:name="_Toc184272196"/>
      <w:bookmarkStart w:id="1485" w:name="_Hlk159792925"/>
      <w:r>
        <w:t>Figure 5.1: Availability of ILS Policy (N=255)</w:t>
      </w:r>
      <w:bookmarkEnd w:id="1476"/>
      <w:bookmarkEnd w:id="1477"/>
      <w:bookmarkEnd w:id="1478"/>
      <w:bookmarkEnd w:id="1479"/>
      <w:bookmarkEnd w:id="1480"/>
      <w:bookmarkEnd w:id="1481"/>
      <w:bookmarkEnd w:id="1482"/>
      <w:bookmarkEnd w:id="1483"/>
      <w:bookmarkEnd w:id="1484"/>
    </w:p>
    <w:bookmarkEnd w:id="1485"/>
    <w:p w14:paraId="548ED6CA" w14:textId="77777777" w:rsidR="00B01D46" w:rsidRDefault="00B01D46">
      <w:pPr>
        <w:spacing w:line="240" w:lineRule="auto"/>
        <w:ind w:right="65"/>
        <w:rPr>
          <w:rFonts w:ascii="Times New Roman" w:hAnsi="Times New Roman" w:cs="Times New Roman"/>
          <w:sz w:val="24"/>
          <w:szCs w:val="24"/>
        </w:rPr>
      </w:pPr>
    </w:p>
    <w:p w14:paraId="06D2D655" w14:textId="77777777" w:rsidR="00B01D46" w:rsidRDefault="0067013E">
      <w:pPr>
        <w:spacing w:line="480" w:lineRule="auto"/>
        <w:ind w:right="65"/>
        <w:rPr>
          <w:rFonts w:ascii="Times New Roman" w:hAnsi="Times New Roman" w:cs="Times New Roman"/>
          <w:sz w:val="24"/>
          <w:szCs w:val="24"/>
        </w:rPr>
      </w:pPr>
      <w:r>
        <w:rPr>
          <w:rFonts w:ascii="Times New Roman" w:hAnsi="Times New Roman" w:cs="Times New Roman"/>
          <w:sz w:val="24"/>
          <w:szCs w:val="24"/>
        </w:rPr>
        <w:t>The outcome in Figure 5.1 shows that 198 (77.64%) of the students indicated that their universities had a formal ILS policy that guided the training of ILS to undergraduate medical students, whereas 57(22.35%) of the respondents stated that there was absence of ILS policy.</w:t>
      </w:r>
    </w:p>
    <w:p w14:paraId="61753146" w14:textId="77777777" w:rsidR="00B01D46" w:rsidRDefault="0067013E">
      <w:pPr>
        <w:ind w:right="65"/>
        <w:rPr>
          <w:rFonts w:ascii="Times New Roman" w:hAnsi="Times New Roman" w:cs="Times New Roman"/>
          <w:b/>
          <w:sz w:val="24"/>
          <w:szCs w:val="24"/>
        </w:rPr>
      </w:pPr>
      <w:bookmarkStart w:id="1486" w:name="_Toc165368435"/>
      <w:bookmarkStart w:id="1487" w:name="_Toc165369252"/>
      <w:bookmarkStart w:id="1488" w:name="_Toc165365232"/>
      <w:bookmarkStart w:id="1489" w:name="_Toc165363458"/>
      <w:bookmarkStart w:id="1490" w:name="_Toc164664060"/>
      <w:r>
        <w:rPr>
          <w:rFonts w:ascii="Times New Roman" w:hAnsi="Times New Roman" w:cs="Times New Roman"/>
          <w:b/>
          <w:sz w:val="24"/>
          <w:szCs w:val="24"/>
        </w:rPr>
        <w:t>Lecturers’ Response on Availability of a Formal ILS Policy</w:t>
      </w:r>
      <w:bookmarkEnd w:id="1486"/>
      <w:bookmarkEnd w:id="1487"/>
      <w:bookmarkEnd w:id="1488"/>
      <w:bookmarkEnd w:id="1489"/>
      <w:bookmarkEnd w:id="1490"/>
      <w:r>
        <w:rPr>
          <w:rFonts w:ascii="Times New Roman" w:hAnsi="Times New Roman" w:cs="Times New Roman"/>
          <w:b/>
          <w:sz w:val="24"/>
          <w:szCs w:val="24"/>
        </w:rPr>
        <w:t xml:space="preserve"> </w:t>
      </w:r>
    </w:p>
    <w:p w14:paraId="67F045AF" w14:textId="77777777" w:rsidR="00B01D46" w:rsidRDefault="0067013E">
      <w:pPr>
        <w:autoSpaceDE w:val="0"/>
        <w:autoSpaceDN w:val="0"/>
        <w:adjustRightInd w:val="0"/>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lecturers were asked if an ILS policy was in place to guide the imparting of ILS. The upshots are </w:t>
      </w:r>
      <w:bookmarkStart w:id="1491" w:name="_Hlk159792986"/>
      <w:r>
        <w:rPr>
          <w:rFonts w:ascii="Times New Roman" w:eastAsia="Calibri" w:hAnsi="Times New Roman" w:cs="Times New Roman"/>
          <w:sz w:val="24"/>
          <w:szCs w:val="24"/>
        </w:rPr>
        <w:t>indicated in figure 5.2.</w:t>
      </w:r>
    </w:p>
    <w:bookmarkEnd w:id="1491"/>
    <w:p w14:paraId="07AE4310" w14:textId="77777777" w:rsidR="00B01D46" w:rsidRDefault="0067013E">
      <w:pPr>
        <w:spacing w:after="200" w:line="276" w:lineRule="auto"/>
        <w:ind w:right="65"/>
        <w:rPr>
          <w:rFonts w:ascii="Times New Roman" w:eastAsia="Calibri" w:hAnsi="Times New Roman" w:cs="Times New Roman"/>
          <w:b/>
          <w:color w:val="000000"/>
          <w:sz w:val="24"/>
          <w:szCs w:val="24"/>
        </w:rPr>
      </w:pPr>
      <w:r>
        <w:rPr>
          <w:rFonts w:ascii="Times New Roman" w:eastAsia="Calibri" w:hAnsi="Times New Roman" w:cs="Times New Roman"/>
          <w:noProof/>
          <w:sz w:val="24"/>
          <w:szCs w:val="24"/>
        </w:rPr>
        <w:drawing>
          <wp:inline distT="0" distB="0" distL="0" distR="0" wp14:anchorId="6B8C7EAC" wp14:editId="07E48652">
            <wp:extent cx="5134610" cy="2124075"/>
            <wp:effectExtent l="0" t="0" r="8890" b="952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34F7349" w14:textId="77777777" w:rsidR="00B01D46" w:rsidRDefault="0067013E">
      <w:pPr>
        <w:pStyle w:val="Caption"/>
        <w:rPr>
          <w:color w:val="000000"/>
        </w:rPr>
      </w:pPr>
      <w:bookmarkStart w:id="1492" w:name="_Toc184271999"/>
      <w:bookmarkStart w:id="1493" w:name="_Toc165363459"/>
      <w:bookmarkStart w:id="1494" w:name="_Toc165365233"/>
      <w:bookmarkStart w:id="1495" w:name="_Toc165369253"/>
      <w:bookmarkStart w:id="1496" w:name="_Toc165975841"/>
      <w:bookmarkStart w:id="1497" w:name="_Toc165368436"/>
      <w:bookmarkStart w:id="1498" w:name="_Toc165973120"/>
      <w:bookmarkStart w:id="1499" w:name="_Toc184272197"/>
      <w:bookmarkStart w:id="1500" w:name="_Toc184276909"/>
      <w:r>
        <w:rPr>
          <w:rFonts w:eastAsia="Times New Roman"/>
        </w:rPr>
        <w:t xml:space="preserve">Figure 5.2: Lecturers’ Responses on </w:t>
      </w:r>
      <w:r>
        <w:t>availability of a Formal ILS Policy n</w:t>
      </w:r>
      <w:r>
        <w:rPr>
          <w:color w:val="000000"/>
        </w:rPr>
        <w:t>=62</w:t>
      </w:r>
      <w:bookmarkEnd w:id="1492"/>
      <w:bookmarkEnd w:id="1493"/>
      <w:bookmarkEnd w:id="1494"/>
      <w:bookmarkEnd w:id="1495"/>
      <w:bookmarkEnd w:id="1496"/>
      <w:bookmarkEnd w:id="1497"/>
      <w:bookmarkEnd w:id="1498"/>
      <w:bookmarkEnd w:id="1499"/>
      <w:bookmarkEnd w:id="1500"/>
    </w:p>
    <w:p w14:paraId="5A069361" w14:textId="77777777" w:rsidR="00B01D46" w:rsidRDefault="00B01D46">
      <w:pPr>
        <w:autoSpaceDE w:val="0"/>
        <w:autoSpaceDN w:val="0"/>
        <w:adjustRightInd w:val="0"/>
        <w:spacing w:before="120" w:after="0" w:line="240" w:lineRule="auto"/>
        <w:ind w:right="65"/>
        <w:jc w:val="both"/>
        <w:rPr>
          <w:rFonts w:ascii="Times New Roman" w:eastAsia="Calibri" w:hAnsi="Times New Roman" w:cs="Times New Roman"/>
          <w:sz w:val="24"/>
          <w:szCs w:val="24"/>
        </w:rPr>
      </w:pPr>
    </w:p>
    <w:p w14:paraId="4950E49A" w14:textId="77777777" w:rsidR="00B01D46" w:rsidRDefault="0067013E">
      <w:pPr>
        <w:autoSpaceDE w:val="0"/>
        <w:autoSpaceDN w:val="0"/>
        <w:adjustRightInd w:val="0"/>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The results found that 56 (90.32%) of the lecturers agreed that an ILS policy was available and on the contrary, 6(9.68%) of the lecturers stated that an ILS policy was absent. The university librarians, head medical librarians, and heads of departments were asked if a formal ILS policy was available to guide the imparting of ILS to students. The interviews conducted revealed that institutions had an ILS policy in place but they were not being utilized in curriculum development and implementation. In addition, the respondents who were interviewed stated that the policies were outdated and didn’t reflect the changes taking place in the information realm.</w:t>
      </w:r>
    </w:p>
    <w:p w14:paraId="3F5EC528" w14:textId="77777777" w:rsidR="00B01D46" w:rsidRDefault="0067013E">
      <w:pPr>
        <w:autoSpaceDE w:val="0"/>
        <w:autoSpaceDN w:val="0"/>
        <w:adjustRightInd w:val="0"/>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In essence, one head of the department (HD01) commented: </w:t>
      </w:r>
    </w:p>
    <w:p w14:paraId="31BE67DF" w14:textId="77777777" w:rsidR="00B01D46" w:rsidRDefault="0067013E">
      <w:pPr>
        <w:autoSpaceDE w:val="0"/>
        <w:autoSpaceDN w:val="0"/>
        <w:adjustRightInd w:val="0"/>
        <w:spacing w:before="120" w:after="0" w:line="240" w:lineRule="auto"/>
        <w:ind w:left="720" w:right="9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Yes, the ILS policy is available which guides students on how to search and use information independently……. The procedure also stipulates on how the teaching of ILS ought to be carried out…however the ILS policy has no timeframe on when and how it should be updated to cater for new developments in the information landscape….”</w:t>
      </w:r>
    </w:p>
    <w:p w14:paraId="70A3B5C4" w14:textId="77777777" w:rsidR="00B01D46" w:rsidRDefault="00B01D46">
      <w:pPr>
        <w:autoSpaceDE w:val="0"/>
        <w:autoSpaceDN w:val="0"/>
        <w:adjustRightInd w:val="0"/>
        <w:spacing w:before="120" w:after="0" w:line="240" w:lineRule="auto"/>
        <w:ind w:right="65"/>
        <w:jc w:val="both"/>
        <w:rPr>
          <w:rFonts w:ascii="Times New Roman" w:hAnsi="Times New Roman" w:cs="Times New Roman"/>
          <w:sz w:val="24"/>
          <w:szCs w:val="24"/>
        </w:rPr>
      </w:pPr>
    </w:p>
    <w:p w14:paraId="538125A6" w14:textId="77777777" w:rsidR="00B01D46" w:rsidRDefault="0067013E">
      <w:pPr>
        <w:autoSpaceDE w:val="0"/>
        <w:autoSpaceDN w:val="0"/>
        <w:adjustRightInd w:val="0"/>
        <w:spacing w:before="120" w:after="0" w:line="480" w:lineRule="auto"/>
        <w:ind w:right="65"/>
        <w:jc w:val="both"/>
        <w:rPr>
          <w:rFonts w:ascii="Times New Roman" w:eastAsia="Calibri" w:hAnsi="Times New Roman" w:cs="Times New Roman"/>
          <w:i/>
          <w:iCs/>
          <w:sz w:val="24"/>
          <w:szCs w:val="24"/>
        </w:rPr>
      </w:pPr>
      <w:r>
        <w:rPr>
          <w:rFonts w:ascii="Times New Roman" w:hAnsi="Times New Roman" w:cs="Times New Roman"/>
          <w:sz w:val="24"/>
          <w:szCs w:val="24"/>
        </w:rPr>
        <w:t xml:space="preserve">Additionally, one of the heads of medical librarians (ML02) stated that: </w:t>
      </w:r>
    </w:p>
    <w:p w14:paraId="1C8E3E7A" w14:textId="77777777" w:rsidR="00B01D46" w:rsidRDefault="0067013E">
      <w:pPr>
        <w:ind w:left="720" w:right="965"/>
        <w:jc w:val="both"/>
        <w:rPr>
          <w:rFonts w:ascii="Times New Roman" w:hAnsi="Times New Roman" w:cs="Times New Roman"/>
          <w:i/>
          <w:sz w:val="24"/>
          <w:szCs w:val="24"/>
        </w:rPr>
      </w:pPr>
      <w:r>
        <w:rPr>
          <w:rFonts w:ascii="Times New Roman" w:hAnsi="Times New Roman" w:cs="Times New Roman"/>
          <w:i/>
          <w:sz w:val="24"/>
          <w:szCs w:val="24"/>
        </w:rPr>
        <w:t>“……. Yes……. We are all engaged in information literacy skills and we are all committed to student-centered and life-long learning to equip students tackle real problems ….. as elaborated in our information literacy skills policy……”</w:t>
      </w:r>
    </w:p>
    <w:p w14:paraId="17FF9AC0" w14:textId="77777777" w:rsidR="00B01D46" w:rsidRDefault="00B01D46">
      <w:pPr>
        <w:pStyle w:val="NoSpacing"/>
      </w:pPr>
    </w:p>
    <w:p w14:paraId="43E075B7" w14:textId="77777777" w:rsidR="00B01D46" w:rsidRDefault="0067013E">
      <w:pPr>
        <w:pStyle w:val="Heading5"/>
      </w:pPr>
      <w:bookmarkStart w:id="1501" w:name="_Toc165368437"/>
      <w:bookmarkStart w:id="1502" w:name="_Toc165369254"/>
      <w:bookmarkStart w:id="1503" w:name="_Toc165365234"/>
      <w:bookmarkStart w:id="1504" w:name="_Toc165363460"/>
      <w:bookmarkStart w:id="1505" w:name="_Toc164664061"/>
      <w:bookmarkStart w:id="1506" w:name="_Toc184272944"/>
      <w:r>
        <w:t>5.4.2.1.2 Covered in the ILS Policy</w:t>
      </w:r>
      <w:bookmarkEnd w:id="1501"/>
      <w:bookmarkEnd w:id="1502"/>
      <w:bookmarkEnd w:id="1503"/>
      <w:bookmarkEnd w:id="1504"/>
      <w:bookmarkEnd w:id="1505"/>
      <w:bookmarkEnd w:id="1506"/>
      <w:r>
        <w:t xml:space="preserve"> </w:t>
      </w:r>
    </w:p>
    <w:p w14:paraId="1510CFA4" w14:textId="77777777" w:rsidR="00B01D46" w:rsidRDefault="0067013E">
      <w:pPr>
        <w:ind w:right="65"/>
        <w:rPr>
          <w:rFonts w:ascii="Times New Roman" w:hAnsi="Times New Roman" w:cs="Times New Roman"/>
          <w:b/>
          <w:sz w:val="24"/>
          <w:szCs w:val="24"/>
        </w:rPr>
      </w:pPr>
      <w:bookmarkStart w:id="1507" w:name="_Toc164664062"/>
      <w:bookmarkStart w:id="1508" w:name="_Toc165363461"/>
      <w:bookmarkStart w:id="1509" w:name="_Toc165368438"/>
      <w:bookmarkStart w:id="1510" w:name="_Toc165365235"/>
      <w:bookmarkStart w:id="1511" w:name="_Toc165369255"/>
      <w:r>
        <w:rPr>
          <w:rFonts w:ascii="Times New Roman" w:hAnsi="Times New Roman" w:cs="Times New Roman"/>
          <w:b/>
          <w:sz w:val="24"/>
          <w:szCs w:val="24"/>
        </w:rPr>
        <w:t>Students’ Response on the ILS Skills Covered by the ILS Policy</w:t>
      </w:r>
      <w:bookmarkEnd w:id="1507"/>
      <w:bookmarkEnd w:id="1508"/>
      <w:bookmarkEnd w:id="1509"/>
      <w:bookmarkEnd w:id="1510"/>
      <w:bookmarkEnd w:id="1511"/>
    </w:p>
    <w:p w14:paraId="40FA781B" w14:textId="77777777" w:rsidR="00B01D46" w:rsidRDefault="0067013E">
      <w:pPr>
        <w:spacing w:before="120" w:after="0" w:line="480" w:lineRule="auto"/>
        <w:ind w:right="65"/>
        <w:jc w:val="both"/>
        <w:rPr>
          <w:rFonts w:ascii="Times New Roman" w:eastAsia="Calibri" w:hAnsi="Times New Roman" w:cs="Times New Roman"/>
          <w:sz w:val="24"/>
          <w:szCs w:val="24"/>
        </w:rPr>
      </w:pPr>
      <w:bookmarkStart w:id="1512" w:name="_Hlk101440161"/>
      <w:bookmarkStart w:id="1513" w:name="_Hlk101368814"/>
      <w:bookmarkStart w:id="1514" w:name="_Hlk133405338"/>
      <w:r>
        <w:rPr>
          <w:rFonts w:ascii="Times New Roman" w:eastAsia="Calibri" w:hAnsi="Times New Roman" w:cs="Times New Roman"/>
          <w:sz w:val="24"/>
          <w:szCs w:val="24"/>
        </w:rPr>
        <w:t>The students were requested to divulge on the different skills-areas covered by the ILS policy. Table 5.9 summarizes the study's findings.</w:t>
      </w:r>
    </w:p>
    <w:p w14:paraId="63DE801E" w14:textId="77777777" w:rsidR="00B01D46" w:rsidRDefault="00B01D46">
      <w:pPr>
        <w:spacing w:before="120" w:after="0" w:line="240" w:lineRule="auto"/>
        <w:ind w:right="65"/>
        <w:jc w:val="both"/>
        <w:rPr>
          <w:rFonts w:ascii="Times New Roman" w:eastAsia="Calibri" w:hAnsi="Times New Roman" w:cs="Times New Roman"/>
          <w:sz w:val="24"/>
          <w:szCs w:val="24"/>
        </w:rPr>
      </w:pPr>
    </w:p>
    <w:p w14:paraId="69E5F6B5" w14:textId="77777777" w:rsidR="00B01D46" w:rsidRDefault="00B01D46">
      <w:pPr>
        <w:spacing w:before="120" w:after="0" w:line="240" w:lineRule="auto"/>
        <w:ind w:right="65"/>
        <w:jc w:val="both"/>
        <w:rPr>
          <w:rFonts w:ascii="Times New Roman" w:eastAsia="Calibri" w:hAnsi="Times New Roman" w:cs="Times New Roman"/>
          <w:sz w:val="24"/>
          <w:szCs w:val="24"/>
        </w:rPr>
      </w:pPr>
    </w:p>
    <w:p w14:paraId="3636689A" w14:textId="77777777" w:rsidR="00B01D46" w:rsidRDefault="0067013E">
      <w:pPr>
        <w:spacing w:after="200" w:line="276" w:lineRule="auto"/>
        <w:ind w:right="65"/>
        <w:rPr>
          <w:rFonts w:ascii="Times New Roman" w:eastAsia="Calibri" w:hAnsi="Times New Roman" w:cs="Times New Roman"/>
          <w:b/>
          <w:sz w:val="24"/>
          <w:szCs w:val="24"/>
        </w:rPr>
      </w:pPr>
      <w:bookmarkStart w:id="1515" w:name="_Toc165975842"/>
      <w:bookmarkStart w:id="1516" w:name="_Toc165363462"/>
      <w:bookmarkStart w:id="1517" w:name="_Toc165365236"/>
      <w:bookmarkStart w:id="1518" w:name="_Toc165973121"/>
      <w:bookmarkStart w:id="1519" w:name="_Hlk159793031"/>
      <w:r>
        <w:rPr>
          <w:rFonts w:ascii="Times New Roman" w:eastAsia="Calibri" w:hAnsi="Times New Roman" w:cs="Times New Roman"/>
          <w:b/>
          <w:sz w:val="24"/>
          <w:szCs w:val="24"/>
        </w:rPr>
        <w:br w:type="page"/>
      </w:r>
    </w:p>
    <w:p w14:paraId="6057B688" w14:textId="77777777" w:rsidR="00B01D46" w:rsidRDefault="0067013E">
      <w:pPr>
        <w:pStyle w:val="Caption"/>
      </w:pPr>
      <w:bookmarkStart w:id="1520" w:name="_Toc184272000"/>
      <w:bookmarkStart w:id="1521" w:name="_Toc184276910"/>
      <w:r>
        <w:lastRenderedPageBreak/>
        <w:t>Table 5.9: ILS Skills Covered by the ILS Policy (n=255)</w:t>
      </w:r>
      <w:bookmarkEnd w:id="1512"/>
      <w:bookmarkEnd w:id="1513"/>
      <w:bookmarkEnd w:id="1514"/>
      <w:bookmarkEnd w:id="1515"/>
      <w:bookmarkEnd w:id="1516"/>
      <w:bookmarkEnd w:id="1517"/>
      <w:bookmarkEnd w:id="1518"/>
      <w:bookmarkEnd w:id="1520"/>
      <w:bookmarkEnd w:id="1521"/>
      <w:r>
        <w:t xml:space="preserve"> </w:t>
      </w:r>
    </w:p>
    <w:bookmarkEnd w:id="1519"/>
    <w:p w14:paraId="20027066" w14:textId="77777777" w:rsidR="00B01D46" w:rsidRDefault="0067013E">
      <w:pPr>
        <w:spacing w:before="120" w:after="0" w:line="240" w:lineRule="auto"/>
        <w:ind w:right="65"/>
        <w:jc w:val="both"/>
        <w:rPr>
          <w:rFonts w:ascii="Times New Roman" w:eastAsia="Calibri" w:hAnsi="Times New Roman" w:cs="Times New Roman"/>
          <w:b/>
          <w:bCs/>
          <w:sz w:val="24"/>
          <w:szCs w:val="24"/>
        </w:rPr>
      </w:pPr>
      <w:r>
        <w:rPr>
          <w:rFonts w:ascii="Times New Roman" w:hAnsi="Times New Roman" w:cs="Times New Roman"/>
          <w:noProof/>
          <w:sz w:val="24"/>
          <w:szCs w:val="24"/>
        </w:rPr>
        <w:drawing>
          <wp:inline distT="0" distB="0" distL="0" distR="0" wp14:anchorId="6501B8C0" wp14:editId="0E198A1A">
            <wp:extent cx="5160010" cy="1153160"/>
            <wp:effectExtent l="0" t="0" r="254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209082" cy="1164488"/>
                    </a:xfrm>
                    <a:prstGeom prst="rect">
                      <a:avLst/>
                    </a:prstGeom>
                    <a:noFill/>
                    <a:ln>
                      <a:noFill/>
                    </a:ln>
                  </pic:spPr>
                </pic:pic>
              </a:graphicData>
            </a:graphic>
          </wp:inline>
        </w:drawing>
      </w:r>
    </w:p>
    <w:p w14:paraId="189ECF99" w14:textId="77777777" w:rsidR="00B01D46" w:rsidRDefault="0067013E">
      <w:pPr>
        <w:spacing w:before="120"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Source: Researcher, 2021</w:t>
      </w:r>
    </w:p>
    <w:p w14:paraId="1F8EF28E" w14:textId="77777777" w:rsidR="00B01D46" w:rsidRDefault="00B01D46">
      <w:pPr>
        <w:ind w:right="65"/>
        <w:rPr>
          <w:rFonts w:ascii="Times New Roman" w:hAnsi="Times New Roman" w:cs="Times New Roman"/>
          <w:sz w:val="24"/>
          <w:szCs w:val="24"/>
        </w:rPr>
      </w:pPr>
    </w:p>
    <w:p w14:paraId="49FC007C"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outcome in Table 5.9 indicates that 200(78.43%) of the students affirmed that ILS policy covered knowledge and information skills. While 37(14.51%) of the respondents disagreed that knowledge and information skills were covered by the ILS policy. Additionally, 198(77.65%) of the respondents expressed that problem-solving and critical thinking skills were contained in ILS policy, while 44(17.25%) respondents disagreed that problem-solving and critical thinking skills were not contained in the ILS policy. Respondents who stated that ILS policy covered communication skills were 225(88.23%), and 20(7.84%) respondents disagreed that ILS policy covered communication skills. </w:t>
      </w:r>
    </w:p>
    <w:p w14:paraId="63AB7926"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Furthermore, 215(84.31%) of the respondents agreed that ILS policy addressed information technology skills, whereas, 24(9.41%) of the respondents disagreed that information technology skills was not contained in ILS policy. The study findings also revealed that social responsibility skills were covered by the policy according to 199(78.04%) of the respondents however, 37(9.40%) of the respondents disagreed that the policy covered social responsibility skills. Additionally, referencing and legal issues skills facet was covered in the ILS policy as stated by 197(77.25%) of the respondents but 26(10.19%) of the respondents disagreed that the ILS policy addressed referencing and legal issues skills. </w:t>
      </w:r>
    </w:p>
    <w:p w14:paraId="44539A6B" w14:textId="77777777" w:rsidR="00B01D46" w:rsidRDefault="0067013E">
      <w:pPr>
        <w:spacing w:after="0" w:line="240" w:lineRule="auto"/>
        <w:rPr>
          <w:rFonts w:ascii="Times New Roman" w:hAnsi="Times New Roman" w:cs="Times New Roman"/>
          <w:b/>
          <w:sz w:val="24"/>
          <w:szCs w:val="24"/>
        </w:rPr>
      </w:pPr>
      <w:bookmarkStart w:id="1522" w:name="_Toc165363463"/>
      <w:bookmarkStart w:id="1523" w:name="_Toc165369257"/>
      <w:bookmarkStart w:id="1524" w:name="_Toc165368440"/>
      <w:bookmarkStart w:id="1525" w:name="_Toc164664063"/>
      <w:bookmarkStart w:id="1526" w:name="_Toc165365237"/>
      <w:r>
        <w:rPr>
          <w:rFonts w:ascii="Times New Roman" w:hAnsi="Times New Roman" w:cs="Times New Roman"/>
          <w:b/>
          <w:sz w:val="24"/>
          <w:szCs w:val="24"/>
        </w:rPr>
        <w:br w:type="page"/>
      </w:r>
    </w:p>
    <w:p w14:paraId="5657DF20" w14:textId="77777777" w:rsidR="00B01D46" w:rsidRDefault="0067013E">
      <w:pPr>
        <w:ind w:right="65"/>
        <w:rPr>
          <w:rFonts w:ascii="Times New Roman" w:hAnsi="Times New Roman" w:cs="Times New Roman"/>
          <w:b/>
          <w:sz w:val="24"/>
          <w:szCs w:val="24"/>
        </w:rPr>
      </w:pPr>
      <w:r>
        <w:rPr>
          <w:rFonts w:ascii="Times New Roman" w:hAnsi="Times New Roman" w:cs="Times New Roman"/>
          <w:b/>
          <w:sz w:val="24"/>
          <w:szCs w:val="24"/>
        </w:rPr>
        <w:lastRenderedPageBreak/>
        <w:t>Lecturers’ Response on the ILS Covered by the ILS Policy</w:t>
      </w:r>
      <w:bookmarkEnd w:id="1522"/>
      <w:bookmarkEnd w:id="1523"/>
      <w:bookmarkEnd w:id="1524"/>
      <w:bookmarkEnd w:id="1525"/>
      <w:bookmarkEnd w:id="1526"/>
      <w:r>
        <w:rPr>
          <w:rFonts w:ascii="Times New Roman" w:hAnsi="Times New Roman" w:cs="Times New Roman"/>
          <w:b/>
          <w:sz w:val="24"/>
          <w:szCs w:val="24"/>
        </w:rPr>
        <w:t xml:space="preserve"> </w:t>
      </w:r>
    </w:p>
    <w:p w14:paraId="0417A9D1" w14:textId="77777777" w:rsidR="00B01D46" w:rsidRDefault="0067013E">
      <w:pPr>
        <w:spacing w:line="480" w:lineRule="auto"/>
        <w:ind w:right="65"/>
        <w:jc w:val="both"/>
        <w:rPr>
          <w:rFonts w:ascii="Times New Roman" w:hAnsi="Times New Roman" w:cs="Times New Roman"/>
          <w:sz w:val="24"/>
          <w:szCs w:val="24"/>
        </w:rPr>
      </w:pPr>
      <w:r>
        <w:rPr>
          <w:rFonts w:ascii="Times New Roman" w:hAnsi="Times New Roman" w:cs="Times New Roman"/>
          <w:sz w:val="24"/>
          <w:szCs w:val="24"/>
        </w:rPr>
        <w:t>The lecturers were requested to state the ILS covered in the ILS policy.  The findings are shown in Table 5.10.</w:t>
      </w:r>
    </w:p>
    <w:p w14:paraId="1ADA6C94" w14:textId="77777777" w:rsidR="00B01D46" w:rsidRDefault="0067013E">
      <w:pPr>
        <w:pStyle w:val="Caption"/>
      </w:pPr>
      <w:bookmarkStart w:id="1527" w:name="_Toc165973122"/>
      <w:bookmarkStart w:id="1528" w:name="_Toc184276911"/>
      <w:bookmarkStart w:id="1529" w:name="_Toc165975843"/>
      <w:bookmarkStart w:id="1530" w:name="_Toc184272001"/>
      <w:r>
        <w:t>Table 5.10: Lecturer’s Response on Information Literacy Skills Covered by the ILS Policy (N=62)</w:t>
      </w:r>
      <w:bookmarkStart w:id="1531" w:name="_Hlk101443416"/>
      <w:bookmarkEnd w:id="1527"/>
      <w:bookmarkEnd w:id="1528"/>
      <w:bookmarkEnd w:id="1529"/>
      <w:bookmarkEnd w:id="1530"/>
    </w:p>
    <w:p w14:paraId="48841F57" w14:textId="77777777" w:rsidR="00B01D46" w:rsidRDefault="0067013E">
      <w:pPr>
        <w:autoSpaceDE w:val="0"/>
        <w:autoSpaceDN w:val="0"/>
        <w:adjustRightInd w:val="0"/>
        <w:spacing w:before="120" w:after="0" w:line="240" w:lineRule="auto"/>
        <w:ind w:right="65"/>
        <w:jc w:val="both"/>
        <w:rPr>
          <w:rFonts w:ascii="Times New Roman" w:eastAsia="Calibri" w:hAnsi="Times New Roman" w:cs="Times New Roman"/>
          <w:b/>
          <w:color w:val="000000"/>
          <w:sz w:val="24"/>
          <w:szCs w:val="24"/>
        </w:rPr>
      </w:pPr>
      <w:r>
        <w:rPr>
          <w:rFonts w:ascii="Times New Roman" w:hAnsi="Times New Roman" w:cs="Times New Roman"/>
          <w:noProof/>
          <w:sz w:val="24"/>
          <w:szCs w:val="24"/>
        </w:rPr>
        <w:drawing>
          <wp:inline distT="0" distB="0" distL="0" distR="0" wp14:anchorId="04D3AD96" wp14:editId="47B7186D">
            <wp:extent cx="5162550" cy="1029335"/>
            <wp:effectExtent l="0" t="0" r="0" b="0"/>
            <wp:docPr id="1864126313" name="Picture 1864126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26313" name="Picture 18641263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203691" cy="1037959"/>
                    </a:xfrm>
                    <a:prstGeom prst="rect">
                      <a:avLst/>
                    </a:prstGeom>
                    <a:noFill/>
                    <a:ln>
                      <a:noFill/>
                    </a:ln>
                  </pic:spPr>
                </pic:pic>
              </a:graphicData>
            </a:graphic>
          </wp:inline>
        </w:drawing>
      </w:r>
    </w:p>
    <w:p w14:paraId="0FB32194" w14:textId="77777777" w:rsidR="00B01D46" w:rsidRDefault="0067013E">
      <w:pPr>
        <w:ind w:right="65"/>
        <w:rPr>
          <w:rFonts w:ascii="Times New Roman" w:hAnsi="Times New Roman" w:cs="Times New Roman"/>
          <w:b/>
          <w:sz w:val="24"/>
          <w:szCs w:val="24"/>
        </w:rPr>
      </w:pPr>
      <w:r>
        <w:rPr>
          <w:rFonts w:ascii="Times New Roman" w:hAnsi="Times New Roman" w:cs="Times New Roman"/>
          <w:b/>
          <w:sz w:val="24"/>
          <w:szCs w:val="24"/>
        </w:rPr>
        <w:t>Source: Field data (2021)</w:t>
      </w:r>
    </w:p>
    <w:p w14:paraId="661BDD7D" w14:textId="77777777" w:rsidR="00B01D46" w:rsidRDefault="00B01D46">
      <w:pPr>
        <w:spacing w:after="0" w:line="240" w:lineRule="auto"/>
        <w:ind w:right="65"/>
        <w:rPr>
          <w:rFonts w:ascii="Times New Roman" w:hAnsi="Times New Roman" w:cs="Times New Roman"/>
          <w:b/>
          <w:sz w:val="24"/>
          <w:szCs w:val="24"/>
        </w:rPr>
      </w:pPr>
    </w:p>
    <w:bookmarkEnd w:id="1531"/>
    <w:p w14:paraId="560D037D"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Table 5.10 depict that most of the lecturer respondents 58 (93.76%), 55 (89.06%), 58 (93.76%), 55 (89.06%), 57 (90.63%) and 55 (89.06%) agree that knowledge and information skills, problem-solving and critical thinking, communication, IT, </w:t>
      </w:r>
      <w:r>
        <w:rPr>
          <w:rStyle w:val="Strong"/>
          <w:rFonts w:ascii="Times New Roman" w:hAnsi="Times New Roman" w:cs="Times New Roman"/>
          <w:color w:val="252525"/>
          <w:sz w:val="24"/>
          <w:szCs w:val="24"/>
        </w:rPr>
        <w:t xml:space="preserve">social responsibility, </w:t>
      </w:r>
      <w:r>
        <w:rPr>
          <w:rFonts w:ascii="Times New Roman" w:hAnsi="Times New Roman" w:cs="Times New Roman"/>
          <w:sz w:val="24"/>
          <w:szCs w:val="24"/>
        </w:rPr>
        <w:t xml:space="preserve">referencing and legal skills are areas covered by the ILS policy respectively. On the other side, 3 (4.69%), 5 (8.06%), 2 (3.13%), 4 (6.25%), 5 (8.06%), and 5 (8.06%) lecturer respondents disagreed that knowledge and information, communication, IT, social responsibility, and referencing skills were covered by the ILS policy. </w:t>
      </w:r>
    </w:p>
    <w:p w14:paraId="4C4BAEA5"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These insights are consistent with the outcomes of the interview, in which department heads stated that ILS policies in place covered areas of knowledge and information skills exemplar, such as educating learners to utilize both technical and information skills suitable within their area of study. Furthermore, they pointed out that the communication skills exemplar in the ILS policy enabled students to learn how to retrieve, arrange, and convey information, especially via technologically driven activities, as well as the problem-solving skills exemplar, which trains one on how to locate, gather, examine, handle, and utilize pertinent details in a variety of media.</w:t>
      </w:r>
    </w:p>
    <w:p w14:paraId="0E77E0C9" w14:textId="77777777" w:rsidR="00B01D46" w:rsidRDefault="0067013E">
      <w:pPr>
        <w:pStyle w:val="Heading5"/>
      </w:pPr>
      <w:bookmarkStart w:id="1532" w:name="_Toc165363464"/>
      <w:bookmarkStart w:id="1533" w:name="_Toc165368442"/>
      <w:bookmarkStart w:id="1534" w:name="_Toc165365238"/>
      <w:bookmarkStart w:id="1535" w:name="_Toc164664064"/>
      <w:bookmarkStart w:id="1536" w:name="_Toc165369259"/>
      <w:bookmarkStart w:id="1537" w:name="_Toc184272945"/>
      <w:r>
        <w:lastRenderedPageBreak/>
        <w:t>5.4.2.1.3 Formulation and Implementation of the ILS Policy</w:t>
      </w:r>
      <w:bookmarkEnd w:id="1532"/>
      <w:bookmarkEnd w:id="1533"/>
      <w:bookmarkEnd w:id="1534"/>
      <w:bookmarkEnd w:id="1535"/>
      <w:bookmarkEnd w:id="1536"/>
      <w:bookmarkEnd w:id="1537"/>
    </w:p>
    <w:p w14:paraId="27F747A0"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investigated the procedure that is followed to develop and implement an ILS policy including roles played by every stakeholder. HODs, Head Medical Librarians, and University Librarians were implored to highlight </w:t>
      </w:r>
      <w:bookmarkStart w:id="1538" w:name="_Hlk101463865"/>
      <w:r>
        <w:rPr>
          <w:rFonts w:ascii="Times New Roman" w:eastAsia="Calibri" w:hAnsi="Times New Roman" w:cs="Times New Roman"/>
          <w:sz w:val="24"/>
          <w:szCs w:val="24"/>
        </w:rPr>
        <w:t>their contributions in the formulation of ILS policy</w:t>
      </w:r>
      <w:bookmarkEnd w:id="1538"/>
      <w:r>
        <w:rPr>
          <w:rFonts w:ascii="Times New Roman" w:eastAsia="Calibri" w:hAnsi="Times New Roman" w:cs="Times New Roman"/>
          <w:sz w:val="24"/>
          <w:szCs w:val="24"/>
        </w:rPr>
        <w:t>. The responses have been tabled as shown in table 5.11.</w:t>
      </w:r>
    </w:p>
    <w:p w14:paraId="54839F56" w14:textId="77777777" w:rsidR="00B01D46" w:rsidRDefault="00B01D46">
      <w:pPr>
        <w:spacing w:after="0" w:line="240" w:lineRule="auto"/>
        <w:ind w:right="65"/>
        <w:jc w:val="both"/>
        <w:rPr>
          <w:rFonts w:ascii="Times New Roman" w:eastAsia="Calibri" w:hAnsi="Times New Roman" w:cs="Times New Roman"/>
          <w:sz w:val="24"/>
          <w:szCs w:val="24"/>
        </w:rPr>
      </w:pPr>
    </w:p>
    <w:p w14:paraId="58849AC1" w14:textId="77777777" w:rsidR="00B01D46" w:rsidRDefault="0067013E">
      <w:pPr>
        <w:pStyle w:val="Caption"/>
      </w:pPr>
      <w:bookmarkStart w:id="1539" w:name="_Toc165973123"/>
      <w:bookmarkStart w:id="1540" w:name="_Hlk159793118"/>
      <w:bookmarkStart w:id="1541" w:name="_Toc184272002"/>
      <w:bookmarkStart w:id="1542" w:name="_Toc165363465"/>
      <w:bookmarkStart w:id="1543" w:name="_Toc184276912"/>
      <w:bookmarkStart w:id="1544" w:name="_Toc165975844"/>
      <w:bookmarkStart w:id="1545" w:name="_Toc165365239"/>
      <w:r>
        <w:t>Table 5.11: Contributions of Various Stakeholders to ILS Policy</w:t>
      </w:r>
      <w:bookmarkEnd w:id="1539"/>
      <w:bookmarkEnd w:id="1540"/>
      <w:bookmarkEnd w:id="1541"/>
      <w:bookmarkEnd w:id="1542"/>
      <w:bookmarkEnd w:id="1543"/>
      <w:bookmarkEnd w:id="1544"/>
      <w:bookmarkEnd w:id="1545"/>
    </w:p>
    <w:tbl>
      <w:tblPr>
        <w:tblStyle w:val="TableGrid"/>
        <w:tblW w:w="798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3001"/>
        <w:gridCol w:w="1961"/>
      </w:tblGrid>
      <w:tr w:rsidR="00B01D46" w14:paraId="3842AC45" w14:textId="77777777">
        <w:trPr>
          <w:trHeight w:val="467"/>
        </w:trPr>
        <w:tc>
          <w:tcPr>
            <w:tcW w:w="6026" w:type="dxa"/>
            <w:gridSpan w:val="2"/>
            <w:tcBorders>
              <w:top w:val="single" w:sz="4" w:space="0" w:color="auto"/>
              <w:bottom w:val="single" w:sz="4" w:space="0" w:color="auto"/>
            </w:tcBorders>
          </w:tcPr>
          <w:p w14:paraId="7231C942"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Response from questionnaires</w:t>
            </w:r>
          </w:p>
        </w:tc>
        <w:tc>
          <w:tcPr>
            <w:tcW w:w="1961" w:type="dxa"/>
            <w:vMerge w:val="restart"/>
            <w:tcBorders>
              <w:top w:val="single" w:sz="4" w:space="0" w:color="auto"/>
              <w:bottom w:val="single" w:sz="4" w:space="0" w:color="auto"/>
            </w:tcBorders>
          </w:tcPr>
          <w:p w14:paraId="7B02DF6F"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Respondents </w:t>
            </w:r>
          </w:p>
        </w:tc>
      </w:tr>
      <w:tr w:rsidR="00B01D46" w14:paraId="538ECA53" w14:textId="77777777">
        <w:tc>
          <w:tcPr>
            <w:tcW w:w="3025" w:type="dxa"/>
            <w:tcBorders>
              <w:top w:val="single" w:sz="4" w:space="0" w:color="auto"/>
              <w:bottom w:val="single" w:sz="4" w:space="0" w:color="auto"/>
            </w:tcBorders>
          </w:tcPr>
          <w:p w14:paraId="70D7B226"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Action/function </w:t>
            </w:r>
          </w:p>
        </w:tc>
        <w:tc>
          <w:tcPr>
            <w:tcW w:w="3001" w:type="dxa"/>
            <w:tcBorders>
              <w:top w:val="single" w:sz="4" w:space="0" w:color="auto"/>
              <w:bottom w:val="single" w:sz="4" w:space="0" w:color="auto"/>
            </w:tcBorders>
          </w:tcPr>
          <w:p w14:paraId="1DDA48E7"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Tasked </w:t>
            </w:r>
          </w:p>
        </w:tc>
        <w:tc>
          <w:tcPr>
            <w:tcW w:w="1961" w:type="dxa"/>
            <w:vMerge/>
            <w:tcBorders>
              <w:top w:val="single" w:sz="4" w:space="0" w:color="auto"/>
              <w:bottom w:val="single" w:sz="4" w:space="0" w:color="auto"/>
            </w:tcBorders>
          </w:tcPr>
          <w:p w14:paraId="5A2B8B60" w14:textId="77777777" w:rsidR="00B01D46" w:rsidRDefault="00B01D46">
            <w:pPr>
              <w:spacing w:after="0" w:line="240" w:lineRule="auto"/>
              <w:ind w:right="65"/>
              <w:jc w:val="both"/>
              <w:rPr>
                <w:rFonts w:ascii="Times New Roman" w:eastAsia="Calibri" w:hAnsi="Times New Roman" w:cs="Times New Roman"/>
                <w:b/>
                <w:bCs/>
                <w:sz w:val="24"/>
                <w:szCs w:val="24"/>
              </w:rPr>
            </w:pPr>
          </w:p>
        </w:tc>
      </w:tr>
      <w:tr w:rsidR="00B01D46" w14:paraId="4C463D21" w14:textId="77777777">
        <w:tc>
          <w:tcPr>
            <w:tcW w:w="3025" w:type="dxa"/>
            <w:tcBorders>
              <w:top w:val="single" w:sz="4" w:space="0" w:color="auto"/>
            </w:tcBorders>
          </w:tcPr>
          <w:p w14:paraId="27F4B3F0" w14:textId="77777777" w:rsidR="00B01D46" w:rsidRDefault="0067013E">
            <w:pPr>
              <w:spacing w:after="0" w:line="240" w:lineRule="auto"/>
              <w:ind w:right="65"/>
              <w:jc w:val="both"/>
              <w:rPr>
                <w:rFonts w:ascii="Times New Roman" w:eastAsia="Calibri" w:hAnsi="Times New Roman" w:cs="Times New Roman"/>
                <w:b/>
                <w:bCs/>
                <w:i/>
                <w:iCs/>
                <w:sz w:val="24"/>
                <w:szCs w:val="24"/>
              </w:rPr>
            </w:pPr>
            <w:r>
              <w:rPr>
                <w:rFonts w:ascii="Times New Roman" w:eastAsia="Times New Roman" w:hAnsi="Times New Roman" w:cs="Times New Roman"/>
                <w:b/>
                <w:i/>
                <w:iCs/>
                <w:sz w:val="24"/>
                <w:szCs w:val="24"/>
              </w:rPr>
              <w:t xml:space="preserve">Interpretation and Advice </w:t>
            </w:r>
          </w:p>
        </w:tc>
        <w:tc>
          <w:tcPr>
            <w:tcW w:w="3001" w:type="dxa"/>
            <w:tcBorders>
              <w:top w:val="single" w:sz="4" w:space="0" w:color="auto"/>
            </w:tcBorders>
          </w:tcPr>
          <w:p w14:paraId="71A7B33C" w14:textId="77777777" w:rsidR="00B01D46" w:rsidRDefault="0067013E">
            <w:pPr>
              <w:spacing w:after="0" w:line="240" w:lineRule="auto"/>
              <w:ind w:right="65"/>
              <w:jc w:val="both"/>
              <w:rPr>
                <w:rFonts w:ascii="Times New Roman" w:eastAsia="Calibri" w:hAnsi="Times New Roman" w:cs="Times New Roman"/>
                <w:b/>
                <w:bCs/>
                <w:i/>
                <w:iCs/>
                <w:sz w:val="24"/>
                <w:szCs w:val="24"/>
              </w:rPr>
            </w:pPr>
            <w:r>
              <w:rPr>
                <w:rFonts w:ascii="Times New Roman" w:eastAsia="Calibri" w:hAnsi="Times New Roman" w:cs="Times New Roman"/>
                <w:i/>
                <w:iCs/>
                <w:sz w:val="24"/>
                <w:szCs w:val="24"/>
              </w:rPr>
              <w:t>University Librarian</w:t>
            </w:r>
          </w:p>
        </w:tc>
        <w:tc>
          <w:tcPr>
            <w:tcW w:w="1961" w:type="dxa"/>
            <w:tcBorders>
              <w:top w:val="single" w:sz="4" w:space="0" w:color="auto"/>
            </w:tcBorders>
          </w:tcPr>
          <w:p w14:paraId="4993F5B7"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HOD 03</w:t>
            </w:r>
          </w:p>
        </w:tc>
      </w:tr>
      <w:tr w:rsidR="00B01D46" w14:paraId="6A341C75" w14:textId="77777777">
        <w:tc>
          <w:tcPr>
            <w:tcW w:w="3025" w:type="dxa"/>
          </w:tcPr>
          <w:p w14:paraId="3DA3F80D" w14:textId="77777777" w:rsidR="00B01D46" w:rsidRDefault="0067013E">
            <w:pPr>
              <w:spacing w:after="0" w:line="240" w:lineRule="auto"/>
              <w:ind w:right="65"/>
              <w:jc w:val="both"/>
              <w:rPr>
                <w:rFonts w:ascii="Times New Roman" w:eastAsia="Calibri" w:hAnsi="Times New Roman" w:cs="Times New Roman"/>
                <w:b/>
                <w:bCs/>
                <w:i/>
                <w:iCs/>
                <w:sz w:val="24"/>
                <w:szCs w:val="24"/>
              </w:rPr>
            </w:pPr>
            <w:r>
              <w:rPr>
                <w:rFonts w:ascii="Times New Roman" w:eastAsia="Times New Roman" w:hAnsi="Times New Roman" w:cs="Times New Roman"/>
                <w:b/>
                <w:i/>
                <w:iCs/>
                <w:sz w:val="24"/>
                <w:szCs w:val="24"/>
              </w:rPr>
              <w:t>Development and/or Review</w:t>
            </w:r>
          </w:p>
        </w:tc>
        <w:tc>
          <w:tcPr>
            <w:tcW w:w="3001" w:type="dxa"/>
          </w:tcPr>
          <w:p w14:paraId="566FD520" w14:textId="77777777" w:rsidR="00B01D46" w:rsidRDefault="0067013E">
            <w:pPr>
              <w:spacing w:after="0" w:line="240" w:lineRule="auto"/>
              <w:ind w:right="65"/>
              <w:jc w:val="both"/>
              <w:rPr>
                <w:rFonts w:ascii="Times New Roman" w:eastAsia="Calibri" w:hAnsi="Times New Roman" w:cs="Times New Roman"/>
                <w:b/>
                <w:bCs/>
                <w:i/>
                <w:iCs/>
                <w:sz w:val="24"/>
                <w:szCs w:val="24"/>
              </w:rPr>
            </w:pPr>
            <w:r>
              <w:rPr>
                <w:rFonts w:ascii="Times New Roman" w:eastAsia="Calibri" w:hAnsi="Times New Roman" w:cs="Times New Roman"/>
                <w:i/>
                <w:iCs/>
                <w:sz w:val="24"/>
                <w:szCs w:val="24"/>
              </w:rPr>
              <w:t>University Librarian and Heads of Departments</w:t>
            </w:r>
          </w:p>
        </w:tc>
        <w:tc>
          <w:tcPr>
            <w:tcW w:w="1961" w:type="dxa"/>
          </w:tcPr>
          <w:p w14:paraId="1B5014A1"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UL02</w:t>
            </w:r>
          </w:p>
        </w:tc>
      </w:tr>
      <w:tr w:rsidR="00B01D46" w14:paraId="7A959A5B" w14:textId="77777777">
        <w:tc>
          <w:tcPr>
            <w:tcW w:w="3025" w:type="dxa"/>
          </w:tcPr>
          <w:p w14:paraId="6C34A8A4" w14:textId="77777777" w:rsidR="00B01D46" w:rsidRDefault="0067013E">
            <w:pPr>
              <w:spacing w:after="0" w:line="240" w:lineRule="auto"/>
              <w:ind w:right="65"/>
              <w:jc w:val="both"/>
              <w:rPr>
                <w:rFonts w:ascii="Times New Roman" w:eastAsia="Calibri" w:hAnsi="Times New Roman" w:cs="Times New Roman"/>
                <w:b/>
                <w:bCs/>
                <w:i/>
                <w:iCs/>
                <w:sz w:val="24"/>
                <w:szCs w:val="24"/>
              </w:rPr>
            </w:pPr>
            <w:r>
              <w:rPr>
                <w:rFonts w:ascii="Times New Roman" w:eastAsia="Times New Roman" w:hAnsi="Times New Roman" w:cs="Times New Roman"/>
                <w:b/>
                <w:i/>
                <w:iCs/>
                <w:sz w:val="24"/>
                <w:szCs w:val="24"/>
              </w:rPr>
              <w:t>Monitoring and Evaluation</w:t>
            </w:r>
          </w:p>
        </w:tc>
        <w:tc>
          <w:tcPr>
            <w:tcW w:w="3001" w:type="dxa"/>
          </w:tcPr>
          <w:p w14:paraId="3B368A3F" w14:textId="77777777" w:rsidR="00B01D46" w:rsidRDefault="0067013E">
            <w:pPr>
              <w:spacing w:after="0" w:line="240" w:lineRule="auto"/>
              <w:ind w:right="65"/>
              <w:jc w:val="both"/>
              <w:rPr>
                <w:rFonts w:ascii="Times New Roman" w:eastAsia="Calibri" w:hAnsi="Times New Roman" w:cs="Times New Roman"/>
                <w:b/>
                <w:bCs/>
                <w:i/>
                <w:iCs/>
                <w:sz w:val="24"/>
                <w:szCs w:val="24"/>
              </w:rPr>
            </w:pPr>
            <w:r>
              <w:rPr>
                <w:rFonts w:ascii="Times New Roman" w:eastAsia="Calibri" w:hAnsi="Times New Roman" w:cs="Times New Roman"/>
                <w:i/>
                <w:iCs/>
                <w:sz w:val="24"/>
                <w:szCs w:val="24"/>
              </w:rPr>
              <w:t>University Librarian</w:t>
            </w:r>
          </w:p>
        </w:tc>
        <w:tc>
          <w:tcPr>
            <w:tcW w:w="1961" w:type="dxa"/>
          </w:tcPr>
          <w:p w14:paraId="366277AB"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LT34</w:t>
            </w:r>
          </w:p>
        </w:tc>
      </w:tr>
      <w:tr w:rsidR="00B01D46" w14:paraId="6C2A6339" w14:textId="77777777">
        <w:tc>
          <w:tcPr>
            <w:tcW w:w="3025" w:type="dxa"/>
          </w:tcPr>
          <w:p w14:paraId="584FA0F3" w14:textId="77777777" w:rsidR="00B01D46" w:rsidRDefault="0067013E">
            <w:pPr>
              <w:spacing w:after="0" w:line="240" w:lineRule="auto"/>
              <w:ind w:right="65"/>
              <w:jc w:val="both"/>
              <w:rPr>
                <w:rFonts w:ascii="Times New Roman" w:eastAsia="Calibri" w:hAnsi="Times New Roman" w:cs="Times New Roman"/>
                <w:b/>
                <w:bCs/>
                <w:i/>
                <w:iCs/>
                <w:sz w:val="24"/>
                <w:szCs w:val="24"/>
              </w:rPr>
            </w:pPr>
            <w:r>
              <w:rPr>
                <w:rFonts w:ascii="Times New Roman" w:eastAsia="Times New Roman" w:hAnsi="Times New Roman" w:cs="Times New Roman"/>
                <w:b/>
                <w:i/>
                <w:iCs/>
                <w:sz w:val="24"/>
                <w:szCs w:val="24"/>
              </w:rPr>
              <w:t>Compliance and Implementation</w:t>
            </w:r>
          </w:p>
        </w:tc>
        <w:tc>
          <w:tcPr>
            <w:tcW w:w="3001" w:type="dxa"/>
          </w:tcPr>
          <w:p w14:paraId="01DE68EA"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University Librarian</w:t>
            </w:r>
          </w:p>
          <w:p w14:paraId="4C6B9C4B"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Lecturers </w:t>
            </w:r>
          </w:p>
          <w:p w14:paraId="5757C76F"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Heads of Departments</w:t>
            </w:r>
          </w:p>
          <w:p w14:paraId="5D8AC42A" w14:textId="77777777" w:rsidR="00B01D46" w:rsidRDefault="0067013E">
            <w:pPr>
              <w:spacing w:after="0" w:line="240" w:lineRule="auto"/>
              <w:ind w:right="65"/>
              <w:jc w:val="both"/>
              <w:rPr>
                <w:rFonts w:ascii="Times New Roman" w:eastAsia="Calibri" w:hAnsi="Times New Roman" w:cs="Times New Roman"/>
                <w:b/>
                <w:bCs/>
                <w:i/>
                <w:iCs/>
                <w:sz w:val="24"/>
                <w:szCs w:val="24"/>
              </w:rPr>
            </w:pPr>
            <w:r>
              <w:rPr>
                <w:rFonts w:ascii="Times New Roman" w:eastAsia="Calibri" w:hAnsi="Times New Roman" w:cs="Times New Roman"/>
                <w:i/>
                <w:iCs/>
                <w:sz w:val="24"/>
                <w:szCs w:val="24"/>
              </w:rPr>
              <w:t>Head Medical Librarians</w:t>
            </w:r>
          </w:p>
        </w:tc>
        <w:tc>
          <w:tcPr>
            <w:tcW w:w="1961" w:type="dxa"/>
          </w:tcPr>
          <w:p w14:paraId="2F946D1B"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HOD 06</w:t>
            </w:r>
          </w:p>
        </w:tc>
      </w:tr>
      <w:tr w:rsidR="00B01D46" w14:paraId="45C6952B" w14:textId="77777777">
        <w:tc>
          <w:tcPr>
            <w:tcW w:w="3025" w:type="dxa"/>
            <w:tcBorders>
              <w:bottom w:val="single" w:sz="4" w:space="0" w:color="auto"/>
            </w:tcBorders>
          </w:tcPr>
          <w:p w14:paraId="312D6750" w14:textId="77777777" w:rsidR="00B01D46" w:rsidRDefault="0067013E">
            <w:pPr>
              <w:spacing w:after="0" w:line="240" w:lineRule="auto"/>
              <w:ind w:right="65"/>
              <w:jc w:val="both"/>
              <w:rPr>
                <w:rFonts w:ascii="Times New Roman" w:eastAsia="Calibri" w:hAnsi="Times New Roman" w:cs="Times New Roman"/>
                <w:b/>
                <w:bCs/>
                <w:i/>
                <w:iCs/>
                <w:sz w:val="24"/>
                <w:szCs w:val="24"/>
              </w:rPr>
            </w:pPr>
            <w:r>
              <w:rPr>
                <w:rFonts w:ascii="Times New Roman" w:eastAsia="Times New Roman" w:hAnsi="Times New Roman" w:cs="Times New Roman"/>
                <w:b/>
                <w:i/>
                <w:iCs/>
                <w:sz w:val="24"/>
                <w:szCs w:val="24"/>
              </w:rPr>
              <w:t>Decision Making and Guidance</w:t>
            </w:r>
          </w:p>
        </w:tc>
        <w:tc>
          <w:tcPr>
            <w:tcW w:w="3001" w:type="dxa"/>
            <w:tcBorders>
              <w:bottom w:val="single" w:sz="4" w:space="0" w:color="auto"/>
            </w:tcBorders>
          </w:tcPr>
          <w:p w14:paraId="35E1273A" w14:textId="77777777" w:rsidR="00B01D46" w:rsidRDefault="0067013E">
            <w:pPr>
              <w:spacing w:after="0" w:line="240" w:lineRule="auto"/>
              <w:ind w:right="65"/>
              <w:jc w:val="both"/>
              <w:rPr>
                <w:rFonts w:ascii="Times New Roman" w:eastAsia="Calibri" w:hAnsi="Times New Roman" w:cs="Times New Roman"/>
                <w:b/>
                <w:bCs/>
                <w:i/>
                <w:iCs/>
                <w:sz w:val="24"/>
                <w:szCs w:val="24"/>
              </w:rPr>
            </w:pPr>
            <w:r>
              <w:rPr>
                <w:rFonts w:ascii="Times New Roman" w:eastAsia="Calibri" w:hAnsi="Times New Roman" w:cs="Times New Roman"/>
                <w:i/>
                <w:iCs/>
                <w:sz w:val="24"/>
                <w:szCs w:val="24"/>
              </w:rPr>
              <w:t>Vice-Chancellor, Deputy Vice-Chancellor (Academic and Students Affairs), Registrar (Academic and Students Affairs) Teaching and Learning</w:t>
            </w:r>
          </w:p>
        </w:tc>
        <w:tc>
          <w:tcPr>
            <w:tcW w:w="1961" w:type="dxa"/>
            <w:tcBorders>
              <w:bottom w:val="single" w:sz="4" w:space="0" w:color="auto"/>
            </w:tcBorders>
          </w:tcPr>
          <w:p w14:paraId="19AABAA2"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LT07</w:t>
            </w:r>
          </w:p>
        </w:tc>
      </w:tr>
    </w:tbl>
    <w:p w14:paraId="6E5574ED" w14:textId="77777777" w:rsidR="00B01D46" w:rsidRDefault="0067013E">
      <w:pPr>
        <w:ind w:right="65"/>
        <w:rPr>
          <w:rFonts w:ascii="Times New Roman" w:hAnsi="Times New Roman" w:cs="Times New Roman"/>
          <w:sz w:val="24"/>
          <w:szCs w:val="24"/>
        </w:rPr>
      </w:pPr>
      <w:r>
        <w:rPr>
          <w:rFonts w:ascii="Times New Roman" w:hAnsi="Times New Roman" w:cs="Times New Roman"/>
          <w:sz w:val="24"/>
          <w:szCs w:val="24"/>
        </w:rPr>
        <w:t>Key: UL-University librarian; LT-Lecturer; HOD-Head of department</w:t>
      </w:r>
    </w:p>
    <w:p w14:paraId="5F738DEC" w14:textId="77777777" w:rsidR="00B01D46" w:rsidRDefault="0067013E">
      <w:pPr>
        <w:pStyle w:val="NoSpacing"/>
        <w:ind w:left="0" w:right="65"/>
        <w:rPr>
          <w:rFonts w:ascii="Times New Roman" w:hAnsi="Times New Roman" w:cs="Times New Roman"/>
          <w:b/>
          <w:bCs/>
          <w:sz w:val="24"/>
          <w:szCs w:val="24"/>
        </w:rPr>
      </w:pPr>
      <w:r>
        <w:rPr>
          <w:rFonts w:ascii="Times New Roman" w:hAnsi="Times New Roman" w:cs="Times New Roman"/>
          <w:b/>
          <w:bCs/>
          <w:sz w:val="24"/>
          <w:szCs w:val="24"/>
        </w:rPr>
        <w:t>Source: Field Data (2021)</w:t>
      </w:r>
    </w:p>
    <w:p w14:paraId="6F18913D" w14:textId="77777777" w:rsidR="00B01D46" w:rsidRDefault="00B01D46">
      <w:pPr>
        <w:spacing w:before="120" w:after="0" w:line="240" w:lineRule="auto"/>
        <w:ind w:right="65"/>
        <w:jc w:val="both"/>
        <w:rPr>
          <w:rFonts w:ascii="Times New Roman" w:eastAsia="Calibri" w:hAnsi="Times New Roman" w:cs="Times New Roman"/>
          <w:sz w:val="24"/>
          <w:szCs w:val="24"/>
        </w:rPr>
      </w:pPr>
    </w:p>
    <w:p w14:paraId="1C88D0B1"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Interviewed respondents were required to explain the personalities behind ILS policy formulation. The results point out that university librarians are the initiators of ILS policy development in universities, by interpreting the patterns of information access and use within the university. The respondents, further, stated that once university librarians identify the need to initiate ILS policy or gaps in ILS policy, then notifies the heads of departments who are the quality assurances officers and custodians of curricula in their departments through a memorandum or submissions to the deans’ </w:t>
      </w:r>
      <w:r>
        <w:rPr>
          <w:rFonts w:ascii="Times New Roman" w:eastAsia="Calibri" w:hAnsi="Times New Roman" w:cs="Times New Roman"/>
          <w:sz w:val="24"/>
          <w:szCs w:val="24"/>
        </w:rPr>
        <w:lastRenderedPageBreak/>
        <w:t>committee. Once the deans’ committee approves, university librarians, head medical librarians, and heads of departments embark on generating the content of the ILS policy or reviewing the existing ILS policy to fill in the identified gaps. In addition, university librarians have been bestowed the task of monitoring and evaluating the ILS policy whereas, heads of departments and lecturers fortify that there is adherence to the ILS policy. The top university management have the function of supporting the enactment of ILS policy through providence of the infrastructure and resources.</w:t>
      </w:r>
    </w:p>
    <w:p w14:paraId="47BACFC5" w14:textId="77777777" w:rsidR="00B01D46" w:rsidRDefault="0067013E">
      <w:pPr>
        <w:pStyle w:val="Heading5"/>
      </w:pPr>
      <w:bookmarkStart w:id="1546" w:name="_Toc165363466"/>
      <w:bookmarkStart w:id="1547" w:name="_Toc165369261"/>
      <w:bookmarkStart w:id="1548" w:name="_Toc165365240"/>
      <w:bookmarkStart w:id="1549" w:name="_Toc184272946"/>
      <w:bookmarkStart w:id="1550" w:name="_Toc164664065"/>
      <w:r>
        <w:t>5.4.2.1.4 Adequacy of the ILS Policy</w:t>
      </w:r>
      <w:bookmarkEnd w:id="1546"/>
      <w:bookmarkEnd w:id="1547"/>
      <w:bookmarkEnd w:id="1548"/>
      <w:bookmarkEnd w:id="1549"/>
      <w:bookmarkEnd w:id="1550"/>
      <w:r>
        <w:t xml:space="preserve"> </w:t>
      </w:r>
    </w:p>
    <w:p w14:paraId="64C19E9E"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 interviewed respondents rated the adequacy of the ILS policy in addressing ILS training and learning among medical students. Two university librarians, six heads of departments, and two heads of medical librarians responded. Out of the total 10 respondents interviewed, 2 (20%) stated that the ILS policy in place was adequate in addressing the training and learning of ILS among students. While 8 (80%) of the interviewed respondents stated that the ILS policy in place was inadequate in addressing ILS training and learning needs among students because it does not state who is responsible for ILS training, timeframes for reviews and updates are not indicated, assessments and reviews have never been carried out and the policy updated to reflect changes in the information environment. Furthermore, ILS training is never timetabled and is carried out at the convenience of the librarian and the lecturers and the requisite facilities for ILS instruction are not available/provided. The results are shown in Figure 5.3.</w:t>
      </w:r>
    </w:p>
    <w:p w14:paraId="72EEFC5F" w14:textId="77777777" w:rsidR="00B01D46" w:rsidRDefault="0067013E">
      <w:pPr>
        <w:spacing w:before="120" w:after="0" w:line="480" w:lineRule="auto"/>
        <w:ind w:right="65"/>
        <w:jc w:val="both"/>
        <w:rPr>
          <w:rFonts w:ascii="Times New Roman" w:eastAsia="Calibri" w:hAnsi="Times New Roman" w:cs="Times New Roman"/>
          <w:b/>
          <w:bCs/>
          <w:sz w:val="24"/>
          <w:szCs w:val="24"/>
        </w:rPr>
      </w:pPr>
      <w:r>
        <w:rPr>
          <w:rFonts w:ascii="Times New Roman" w:eastAsia="Calibri" w:hAnsi="Times New Roman" w:cs="Times New Roman"/>
          <w:noProof/>
          <w:sz w:val="24"/>
          <w:szCs w:val="24"/>
        </w:rPr>
        <w:lastRenderedPageBreak/>
        <w:drawing>
          <wp:inline distT="0" distB="0" distL="0" distR="0" wp14:anchorId="5630EBA2" wp14:editId="2DCC7E1E">
            <wp:extent cx="4572000" cy="27432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554B4B5" w14:textId="77777777" w:rsidR="00B01D46" w:rsidRDefault="0067013E">
      <w:pPr>
        <w:pStyle w:val="Caption"/>
      </w:pPr>
      <w:bookmarkStart w:id="1551" w:name="_Toc165975845"/>
      <w:bookmarkStart w:id="1552" w:name="_Toc184272003"/>
      <w:bookmarkStart w:id="1553" w:name="_Toc165369262"/>
      <w:bookmarkStart w:id="1554" w:name="_Toc184272201"/>
      <w:bookmarkStart w:id="1555" w:name="_Toc184276913"/>
      <w:bookmarkStart w:id="1556" w:name="_Toc165363467"/>
      <w:bookmarkStart w:id="1557" w:name="_Toc165973124"/>
      <w:bookmarkStart w:id="1558" w:name="_Toc165365241"/>
      <w:bookmarkStart w:id="1559" w:name="_Hlk159793180"/>
      <w:r>
        <w:t>Figure 5.3: Adequacy of ILS Policy</w:t>
      </w:r>
      <w:bookmarkEnd w:id="1551"/>
      <w:bookmarkEnd w:id="1552"/>
      <w:bookmarkEnd w:id="1553"/>
      <w:bookmarkEnd w:id="1554"/>
      <w:bookmarkEnd w:id="1555"/>
      <w:bookmarkEnd w:id="1556"/>
      <w:bookmarkEnd w:id="1557"/>
      <w:bookmarkEnd w:id="1558"/>
    </w:p>
    <w:bookmarkEnd w:id="1559"/>
    <w:p w14:paraId="2DA568AF" w14:textId="77777777" w:rsidR="00B01D46" w:rsidRDefault="0067013E">
      <w:pPr>
        <w:spacing w:before="120" w:line="480" w:lineRule="auto"/>
        <w:ind w:right="65"/>
        <w:jc w:val="both"/>
        <w:rPr>
          <w:rFonts w:ascii="Times New Roman" w:eastAsia="Calibri" w:hAnsi="Times New Roman" w:cs="Times New Roman"/>
          <w:i/>
          <w:sz w:val="24"/>
          <w:szCs w:val="24"/>
        </w:rPr>
      </w:pPr>
      <w:r>
        <w:rPr>
          <w:rFonts w:ascii="Times New Roman" w:eastAsia="Calibri" w:hAnsi="Times New Roman" w:cs="Times New Roman"/>
          <w:b/>
          <w:bCs/>
          <w:i/>
          <w:sz w:val="24"/>
          <w:szCs w:val="24"/>
        </w:rPr>
        <w:t>Source: Field data (2021)</w:t>
      </w:r>
    </w:p>
    <w:p w14:paraId="3DADCEC0" w14:textId="77777777" w:rsidR="00B01D46" w:rsidRDefault="0067013E">
      <w:pPr>
        <w:pStyle w:val="Heading4"/>
        <w:rPr>
          <w:rFonts w:eastAsia="Times New Roman"/>
        </w:rPr>
      </w:pPr>
      <w:bookmarkStart w:id="1560" w:name="_Toc165369263"/>
      <w:bookmarkStart w:id="1561" w:name="_Toc165363468"/>
      <w:bookmarkStart w:id="1562" w:name="_Toc164664066"/>
      <w:bookmarkStart w:id="1563" w:name="_Toc165365242"/>
      <w:bookmarkStart w:id="1564" w:name="_Toc165975846"/>
      <w:bookmarkStart w:id="1565" w:name="_Toc165973125"/>
      <w:bookmarkStart w:id="1566" w:name="_Toc184272947"/>
      <w:r>
        <w:t>5.4.2.2 ILS curricula and the methods of delivery</w:t>
      </w:r>
      <w:bookmarkEnd w:id="1560"/>
      <w:bookmarkEnd w:id="1561"/>
      <w:bookmarkEnd w:id="1562"/>
      <w:bookmarkEnd w:id="1563"/>
      <w:bookmarkEnd w:id="1564"/>
      <w:bookmarkEnd w:id="1565"/>
      <w:bookmarkEnd w:id="1566"/>
    </w:p>
    <w:p w14:paraId="4FE17909" w14:textId="77777777" w:rsidR="00B01D46" w:rsidRDefault="0067013E">
      <w:pPr>
        <w:autoSpaceDE w:val="0"/>
        <w:autoSpaceDN w:val="0"/>
        <w:adjustRightInd w:val="0"/>
        <w:spacing w:after="0" w:line="48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bCs/>
          <w:color w:val="000000"/>
          <w:sz w:val="24"/>
          <w:szCs w:val="24"/>
        </w:rPr>
        <w:t>The relational frame from Bruce's six frames for information literacy education approach (Bruce et al., 2006) served as the study's foundation. It illustrates how the content, learning to learn, and experience frameworks are mediated or brought together to influence the ILS curriculum development and delivery.</w:t>
      </w:r>
      <w:r>
        <w:rPr>
          <w:rFonts w:ascii="Times New Roman" w:eastAsia="Calibri" w:hAnsi="Times New Roman" w:cs="Times New Roman"/>
          <w:color w:val="000000"/>
          <w:sz w:val="24"/>
          <w:szCs w:val="24"/>
        </w:rPr>
        <w:t xml:space="preserve"> The relational frame is concerned with how the ILS curriculum is developed and delivered to students. The relational frame does not see the student and information literacy skills as separate entities; rather, it sees the relationship between the student and information as one entity. The Cronbach’s Alpha values for this question were 0.769 for objects in the students’ questionnaire. This suggested a high internal validity of the test items. The question that is being addressed here is </w:t>
      </w:r>
    </w:p>
    <w:p w14:paraId="17ED2D95" w14:textId="77777777" w:rsidR="00B01D46" w:rsidRDefault="0067013E">
      <w:pPr>
        <w:autoSpaceDE w:val="0"/>
        <w:autoSpaceDN w:val="0"/>
        <w:adjustRightInd w:val="0"/>
        <w:spacing w:before="120" w:after="0" w:line="240" w:lineRule="auto"/>
        <w:ind w:left="567" w:right="65"/>
        <w:jc w:val="both"/>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 xml:space="preserve">“What is the adequacy of information literacy skills curriculum or programmes and assess the methods used in delivering to medical undergraduate students in the two universities. </w:t>
      </w:r>
    </w:p>
    <w:p w14:paraId="00FA6268" w14:textId="77777777" w:rsidR="00B01D46" w:rsidRDefault="0067013E">
      <w:pPr>
        <w:shd w:val="clear" w:color="auto" w:fill="FFFFFF"/>
        <w:tabs>
          <w:tab w:val="left" w:pos="360"/>
        </w:tabs>
        <w:autoSpaceDE w:val="0"/>
        <w:autoSpaceDN w:val="0"/>
        <w:adjustRightInd w:val="0"/>
        <w:spacing w:before="120" w:after="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are organized under the following headings:</w:t>
      </w:r>
    </w:p>
    <w:p w14:paraId="209DE8E1" w14:textId="77777777" w:rsidR="00B01D46" w:rsidRDefault="0067013E">
      <w:pPr>
        <w:pStyle w:val="Heading5"/>
      </w:pPr>
      <w:bookmarkStart w:id="1567" w:name="_Toc165369264"/>
      <w:bookmarkStart w:id="1568" w:name="_Toc164664067"/>
      <w:bookmarkStart w:id="1569" w:name="_Toc165365243"/>
      <w:bookmarkStart w:id="1570" w:name="_Toc165363469"/>
      <w:bookmarkStart w:id="1571" w:name="_Toc184272948"/>
      <w:r>
        <w:lastRenderedPageBreak/>
        <w:t>5.4.2.2.1 Existence of ILS Curriculum</w:t>
      </w:r>
      <w:bookmarkEnd w:id="1567"/>
      <w:bookmarkEnd w:id="1568"/>
      <w:bookmarkEnd w:id="1569"/>
      <w:bookmarkEnd w:id="1570"/>
      <w:bookmarkEnd w:id="1571"/>
    </w:p>
    <w:p w14:paraId="64FBC2F3"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ILS training not only covers the conventional library functions but also how to exploit various sources of information advantageously (Mokhtar and Majid, 2008). According to Albitz (2007) it is ability to discover new knowledge from the existing one through application of critical thinking, problem solving and analytical skills.  Therefore, according to Webber and Johnston (2018) an effective ILS curriculum design should address how a subject is taught as much as it addresses what is taught. Content and method of instruction go hand in hand. The ILS curriculum should focus on encouraging students to experience ILS in a manner that encourages them to easily apply the skills across disciplines as far as selection, evaluation and application of information is concerned. The study sought to find out if there was an ILS curriculum in place and how it facilitated the learning and training of ILS in medical institutions.</w:t>
      </w:r>
    </w:p>
    <w:p w14:paraId="2972C6FF" w14:textId="77777777" w:rsidR="00B01D46" w:rsidRDefault="00B01D46">
      <w:pPr>
        <w:spacing w:after="0" w:line="240" w:lineRule="auto"/>
        <w:ind w:right="65"/>
        <w:jc w:val="both"/>
        <w:rPr>
          <w:rFonts w:ascii="Times New Roman" w:eastAsia="Calibri" w:hAnsi="Times New Roman" w:cs="Times New Roman"/>
          <w:b/>
          <w:sz w:val="24"/>
          <w:szCs w:val="24"/>
        </w:rPr>
      </w:pPr>
    </w:p>
    <w:p w14:paraId="3348F735" w14:textId="77777777" w:rsidR="00B01D46" w:rsidRDefault="0067013E">
      <w:pPr>
        <w:spacing w:after="0"/>
        <w:ind w:right="65"/>
        <w:rPr>
          <w:rFonts w:ascii="Times New Roman" w:hAnsi="Times New Roman" w:cs="Times New Roman"/>
          <w:b/>
          <w:sz w:val="24"/>
          <w:szCs w:val="24"/>
        </w:rPr>
      </w:pPr>
      <w:bookmarkStart w:id="1572" w:name="_Toc165363470"/>
      <w:bookmarkStart w:id="1573" w:name="_Toc164664068"/>
      <w:bookmarkStart w:id="1574" w:name="_Toc165368448"/>
      <w:bookmarkStart w:id="1575" w:name="_Toc165369265"/>
      <w:bookmarkStart w:id="1576" w:name="_Toc165365244"/>
      <w:r>
        <w:rPr>
          <w:rFonts w:ascii="Times New Roman" w:hAnsi="Times New Roman" w:cs="Times New Roman"/>
          <w:b/>
          <w:sz w:val="24"/>
          <w:szCs w:val="24"/>
        </w:rPr>
        <w:t>Students’ Response to the Existence of the ILS Curriculum</w:t>
      </w:r>
      <w:bookmarkEnd w:id="1572"/>
      <w:bookmarkEnd w:id="1573"/>
      <w:bookmarkEnd w:id="1574"/>
      <w:bookmarkEnd w:id="1575"/>
      <w:bookmarkEnd w:id="1576"/>
    </w:p>
    <w:p w14:paraId="11408C8A" w14:textId="77777777" w:rsidR="00B01D46" w:rsidRDefault="0067013E">
      <w:pPr>
        <w:spacing w:before="120" w:after="0" w:line="480" w:lineRule="auto"/>
        <w:ind w:right="65"/>
        <w:jc w:val="both"/>
        <w:rPr>
          <w:rFonts w:ascii="Times New Roman" w:eastAsia="Calibri" w:hAnsi="Times New Roman" w:cs="Times New Roman"/>
          <w:bCs/>
          <w:sz w:val="24"/>
          <w:szCs w:val="24"/>
        </w:rPr>
      </w:pPr>
      <w:r>
        <w:rPr>
          <w:rFonts w:ascii="Times New Roman" w:eastAsia="Calibri" w:hAnsi="Times New Roman" w:cs="Times New Roman"/>
          <w:bCs/>
          <w:sz w:val="24"/>
          <w:szCs w:val="24"/>
        </w:rPr>
        <w:t>Medical students from the two public universities were asked if their institution had an ILS curriculum. The results are illustrated in figure 5.4.</w:t>
      </w:r>
    </w:p>
    <w:p w14:paraId="745C4D44" w14:textId="77777777" w:rsidR="00B01D46" w:rsidRDefault="0067013E">
      <w:pPr>
        <w:pStyle w:val="NoSpacing"/>
      </w:pPr>
      <w:r>
        <w:rPr>
          <w:noProof/>
        </w:rPr>
        <w:drawing>
          <wp:inline distT="0" distB="0" distL="0" distR="0" wp14:anchorId="190F1DB1" wp14:editId="73F2CC24">
            <wp:extent cx="4472940" cy="2053590"/>
            <wp:effectExtent l="0" t="0" r="3810" b="381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40D2051" w14:textId="77777777" w:rsidR="00B01D46" w:rsidRDefault="0067013E">
      <w:pPr>
        <w:pStyle w:val="Caption"/>
        <w:spacing w:after="0"/>
      </w:pPr>
      <w:bookmarkStart w:id="1577" w:name="_Toc165363471"/>
      <w:bookmarkStart w:id="1578" w:name="_Toc184272202"/>
      <w:bookmarkStart w:id="1579" w:name="_Toc184276914"/>
      <w:bookmarkStart w:id="1580" w:name="_Toc165368449"/>
      <w:bookmarkStart w:id="1581" w:name="_Toc165365245"/>
      <w:bookmarkStart w:id="1582" w:name="_Toc165973126"/>
      <w:bookmarkStart w:id="1583" w:name="_Toc165975847"/>
      <w:bookmarkStart w:id="1584" w:name="_Toc165369266"/>
      <w:bookmarkStart w:id="1585" w:name="_Toc184272004"/>
      <w:bookmarkStart w:id="1586" w:name="_Hlk159793228"/>
      <w:r>
        <w:t>Figure 5.4: Students’ Response on the Existence of ILS Curriculum (N=255)</w:t>
      </w:r>
      <w:bookmarkEnd w:id="1577"/>
      <w:bookmarkEnd w:id="1578"/>
      <w:bookmarkEnd w:id="1579"/>
      <w:bookmarkEnd w:id="1580"/>
      <w:bookmarkEnd w:id="1581"/>
      <w:bookmarkEnd w:id="1582"/>
      <w:bookmarkEnd w:id="1583"/>
      <w:bookmarkEnd w:id="1584"/>
      <w:bookmarkEnd w:id="1585"/>
    </w:p>
    <w:bookmarkEnd w:id="1586"/>
    <w:p w14:paraId="569D8B95" w14:textId="77777777" w:rsidR="00B01D46" w:rsidRDefault="0067013E">
      <w:pPr>
        <w:spacing w:after="0" w:line="480" w:lineRule="auto"/>
        <w:ind w:right="65"/>
        <w:jc w:val="both"/>
        <w:rPr>
          <w:rFonts w:ascii="Times New Roman" w:eastAsia="Calibri" w:hAnsi="Times New Roman" w:cs="Times New Roman"/>
          <w:i/>
          <w:iCs/>
          <w:sz w:val="24"/>
          <w:szCs w:val="24"/>
        </w:rPr>
      </w:pPr>
      <w:r>
        <w:rPr>
          <w:rFonts w:ascii="Times New Roman" w:eastAsia="Calibri" w:hAnsi="Times New Roman" w:cs="Times New Roman"/>
          <w:b/>
          <w:bCs/>
          <w:i/>
          <w:iCs/>
          <w:sz w:val="24"/>
          <w:szCs w:val="24"/>
        </w:rPr>
        <w:t>Source: Field data (2021)</w:t>
      </w:r>
    </w:p>
    <w:p w14:paraId="7500A9E5"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Figure 5.4 shows that 186 (72.94%) of students asserted that their university had an ILS curriculum, whereas 69 (27.05%) indicated that their university did not have an ILS curriculum.</w:t>
      </w:r>
    </w:p>
    <w:p w14:paraId="35829D12" w14:textId="77777777" w:rsidR="00B01D46" w:rsidRDefault="00B01D46">
      <w:pPr>
        <w:spacing w:after="0" w:line="240" w:lineRule="auto"/>
        <w:ind w:right="65"/>
        <w:jc w:val="both"/>
        <w:rPr>
          <w:rFonts w:ascii="Times New Roman" w:eastAsia="Calibri" w:hAnsi="Times New Roman" w:cs="Times New Roman"/>
          <w:sz w:val="24"/>
          <w:szCs w:val="24"/>
        </w:rPr>
      </w:pPr>
    </w:p>
    <w:p w14:paraId="6ED07E26" w14:textId="77777777" w:rsidR="00B01D46" w:rsidRDefault="0067013E">
      <w:pPr>
        <w:spacing w:after="0"/>
        <w:ind w:right="65"/>
        <w:rPr>
          <w:rFonts w:ascii="Times New Roman" w:hAnsi="Times New Roman" w:cs="Times New Roman"/>
          <w:b/>
          <w:sz w:val="24"/>
          <w:szCs w:val="24"/>
        </w:rPr>
      </w:pPr>
      <w:bookmarkStart w:id="1587" w:name="_Toc165363472"/>
      <w:bookmarkStart w:id="1588" w:name="_Toc165365246"/>
      <w:bookmarkStart w:id="1589" w:name="_Toc165368450"/>
      <w:bookmarkStart w:id="1590" w:name="_Toc164664069"/>
      <w:bookmarkStart w:id="1591" w:name="_Toc165369267"/>
      <w:r>
        <w:rPr>
          <w:rFonts w:ascii="Times New Roman" w:hAnsi="Times New Roman" w:cs="Times New Roman"/>
          <w:b/>
          <w:sz w:val="24"/>
          <w:szCs w:val="24"/>
        </w:rPr>
        <w:t>Lecturers’ Response to the Existence of the ILS Curriculum</w:t>
      </w:r>
      <w:bookmarkEnd w:id="1587"/>
      <w:bookmarkEnd w:id="1588"/>
      <w:bookmarkEnd w:id="1589"/>
      <w:bookmarkEnd w:id="1590"/>
      <w:bookmarkEnd w:id="1591"/>
    </w:p>
    <w:p w14:paraId="4F846400" w14:textId="77777777" w:rsidR="00B01D46" w:rsidRDefault="0067013E">
      <w:pPr>
        <w:spacing w:before="120" w:after="0" w:line="480" w:lineRule="auto"/>
        <w:ind w:right="65"/>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The lecturers were asked whether their institution had an ILS curriculum. The lecturer participants </w:t>
      </w:r>
      <w:r>
        <w:rPr>
          <w:rFonts w:ascii="Times New Roman" w:eastAsia="Calibri" w:hAnsi="Times New Roman" w:cs="Times New Roman"/>
          <w:sz w:val="24"/>
          <w:szCs w:val="24"/>
        </w:rPr>
        <w:t>53 (85.50%) stated that their institution had an ILS curriculum, while 9 (14.50%) indicated that their institution did not have an ILS curriculum. One of the Heads of departments commented:</w:t>
      </w:r>
    </w:p>
    <w:p w14:paraId="24FD38EE" w14:textId="77777777" w:rsidR="00B01D46" w:rsidRDefault="0067013E">
      <w:pPr>
        <w:spacing w:after="0" w:line="240" w:lineRule="auto"/>
        <w:ind w:left="720" w:right="9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We have an elaborate curriculum that lecturers in my department and to some extent librarians use to train ILS to our undergraduate medical students….” </w:t>
      </w:r>
    </w:p>
    <w:p w14:paraId="217DCFA4" w14:textId="77777777" w:rsidR="00B01D46" w:rsidRDefault="00B01D46">
      <w:pPr>
        <w:ind w:right="65"/>
        <w:rPr>
          <w:rFonts w:ascii="Times New Roman" w:hAnsi="Times New Roman" w:cs="Times New Roman"/>
          <w:sz w:val="24"/>
          <w:szCs w:val="24"/>
        </w:rPr>
      </w:pPr>
      <w:bookmarkStart w:id="1592" w:name="_Toc164664070"/>
      <w:bookmarkStart w:id="1593" w:name="_Toc165369269"/>
      <w:bookmarkStart w:id="1594" w:name="_Toc165365248"/>
      <w:bookmarkStart w:id="1595" w:name="_Toc165368452"/>
      <w:bookmarkStart w:id="1596" w:name="_Toc165363474"/>
    </w:p>
    <w:p w14:paraId="72937D7F" w14:textId="77777777" w:rsidR="00B01D46" w:rsidRDefault="0067013E">
      <w:pPr>
        <w:pStyle w:val="Heading5"/>
      </w:pPr>
      <w:bookmarkStart w:id="1597" w:name="_Toc184272949"/>
      <w:r>
        <w:t>5.4.2.2.2 Topics Covered by the ILS Curriculum</w:t>
      </w:r>
      <w:bookmarkEnd w:id="1592"/>
      <w:bookmarkEnd w:id="1593"/>
      <w:bookmarkEnd w:id="1594"/>
      <w:bookmarkEnd w:id="1595"/>
      <w:bookmarkEnd w:id="1596"/>
      <w:bookmarkEnd w:id="1597"/>
    </w:p>
    <w:p w14:paraId="1F4276D0"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study sought to find out the topics covered by the ILS curriculum. The findings are provided in sections 5.4.2.6.1 and 5.4.2.6.2 for students’ and lecturers’ responses respectively.</w:t>
      </w:r>
    </w:p>
    <w:p w14:paraId="53D4BED6" w14:textId="77777777" w:rsidR="00B01D46" w:rsidRDefault="00B01D46">
      <w:pPr>
        <w:spacing w:after="0" w:line="240" w:lineRule="auto"/>
        <w:ind w:right="65"/>
        <w:rPr>
          <w:rFonts w:ascii="Times New Roman" w:hAnsi="Times New Roman" w:cs="Times New Roman"/>
          <w:b/>
          <w:sz w:val="24"/>
          <w:szCs w:val="24"/>
        </w:rPr>
      </w:pPr>
      <w:bookmarkStart w:id="1598" w:name="_Toc164664071"/>
      <w:bookmarkStart w:id="1599" w:name="_Toc165365249"/>
      <w:bookmarkStart w:id="1600" w:name="_Toc165363475"/>
      <w:bookmarkStart w:id="1601" w:name="_Toc165368453"/>
      <w:bookmarkStart w:id="1602" w:name="_Toc165369270"/>
    </w:p>
    <w:p w14:paraId="23A9F734" w14:textId="77777777" w:rsidR="00B01D46" w:rsidRDefault="0067013E">
      <w:pPr>
        <w:spacing w:after="0" w:line="480" w:lineRule="auto"/>
        <w:ind w:right="65"/>
        <w:rPr>
          <w:rFonts w:ascii="Times New Roman" w:hAnsi="Times New Roman" w:cs="Times New Roman"/>
          <w:b/>
          <w:sz w:val="24"/>
          <w:szCs w:val="24"/>
        </w:rPr>
      </w:pPr>
      <w:r>
        <w:rPr>
          <w:rFonts w:ascii="Times New Roman" w:hAnsi="Times New Roman" w:cs="Times New Roman"/>
          <w:b/>
          <w:sz w:val="24"/>
          <w:szCs w:val="24"/>
        </w:rPr>
        <w:t>Students’ Response on the Topics Covered by the ILS Curriculum</w:t>
      </w:r>
      <w:bookmarkEnd w:id="1598"/>
      <w:bookmarkEnd w:id="1599"/>
      <w:bookmarkEnd w:id="1600"/>
      <w:bookmarkEnd w:id="1601"/>
      <w:bookmarkEnd w:id="1602"/>
    </w:p>
    <w:p w14:paraId="4A7D491A" w14:textId="77777777" w:rsidR="00B01D46" w:rsidRDefault="0067013E">
      <w:pPr>
        <w:spacing w:after="0" w:line="480" w:lineRule="auto"/>
        <w:ind w:right="65"/>
        <w:rPr>
          <w:rFonts w:ascii="Times New Roman" w:eastAsia="Calibri" w:hAnsi="Times New Roman" w:cs="Times New Roman"/>
          <w:bCs/>
          <w:sz w:val="24"/>
          <w:szCs w:val="24"/>
        </w:rPr>
      </w:pPr>
      <w:r>
        <w:rPr>
          <w:rFonts w:ascii="Times New Roman" w:eastAsia="Calibri" w:hAnsi="Times New Roman" w:cs="Times New Roman"/>
          <w:bCs/>
          <w:sz w:val="24"/>
          <w:szCs w:val="24"/>
        </w:rPr>
        <w:t>The study wanted to know the various topics that were covered by ILS curriculum at the two selected universities.</w:t>
      </w:r>
    </w:p>
    <w:p w14:paraId="436A41A9" w14:textId="77777777" w:rsidR="00B01D46" w:rsidRDefault="0067013E">
      <w:pPr>
        <w:pStyle w:val="Caption"/>
      </w:pPr>
      <w:bookmarkStart w:id="1603" w:name="_Toc165975849"/>
      <w:bookmarkStart w:id="1604" w:name="_Toc165973128"/>
      <w:bookmarkStart w:id="1605" w:name="_Toc184272005"/>
      <w:bookmarkStart w:id="1606" w:name="_Toc184276915"/>
      <w:bookmarkStart w:id="1607" w:name="_Hlk159793344"/>
      <w:bookmarkStart w:id="1608" w:name="_Hlk133405840"/>
      <w:r>
        <w:rPr>
          <w:color w:val="000000"/>
        </w:rPr>
        <w:t xml:space="preserve">Table 5.12: Students’ Responses on </w:t>
      </w:r>
      <w:r>
        <w:t>the Topics Covered by the ILS Curriculum</w:t>
      </w:r>
      <w:r>
        <w:rPr>
          <w:color w:val="000000"/>
        </w:rPr>
        <w:t xml:space="preserve"> (n=255)</w:t>
      </w:r>
      <w:r>
        <w:t xml:space="preserve">   (Source: Field data (2021)</w:t>
      </w:r>
      <w:bookmarkEnd w:id="1603"/>
      <w:bookmarkEnd w:id="1604"/>
      <w:bookmarkEnd w:id="1605"/>
      <w:bookmarkEnd w:id="1606"/>
    </w:p>
    <w:bookmarkEnd w:id="1607"/>
    <w:bookmarkEnd w:id="1608"/>
    <w:p w14:paraId="5E65DAB7" w14:textId="77777777" w:rsidR="00B01D46" w:rsidRDefault="0067013E">
      <w:pPr>
        <w:spacing w:before="120" w:after="0" w:line="480" w:lineRule="auto"/>
        <w:ind w:right="65"/>
        <w:jc w:val="both"/>
        <w:rPr>
          <w:rFonts w:ascii="Times New Roman" w:eastAsia="Calibri" w:hAnsi="Times New Roman" w:cs="Times New Roman"/>
          <w:bCs/>
          <w:sz w:val="24"/>
          <w:szCs w:val="24"/>
        </w:rPr>
      </w:pPr>
      <w:r>
        <w:rPr>
          <w:rFonts w:ascii="Times New Roman" w:hAnsi="Times New Roman" w:cs="Times New Roman"/>
          <w:noProof/>
          <w:sz w:val="24"/>
          <w:szCs w:val="24"/>
        </w:rPr>
        <w:drawing>
          <wp:inline distT="0" distB="0" distL="0" distR="0" wp14:anchorId="448E6DCD" wp14:editId="27171A88">
            <wp:extent cx="5007610" cy="1736090"/>
            <wp:effectExtent l="0" t="0" r="2540" b="0"/>
            <wp:docPr id="656697946" name="Picture 65669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97946" name="Picture 65669794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028683" cy="1743492"/>
                    </a:xfrm>
                    <a:prstGeom prst="rect">
                      <a:avLst/>
                    </a:prstGeom>
                    <a:noFill/>
                    <a:ln>
                      <a:noFill/>
                    </a:ln>
                  </pic:spPr>
                </pic:pic>
              </a:graphicData>
            </a:graphic>
          </wp:inline>
        </w:drawing>
      </w:r>
    </w:p>
    <w:p w14:paraId="04849505" w14:textId="77777777" w:rsidR="00B01D46" w:rsidRDefault="0067013E">
      <w:pPr>
        <w:spacing w:before="120" w:after="0" w:line="480" w:lineRule="auto"/>
        <w:ind w:right="65"/>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The finding indicated that majority of the students 204(79.99%), 174(68.22%), 186(72.94%), 186(72.94%), 215(84.31%), 153(58.99%), 169(64.26%) and 210(82.34%) agreed that problem-solving and critical thinking skills, information search and retrieval, legal issues in information use-course, computer literacy skills in information use, socialization and effective communication skills and the research skills, integration of information and basic library guidelines on how to access library materials were covered by the ILS curriculum respectively. However, 35 (13.72%), 61(23.92%),  54(21.18%), 47(18.43%), 80(31.37%), 32(12.54%), 32(12.54%) and 91 (35.67%)    of the students respondents disagreed that problem-solving and critical thinking skills, information retrieval and search skills, legal issues in the information used, computer literacy skills in information use, integration of information, socialization and effective communication skills, basic library guidelines on how to access library materials topic and  research skills are topics that are covered by the ILS curriculum</w:t>
      </w:r>
    </w:p>
    <w:p w14:paraId="6D55A1ED" w14:textId="77777777" w:rsidR="00B01D46" w:rsidRDefault="00B01D46">
      <w:pPr>
        <w:spacing w:after="0" w:line="240" w:lineRule="auto"/>
        <w:ind w:right="65"/>
        <w:rPr>
          <w:rFonts w:ascii="Times New Roman" w:hAnsi="Times New Roman" w:cs="Times New Roman"/>
          <w:b/>
          <w:sz w:val="24"/>
          <w:szCs w:val="24"/>
        </w:rPr>
      </w:pPr>
      <w:bookmarkStart w:id="1609" w:name="_Toc165365250"/>
      <w:bookmarkStart w:id="1610" w:name="_Toc165369272"/>
      <w:bookmarkStart w:id="1611" w:name="_Toc165363476"/>
      <w:bookmarkStart w:id="1612" w:name="_Toc164664072"/>
    </w:p>
    <w:p w14:paraId="0931FB62" w14:textId="77777777" w:rsidR="00B01D46" w:rsidRDefault="0067013E">
      <w:pPr>
        <w:spacing w:after="0"/>
        <w:ind w:right="65"/>
        <w:rPr>
          <w:rFonts w:ascii="Times New Roman" w:hAnsi="Times New Roman" w:cs="Times New Roman"/>
          <w:b/>
          <w:sz w:val="24"/>
          <w:szCs w:val="24"/>
        </w:rPr>
      </w:pPr>
      <w:r>
        <w:rPr>
          <w:rFonts w:ascii="Times New Roman" w:hAnsi="Times New Roman" w:cs="Times New Roman"/>
          <w:b/>
          <w:sz w:val="24"/>
          <w:szCs w:val="24"/>
        </w:rPr>
        <w:t>Lecturers’ Response on the Topics Covered by the ILS Curriculum</w:t>
      </w:r>
      <w:bookmarkEnd w:id="1609"/>
      <w:bookmarkEnd w:id="1610"/>
      <w:bookmarkEnd w:id="1611"/>
      <w:bookmarkEnd w:id="1612"/>
    </w:p>
    <w:p w14:paraId="5D85A2DC" w14:textId="77777777" w:rsidR="00B01D46" w:rsidRDefault="0067013E">
      <w:pPr>
        <w:spacing w:before="120" w:after="0" w:line="480" w:lineRule="auto"/>
        <w:ind w:right="65"/>
        <w:jc w:val="both"/>
        <w:rPr>
          <w:rFonts w:ascii="Times New Roman" w:eastAsia="Calibri" w:hAnsi="Times New Roman" w:cs="Times New Roman"/>
          <w:bCs/>
          <w:sz w:val="24"/>
          <w:szCs w:val="24"/>
        </w:rPr>
      </w:pPr>
      <w:r>
        <w:rPr>
          <w:rFonts w:ascii="Times New Roman" w:eastAsia="Calibri" w:hAnsi="Times New Roman" w:cs="Times New Roman"/>
          <w:bCs/>
          <w:sz w:val="24"/>
          <w:szCs w:val="24"/>
        </w:rPr>
        <w:t>The study sought know the response of lecturers concerning the topics covered in the ILS curriculum. The responses are presented in table 5.13.</w:t>
      </w:r>
    </w:p>
    <w:p w14:paraId="6AC5BDF7" w14:textId="77777777" w:rsidR="00B01D46" w:rsidRDefault="0067013E">
      <w:pPr>
        <w:pStyle w:val="Caption"/>
        <w:spacing w:after="0"/>
      </w:pPr>
      <w:bookmarkStart w:id="1613" w:name="_Toc184272559"/>
      <w:bookmarkStart w:id="1614" w:name="_Toc184272950"/>
      <w:bookmarkStart w:id="1615" w:name="_Toc165973129"/>
      <w:bookmarkStart w:id="1616" w:name="_Toc165365251"/>
      <w:bookmarkStart w:id="1617" w:name="_Toc165363477"/>
      <w:bookmarkStart w:id="1618" w:name="_Toc184272006"/>
      <w:bookmarkStart w:id="1619" w:name="_Toc184276916"/>
      <w:bookmarkStart w:id="1620" w:name="_Toc165975850"/>
      <w:bookmarkStart w:id="1621" w:name="_Hlk159793366"/>
      <w:r>
        <w:rPr>
          <w:rStyle w:val="Heading2Char"/>
          <w:rFonts w:eastAsia="SimSun" w:cstheme="minorBidi"/>
          <w:b w:val="0"/>
          <w:szCs w:val="18"/>
        </w:rPr>
        <w:t>Table 5.13 Lecturers’ Responses on the Topics Covered by the ILS Curriculum</w:t>
      </w:r>
      <w:bookmarkEnd w:id="1613"/>
      <w:bookmarkEnd w:id="1614"/>
      <w:r>
        <w:t xml:space="preserve"> (N=62)</w:t>
      </w:r>
      <w:bookmarkEnd w:id="1615"/>
      <w:bookmarkEnd w:id="1616"/>
      <w:bookmarkEnd w:id="1617"/>
      <w:bookmarkEnd w:id="1618"/>
      <w:bookmarkEnd w:id="1619"/>
      <w:bookmarkEnd w:id="1620"/>
    </w:p>
    <w:bookmarkEnd w:id="1621"/>
    <w:p w14:paraId="3F15AA16" w14:textId="77777777" w:rsidR="00B01D46" w:rsidRDefault="0067013E">
      <w:pPr>
        <w:pStyle w:val="NoSpacing"/>
        <w:ind w:left="0"/>
        <w:jc w:val="center"/>
      </w:pPr>
      <w:r>
        <w:rPr>
          <w:noProof/>
        </w:rPr>
        <w:drawing>
          <wp:inline distT="0" distB="0" distL="0" distR="0" wp14:anchorId="3C618AB4" wp14:editId="0512F72F">
            <wp:extent cx="5120640" cy="2120900"/>
            <wp:effectExtent l="0" t="0" r="3810" b="0"/>
            <wp:docPr id="1101341568" name="Picture 110134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341568" name="Picture 110134156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144381" cy="2130890"/>
                    </a:xfrm>
                    <a:prstGeom prst="rect">
                      <a:avLst/>
                    </a:prstGeom>
                    <a:noFill/>
                    <a:ln>
                      <a:noFill/>
                    </a:ln>
                  </pic:spPr>
                </pic:pic>
              </a:graphicData>
            </a:graphic>
          </wp:inline>
        </w:drawing>
      </w:r>
    </w:p>
    <w:p w14:paraId="3D2AE37C" w14:textId="77777777" w:rsidR="00B01D46" w:rsidRDefault="0067013E">
      <w:pPr>
        <w:ind w:right="65"/>
        <w:rPr>
          <w:rFonts w:ascii="Times New Roman" w:hAnsi="Times New Roman" w:cs="Times New Roman"/>
          <w:b/>
          <w:sz w:val="24"/>
          <w:szCs w:val="24"/>
        </w:rPr>
      </w:pPr>
      <w:r>
        <w:rPr>
          <w:rFonts w:ascii="Times New Roman" w:hAnsi="Times New Roman" w:cs="Times New Roman"/>
          <w:b/>
          <w:sz w:val="24"/>
          <w:szCs w:val="24"/>
        </w:rPr>
        <w:t>Source: Field data (2021)</w:t>
      </w:r>
    </w:p>
    <w:p w14:paraId="3165EF8E" w14:textId="77777777" w:rsidR="00B01D46" w:rsidRDefault="0067013E">
      <w:pPr>
        <w:spacing w:after="0" w:line="480" w:lineRule="auto"/>
        <w:ind w:right="65"/>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The findings of the study revealed that 57(91.94%), 56(90.33), 59(95.16%), 56 (90.33%), 58 (93.55%), 57 (91.94%), 59 (95.16%), 58 (93.55%) and 58 (93.55%) of the respondents agreed that problem-solving and critical thinking skills, information search and retrieval skills concept, legal issues in information use, computer literacy skills in information use, socialization and effective communication skills, integration of information, basic library guidelines </w:t>
      </w:r>
      <w:r>
        <w:rPr>
          <w:rFonts w:ascii="Times New Roman" w:eastAsia="Calibri" w:hAnsi="Times New Roman" w:cs="Times New Roman"/>
          <w:sz w:val="24"/>
          <w:szCs w:val="24"/>
        </w:rPr>
        <w:t>on how to access materials in the library</w:t>
      </w:r>
      <w:r>
        <w:rPr>
          <w:rFonts w:ascii="Times New Roman" w:eastAsia="Calibri" w:hAnsi="Times New Roman" w:cs="Times New Roman"/>
          <w:bCs/>
          <w:sz w:val="24"/>
          <w:szCs w:val="24"/>
        </w:rPr>
        <w:t xml:space="preserve">, research skills, and information searching and retrieval techniques are covered by the ILS curriculum in that order. On the contrary, 4 (6.46%), 4 (6.46%), 2 (3.23%), 4 (6.46%), 2 (3.23%), 4 (6.46%), 2 (3.23%), 3(4.84%) and 2 (3.23%) gainsaid that problem-solving and critical thinking skills, information search and retrieval skills concept, legal issues in information use, computer literacy skills in information use, socialization and effective communication skills, integration of information, basic library guidelines </w:t>
      </w:r>
      <w:r>
        <w:rPr>
          <w:rFonts w:ascii="Times New Roman" w:eastAsia="Calibri" w:hAnsi="Times New Roman" w:cs="Times New Roman"/>
          <w:sz w:val="24"/>
          <w:szCs w:val="24"/>
        </w:rPr>
        <w:t>on how to access materials in the library</w:t>
      </w:r>
      <w:r>
        <w:rPr>
          <w:rFonts w:ascii="Times New Roman" w:eastAsia="Calibri" w:hAnsi="Times New Roman" w:cs="Times New Roman"/>
          <w:bCs/>
          <w:sz w:val="24"/>
          <w:szCs w:val="24"/>
        </w:rPr>
        <w:t>, research skills, and information searching and retrieval techniques are covered by the ILS curriculum respectively.</w:t>
      </w:r>
    </w:p>
    <w:p w14:paraId="2EA3D674"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From interviews with university librarians and heads of departments, the results confirmed that the ILS curriculum covered information search techniques, information use, plagiarism check and avoidance, citation methods, referencing techniques, integration of information, effective communication, writing skills, basic research skills, and computer literacy skills. Has one university librarian (HD01) asserted that:</w:t>
      </w:r>
    </w:p>
    <w:p w14:paraId="5E66FF00" w14:textId="77777777" w:rsidR="00B01D46" w:rsidRDefault="0067013E">
      <w:pPr>
        <w:spacing w:before="120" w:after="0" w:line="240" w:lineRule="auto"/>
        <w:ind w:left="720" w:right="78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“…the contents of ILS curriculum are tailored towards creating a product (student) … who can recognize when information is required and discover, analyze, and effectively utilize that knowledge in an ethical and non-plagiarized manner …”</w:t>
      </w:r>
    </w:p>
    <w:p w14:paraId="30517B31" w14:textId="77777777" w:rsidR="00B01D46" w:rsidRDefault="00B01D46">
      <w:pPr>
        <w:spacing w:before="120" w:after="0" w:line="240" w:lineRule="auto"/>
        <w:ind w:left="567" w:right="65"/>
        <w:jc w:val="both"/>
        <w:rPr>
          <w:rFonts w:ascii="Times New Roman" w:eastAsia="Calibri" w:hAnsi="Times New Roman" w:cs="Times New Roman"/>
          <w:bCs/>
          <w:i/>
          <w:iCs/>
          <w:sz w:val="24"/>
          <w:szCs w:val="24"/>
        </w:rPr>
      </w:pPr>
    </w:p>
    <w:p w14:paraId="40EFD89F" w14:textId="77777777" w:rsidR="00B01D46" w:rsidRDefault="0067013E">
      <w:pPr>
        <w:pStyle w:val="Heading5"/>
      </w:pPr>
      <w:bookmarkStart w:id="1622" w:name="_Toc184272951"/>
      <w:bookmarkStart w:id="1623" w:name="_Toc165365252"/>
      <w:bookmarkStart w:id="1624" w:name="_Toc165369274"/>
      <w:bookmarkStart w:id="1625" w:name="_Toc165363478"/>
      <w:bookmarkStart w:id="1626" w:name="_Toc164664073"/>
      <w:r>
        <w:lastRenderedPageBreak/>
        <w:t>5.4.2.2.3 Methods of ILS Delivery</w:t>
      </w:r>
      <w:bookmarkEnd w:id="1622"/>
      <w:bookmarkEnd w:id="1623"/>
      <w:bookmarkEnd w:id="1624"/>
      <w:bookmarkEnd w:id="1625"/>
      <w:bookmarkEnd w:id="1626"/>
    </w:p>
    <w:p w14:paraId="4C563316"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study sought to establish the methods utilized in delivering ILS curriculum to medical undergraduate students. The findings are shown in sections 5.6.2.1.1 and 5.6.2.1.2 for the students and lecturers respectively.</w:t>
      </w:r>
    </w:p>
    <w:p w14:paraId="21F2BF57" w14:textId="77777777" w:rsidR="00B01D46" w:rsidRDefault="0067013E">
      <w:pPr>
        <w:ind w:right="65"/>
        <w:rPr>
          <w:rFonts w:ascii="Times New Roman" w:hAnsi="Times New Roman" w:cs="Times New Roman"/>
          <w:sz w:val="24"/>
          <w:szCs w:val="24"/>
        </w:rPr>
      </w:pPr>
      <w:bookmarkStart w:id="1627" w:name="_Toc165363479"/>
      <w:bookmarkStart w:id="1628" w:name="_Toc165365253"/>
      <w:bookmarkStart w:id="1629" w:name="_Toc165973130"/>
      <w:bookmarkStart w:id="1630" w:name="_Toc164664074"/>
      <w:bookmarkStart w:id="1631" w:name="_Toc165369275"/>
      <w:bookmarkStart w:id="1632" w:name="_Toc165975851"/>
      <w:r>
        <w:rPr>
          <w:rFonts w:ascii="Times New Roman" w:hAnsi="Times New Roman" w:cs="Times New Roman"/>
          <w:b/>
          <w:bCs/>
          <w:sz w:val="24"/>
          <w:szCs w:val="24"/>
        </w:rPr>
        <w:t>Students’ Response to Methods of ILS Delivery</w:t>
      </w:r>
      <w:bookmarkEnd w:id="1627"/>
      <w:bookmarkEnd w:id="1628"/>
      <w:bookmarkEnd w:id="1629"/>
      <w:bookmarkEnd w:id="1630"/>
      <w:bookmarkEnd w:id="1631"/>
      <w:bookmarkEnd w:id="1632"/>
    </w:p>
    <w:p w14:paraId="78A3391B" w14:textId="77777777" w:rsidR="00B01D46" w:rsidRDefault="0067013E">
      <w:pPr>
        <w:pStyle w:val="Caption"/>
      </w:pPr>
      <w:bookmarkStart w:id="1633" w:name="_Hlk101690083"/>
      <w:bookmarkStart w:id="1634" w:name="_Toc165365254"/>
      <w:bookmarkStart w:id="1635" w:name="_Toc184276917"/>
      <w:bookmarkStart w:id="1636" w:name="_Toc165975852"/>
      <w:bookmarkStart w:id="1637" w:name="_Toc165973131"/>
      <w:bookmarkStart w:id="1638" w:name="_Toc184272007"/>
      <w:bookmarkStart w:id="1639" w:name="_Toc165363480"/>
      <w:bookmarkStart w:id="1640" w:name="_Hlk159793390"/>
      <w:r>
        <w:t xml:space="preserve">Table </w:t>
      </w:r>
      <w:bookmarkEnd w:id="1633"/>
      <w:r>
        <w:t>5.14: Students’ Response to Methods of ILS Delivery (N=255)</w:t>
      </w:r>
      <w:bookmarkEnd w:id="1634"/>
      <w:bookmarkEnd w:id="1635"/>
      <w:bookmarkEnd w:id="1636"/>
      <w:bookmarkEnd w:id="1637"/>
      <w:bookmarkEnd w:id="1638"/>
      <w:bookmarkEnd w:id="1639"/>
    </w:p>
    <w:p w14:paraId="28D2AC1C" w14:textId="77777777" w:rsidR="00B01D46" w:rsidRDefault="0067013E">
      <w:pPr>
        <w:autoSpaceDE w:val="0"/>
        <w:autoSpaceDN w:val="0"/>
        <w:adjustRightInd w:val="0"/>
        <w:spacing w:before="120" w:after="0" w:line="240" w:lineRule="auto"/>
        <w:ind w:right="65"/>
        <w:jc w:val="both"/>
        <w:rPr>
          <w:rFonts w:ascii="Times New Roman" w:eastAsia="Calibri" w:hAnsi="Times New Roman" w:cs="Times New Roman"/>
          <w:b/>
          <w:color w:val="000000"/>
          <w:sz w:val="24"/>
          <w:szCs w:val="24"/>
        </w:rPr>
      </w:pPr>
      <w:r>
        <w:rPr>
          <w:rFonts w:ascii="Times New Roman" w:hAnsi="Times New Roman" w:cs="Times New Roman"/>
          <w:noProof/>
          <w:sz w:val="24"/>
          <w:szCs w:val="24"/>
        </w:rPr>
        <w:drawing>
          <wp:inline distT="0" distB="0" distL="0" distR="0" wp14:anchorId="43A166BE" wp14:editId="21EF685C">
            <wp:extent cx="5151755" cy="2053590"/>
            <wp:effectExtent l="0" t="0" r="0" b="3810"/>
            <wp:docPr id="677677888" name="Picture 677677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677888" name="Picture 67767788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163623" cy="2058530"/>
                    </a:xfrm>
                    <a:prstGeom prst="rect">
                      <a:avLst/>
                    </a:prstGeom>
                    <a:noFill/>
                    <a:ln>
                      <a:noFill/>
                    </a:ln>
                  </pic:spPr>
                </pic:pic>
              </a:graphicData>
            </a:graphic>
          </wp:inline>
        </w:drawing>
      </w:r>
    </w:p>
    <w:bookmarkEnd w:id="1640"/>
    <w:p w14:paraId="352165D8" w14:textId="77777777" w:rsidR="00B01D46" w:rsidRDefault="0067013E">
      <w:pPr>
        <w:spacing w:before="120" w:after="0" w:line="480" w:lineRule="auto"/>
        <w:ind w:right="65"/>
        <w:jc w:val="both"/>
        <w:rPr>
          <w:rFonts w:ascii="Times New Roman" w:eastAsia="Calibri" w:hAnsi="Times New Roman" w:cs="Times New Roman"/>
          <w:b/>
          <w:bCs/>
          <w:i/>
          <w:sz w:val="24"/>
          <w:szCs w:val="24"/>
        </w:rPr>
      </w:pPr>
      <w:r>
        <w:rPr>
          <w:rFonts w:ascii="Times New Roman" w:eastAsia="Calibri" w:hAnsi="Times New Roman" w:cs="Times New Roman"/>
          <w:b/>
          <w:bCs/>
          <w:i/>
          <w:sz w:val="24"/>
          <w:szCs w:val="24"/>
        </w:rPr>
        <w:t>Source: Field data (2021)</w:t>
      </w:r>
    </w:p>
    <w:p w14:paraId="5D4CE7BC" w14:textId="77777777" w:rsidR="00B01D46" w:rsidRDefault="0067013E">
      <w:pPr>
        <w:tabs>
          <w:tab w:val="left" w:pos="2025"/>
        </w:tabs>
        <w:spacing w:line="480" w:lineRule="auto"/>
        <w:ind w:right="65"/>
      </w:pPr>
      <w:r>
        <w:rPr>
          <w:rFonts w:ascii="Times New Roman" w:eastAsia="Times New Roman" w:hAnsi="Times New Roman" w:cs="Times New Roman"/>
          <w:sz w:val="24"/>
          <w:szCs w:val="24"/>
        </w:rPr>
        <w:t>Below is the grouped bar chart displaying the frequencies of students' responses for each method of ILS delivery. Each method has five bars representing the response categories (SD, D, N, A, SA).</w:t>
      </w:r>
    </w:p>
    <w:p w14:paraId="6A62F016" w14:textId="6BFAF0E6" w:rsidR="00B01D46" w:rsidRDefault="00385F8B">
      <w:pPr>
        <w:ind w:right="65"/>
      </w:pPr>
      <w:r>
        <w:rPr>
          <w:noProof/>
        </w:rPr>
        <w:drawing>
          <wp:inline distT="0" distB="0" distL="0" distR="0" wp14:anchorId="0603F2E8" wp14:editId="38CB4789">
            <wp:extent cx="5213350" cy="2463800"/>
            <wp:effectExtent l="0" t="0" r="6350" b="127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0A15F32" w14:textId="77777777" w:rsidR="00B01D46" w:rsidRDefault="0067013E">
      <w:pPr>
        <w:pStyle w:val="Caption"/>
      </w:pPr>
      <w:bookmarkStart w:id="1641" w:name="_Toc184272008"/>
      <w:bookmarkStart w:id="1642" w:name="_Toc184272206"/>
      <w:bookmarkStart w:id="1643" w:name="_Toc184276918"/>
      <w:r>
        <w:t>Figure 5.5: Grouped bar chart displaying the frequencies of students' responses on methods of ILS delivery</w:t>
      </w:r>
      <w:bookmarkEnd w:id="1641"/>
      <w:bookmarkEnd w:id="1642"/>
      <w:bookmarkEnd w:id="1643"/>
    </w:p>
    <w:p w14:paraId="79CDEDE2" w14:textId="77777777" w:rsidR="00B01D46" w:rsidRDefault="0067013E">
      <w:pPr>
        <w:spacing w:before="120" w:after="0" w:line="480" w:lineRule="auto"/>
        <w:ind w:right="65"/>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The findings revealed that majority of the students 224(87.84%), 234(91.76%), 241(94.50%), 190(74.50%) and 241(94.50%) agreed that use of computers, face to face teaching, handouts given to students, library orientation, and online materials were used to impart ILS among medical undergraduate students in that order. However, 22(8.62%), 16(6.25%), 12(4.69%), 25(9.80%) and 31(12.15%) of the respondents disagreed that computers, face to face method, online materials, handouts and library orientation were teaching methods used to impart ILS among medical undergraduate students respectively.</w:t>
      </w:r>
    </w:p>
    <w:p w14:paraId="6C2BE684"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bCs/>
          <w:sz w:val="24"/>
          <w:szCs w:val="24"/>
        </w:rPr>
        <w:t xml:space="preserve">Furthermore, the study revealed that 194(76.07%), 197(77.25%), 215(84.31%) and 229(89.80%) of respondents stated that WhatsApp group engagements, peer training, Pre-recorded audio-visual video clips and weekly librarian-student engagements/discourse were used as methods of ILS delivery respectively. There were 52(20.38%), 48(18.82%), 22(8.62%) and 15(5.87%) respondents who   disagreed that WhatsApp group engagements, peer training, Pre-recorded audio-visual video clips and weekly librarian-student engagements/discourse were used as methods of ILS delivery respectively. </w:t>
      </w:r>
    </w:p>
    <w:p w14:paraId="6B375A0D" w14:textId="77777777" w:rsidR="00B01D46" w:rsidRDefault="0067013E">
      <w:pPr>
        <w:spacing w:after="0"/>
        <w:ind w:right="65"/>
        <w:rPr>
          <w:rFonts w:ascii="Times New Roman" w:hAnsi="Times New Roman" w:cs="Times New Roman"/>
          <w:b/>
          <w:sz w:val="24"/>
          <w:szCs w:val="24"/>
        </w:rPr>
      </w:pPr>
      <w:bookmarkStart w:id="1644" w:name="_Toc165369277"/>
      <w:bookmarkStart w:id="1645" w:name="_Toc165363481"/>
      <w:bookmarkStart w:id="1646" w:name="_Toc165365255"/>
      <w:bookmarkStart w:id="1647" w:name="_Toc164664075"/>
      <w:bookmarkStart w:id="1648" w:name="_Hlk101693003"/>
      <w:r>
        <w:rPr>
          <w:rFonts w:ascii="Times New Roman" w:hAnsi="Times New Roman" w:cs="Times New Roman"/>
          <w:b/>
          <w:sz w:val="24"/>
          <w:szCs w:val="24"/>
        </w:rPr>
        <w:t>Lecturers’ Response on Methods of ILS Delivery</w:t>
      </w:r>
      <w:bookmarkEnd w:id="1644"/>
      <w:bookmarkEnd w:id="1645"/>
      <w:bookmarkEnd w:id="1646"/>
      <w:bookmarkEnd w:id="1647"/>
    </w:p>
    <w:p w14:paraId="4586878E" w14:textId="77777777" w:rsidR="00B01D46" w:rsidRDefault="00B01D46">
      <w:pPr>
        <w:spacing w:after="0"/>
        <w:ind w:right="65"/>
        <w:rPr>
          <w:rFonts w:ascii="Times New Roman" w:hAnsi="Times New Roman" w:cs="Times New Roman"/>
          <w:b/>
          <w:sz w:val="24"/>
          <w:szCs w:val="24"/>
        </w:rPr>
      </w:pPr>
    </w:p>
    <w:p w14:paraId="550B1C8A" w14:textId="77777777" w:rsidR="00B01D46" w:rsidRDefault="0067013E">
      <w:pPr>
        <w:pStyle w:val="Caption"/>
      </w:pPr>
      <w:bookmarkStart w:id="1649" w:name="_Toc165365256"/>
      <w:bookmarkStart w:id="1650" w:name="_Toc165973132"/>
      <w:bookmarkStart w:id="1651" w:name="_Toc165363482"/>
      <w:bookmarkStart w:id="1652" w:name="_Toc165975853"/>
      <w:bookmarkStart w:id="1653" w:name="_Toc184272009"/>
      <w:bookmarkStart w:id="1654" w:name="_Toc184276919"/>
      <w:bookmarkStart w:id="1655" w:name="_Hlk159793419"/>
      <w:r>
        <w:t>Table 5.15: Lecturers’ Response on Methods of ILS Delivery (N=62)</w:t>
      </w:r>
      <w:bookmarkEnd w:id="1649"/>
      <w:bookmarkEnd w:id="1650"/>
      <w:bookmarkEnd w:id="1651"/>
      <w:bookmarkEnd w:id="1652"/>
      <w:bookmarkEnd w:id="1653"/>
      <w:bookmarkEnd w:id="1654"/>
    </w:p>
    <w:bookmarkEnd w:id="1655"/>
    <w:p w14:paraId="2652BEB0" w14:textId="77777777" w:rsidR="00B01D46" w:rsidRDefault="0067013E">
      <w:pPr>
        <w:ind w:right="65"/>
        <w:rPr>
          <w:rFonts w:ascii="Times New Roman" w:hAnsi="Times New Roman" w:cs="Times New Roman"/>
          <w:b/>
          <w:sz w:val="24"/>
          <w:szCs w:val="24"/>
        </w:rPr>
      </w:pPr>
      <w:r>
        <w:rPr>
          <w:rFonts w:ascii="Times New Roman" w:hAnsi="Times New Roman" w:cs="Times New Roman"/>
          <w:noProof/>
          <w:sz w:val="24"/>
          <w:szCs w:val="24"/>
        </w:rPr>
        <w:drawing>
          <wp:inline distT="0" distB="0" distL="0" distR="0" wp14:anchorId="7F7D1C44" wp14:editId="7DB24EE4">
            <wp:extent cx="5109210" cy="1645920"/>
            <wp:effectExtent l="0" t="0" r="0" b="0"/>
            <wp:docPr id="1659634931" name="Picture 1659634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34931" name="Picture 165963493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156165" cy="1660880"/>
                    </a:xfrm>
                    <a:prstGeom prst="rect">
                      <a:avLst/>
                    </a:prstGeom>
                    <a:noFill/>
                    <a:ln>
                      <a:noFill/>
                    </a:ln>
                  </pic:spPr>
                </pic:pic>
              </a:graphicData>
            </a:graphic>
          </wp:inline>
        </w:drawing>
      </w:r>
    </w:p>
    <w:p w14:paraId="4F6A36A2" w14:textId="77777777" w:rsidR="00B01D46" w:rsidRDefault="0067013E">
      <w:pPr>
        <w:ind w:right="65"/>
        <w:rPr>
          <w:rFonts w:ascii="Times New Roman" w:hAnsi="Times New Roman" w:cs="Times New Roman"/>
          <w:sz w:val="24"/>
          <w:szCs w:val="24"/>
        </w:rPr>
      </w:pPr>
      <w:r>
        <w:rPr>
          <w:rFonts w:ascii="Times New Roman" w:hAnsi="Times New Roman" w:cs="Times New Roman"/>
          <w:b/>
          <w:sz w:val="24"/>
          <w:szCs w:val="24"/>
        </w:rPr>
        <w:t>Source: Field data (2021)</w:t>
      </w:r>
    </w:p>
    <w:bookmarkEnd w:id="1648"/>
    <w:p w14:paraId="38BED6BE" w14:textId="77777777" w:rsidR="00B01D46" w:rsidRDefault="0067013E">
      <w:pPr>
        <w:spacing w:before="120" w:after="0" w:line="480" w:lineRule="auto"/>
        <w:ind w:right="65"/>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As shown on table 5.15 significant proportion of the lecturers 58(93.55%), 55(88.70%) and 50(80.65%) agreed that computers, face to face learning and online materials were methods of ILS delivery</w:t>
      </w:r>
      <w:r>
        <w:rPr>
          <w:rFonts w:ascii="Times New Roman" w:eastAsia="Calibri" w:hAnsi="Times New Roman" w:cs="Times New Roman"/>
          <w:b/>
          <w:color w:val="000000"/>
          <w:sz w:val="24"/>
          <w:szCs w:val="24"/>
        </w:rPr>
        <w:t xml:space="preserve"> </w:t>
      </w:r>
      <w:r>
        <w:rPr>
          <w:rFonts w:ascii="Times New Roman" w:eastAsia="Calibri" w:hAnsi="Times New Roman" w:cs="Times New Roman"/>
          <w:bCs/>
          <w:sz w:val="24"/>
          <w:szCs w:val="24"/>
        </w:rPr>
        <w:t xml:space="preserve">to students correspondingly. On the contrary, 2 (3.23%), 3 (4.84%) and 4 (6.45%) respondents disagreed that computers, face to face learning and online materials were methods used in delivering ILS to medical undergraduate students in that order. </w:t>
      </w:r>
    </w:p>
    <w:p w14:paraId="0C411476" w14:textId="77777777" w:rsidR="00B01D46" w:rsidRDefault="0067013E">
      <w:pPr>
        <w:spacing w:before="120" w:after="0" w:line="480" w:lineRule="auto"/>
        <w:ind w:right="65"/>
        <w:jc w:val="both"/>
        <w:rPr>
          <w:rFonts w:ascii="Times New Roman" w:eastAsia="Calibri" w:hAnsi="Times New Roman" w:cs="Times New Roman"/>
          <w:bCs/>
          <w:sz w:val="24"/>
          <w:szCs w:val="24"/>
        </w:rPr>
      </w:pPr>
      <w:r>
        <w:rPr>
          <w:rFonts w:ascii="Times New Roman" w:eastAsia="Calibri" w:hAnsi="Times New Roman" w:cs="Times New Roman"/>
          <w:bCs/>
          <w:sz w:val="24"/>
          <w:szCs w:val="24"/>
        </w:rPr>
        <w:t>Correspondingly</w:t>
      </w:r>
      <w:bookmarkStart w:id="1656" w:name="_Hlk145401834"/>
      <w:r>
        <w:rPr>
          <w:rFonts w:ascii="Times New Roman" w:eastAsia="Calibri" w:hAnsi="Times New Roman" w:cs="Times New Roman"/>
          <w:bCs/>
          <w:sz w:val="24"/>
          <w:szCs w:val="24"/>
        </w:rPr>
        <w:t xml:space="preserve">, 58 (93.55%), 58(93.55%), 42 (67.74), 46 (74.20%), 49 (79.03%) and 55 (88.71%) of the lecturers agreed that handouts, library orientation, WhatsApp group engagements, peer training, weekly librarian-student engagements/discourse and pre-recorded audio-visual video clips were used to impart ILS to undergraduate medical students respectively. </w:t>
      </w:r>
      <w:bookmarkEnd w:id="1656"/>
      <w:r>
        <w:rPr>
          <w:rFonts w:ascii="Times New Roman" w:eastAsia="Calibri" w:hAnsi="Times New Roman" w:cs="Times New Roman"/>
          <w:bCs/>
          <w:sz w:val="24"/>
          <w:szCs w:val="24"/>
        </w:rPr>
        <w:t>Whereas 1 (1.61%), 2 (3.23%), 6 (9.68%), 3 (4.84%), 5 (8.06%) and 5 (8.06%) of the respondents were undecided that handouts, library orientation, WhatsApp group engagements, peer training, weekly librarian-student engagements/discourse and pre-recorded audio-visual video clips were utilized to train used to train ILS to medical undergraduate students.</w:t>
      </w:r>
    </w:p>
    <w:p w14:paraId="37BAB9C0"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verbatim findings also gave similar responses which are summarized in the words of two respondents, that is a university Librarian (UL 02) and one head of the department (HD05). </w:t>
      </w:r>
    </w:p>
    <w:p w14:paraId="1174CE26"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According to the sentiments of the university librarian (UL 02) from one of the universities had this to say: </w:t>
      </w:r>
    </w:p>
    <w:p w14:paraId="491541A6" w14:textId="77777777" w:rsidR="00B01D46" w:rsidRDefault="0067013E">
      <w:pPr>
        <w:spacing w:after="0" w:line="240" w:lineRule="auto"/>
        <w:ind w:left="720" w:right="78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We utilize peer training through knowledge ambassadors among the students…. I also have a program known as librarian-student weekly engagement where we discuss issues on library information material access and use, find out the challenges that they face in retrieving and using the information ….” </w:t>
      </w:r>
    </w:p>
    <w:p w14:paraId="4F845FD6" w14:textId="77777777" w:rsidR="00B01D46" w:rsidRDefault="0067013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245D691D"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One head of department (HD05) reverberated:</w:t>
      </w:r>
    </w:p>
    <w:p w14:paraId="2E96453E" w14:textId="77777777" w:rsidR="00B01D46" w:rsidRDefault="0067013E">
      <w:pPr>
        <w:spacing w:after="0" w:line="240" w:lineRule="auto"/>
        <w:ind w:left="720" w:right="78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“…professionals involved in ILS teaching employ several tools to teach these important skills, the methods include among other methods, online classes, pre-recorded audio-visual videos prepared by the library personnel, formation of social media groups where the department engage positively with students on issues concerning access to information materials, originality in clinical writings, usage of information. We also have face-to-face engagements, giving out handouts on information usage, search, …”</w:t>
      </w:r>
    </w:p>
    <w:p w14:paraId="55EB2ED8" w14:textId="77777777" w:rsidR="00B01D46" w:rsidRDefault="00B01D46">
      <w:pPr>
        <w:spacing w:before="120" w:after="0" w:line="240" w:lineRule="auto"/>
        <w:ind w:left="567" w:right="65"/>
        <w:jc w:val="both"/>
        <w:rPr>
          <w:rFonts w:ascii="Times New Roman" w:eastAsia="Calibri" w:hAnsi="Times New Roman" w:cs="Times New Roman"/>
          <w:i/>
          <w:iCs/>
          <w:sz w:val="24"/>
          <w:szCs w:val="24"/>
        </w:rPr>
      </w:pPr>
    </w:p>
    <w:p w14:paraId="3A70EDB6" w14:textId="77777777" w:rsidR="00B01D46" w:rsidRDefault="0067013E">
      <w:pPr>
        <w:pStyle w:val="Heading5"/>
      </w:pPr>
      <w:bookmarkStart w:id="1657" w:name="_Toc164664076"/>
      <w:bookmarkStart w:id="1658" w:name="_Toc165369279"/>
      <w:bookmarkStart w:id="1659" w:name="_Toc165365257"/>
      <w:bookmarkStart w:id="1660" w:name="_Toc165363483"/>
      <w:bookmarkStart w:id="1661" w:name="_Toc184272952"/>
      <w:r>
        <w:t>5.4.2.2.4 Who Teaches ILS</w:t>
      </w:r>
      <w:bookmarkEnd w:id="1657"/>
      <w:bookmarkEnd w:id="1658"/>
      <w:bookmarkEnd w:id="1659"/>
      <w:bookmarkEnd w:id="1660"/>
      <w:bookmarkEnd w:id="1661"/>
      <w:r>
        <w:t xml:space="preserve"> </w:t>
      </w:r>
    </w:p>
    <w:p w14:paraId="195C1F69"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aims to learn about the evaluation procedures used to determine the success of ILS curriculum instruction. Lecturers were asked to describe the assessment procedures they used to evaluate the efficiency of ILS curriculum instruction. The replies were similar, and they are summarized in Table 5.16. </w:t>
      </w:r>
    </w:p>
    <w:p w14:paraId="7E2DACC6" w14:textId="77777777" w:rsidR="00B01D46" w:rsidRDefault="0067013E">
      <w:pPr>
        <w:pStyle w:val="Caption"/>
      </w:pPr>
      <w:bookmarkStart w:id="1662" w:name="_Toc184276920"/>
      <w:bookmarkStart w:id="1663" w:name="_Toc165363484"/>
      <w:bookmarkStart w:id="1664" w:name="_Toc165973133"/>
      <w:bookmarkStart w:id="1665" w:name="_Toc165975854"/>
      <w:bookmarkStart w:id="1666" w:name="_Toc165365258"/>
      <w:bookmarkStart w:id="1667" w:name="_Toc184272010"/>
      <w:bookmarkStart w:id="1668" w:name="_Hlk159793453"/>
      <w:r>
        <w:t>Table 5.16: Staff Involved in ILS Instruction</w:t>
      </w:r>
      <w:bookmarkEnd w:id="1662"/>
      <w:bookmarkEnd w:id="1663"/>
      <w:bookmarkEnd w:id="1664"/>
      <w:bookmarkEnd w:id="1665"/>
      <w:bookmarkEnd w:id="1666"/>
      <w:bookmarkEnd w:id="1667"/>
    </w:p>
    <w:tbl>
      <w:tblPr>
        <w:tblStyle w:val="TableGrid"/>
        <w:tblW w:w="7882" w:type="dxa"/>
        <w:tblInd w:w="108" w:type="dxa"/>
        <w:tblLook w:val="04A0" w:firstRow="1" w:lastRow="0" w:firstColumn="1" w:lastColumn="0" w:noHBand="0" w:noVBand="1"/>
      </w:tblPr>
      <w:tblGrid>
        <w:gridCol w:w="2227"/>
        <w:gridCol w:w="5655"/>
      </w:tblGrid>
      <w:tr w:rsidR="00B01D46" w14:paraId="2C6A80E4" w14:textId="77777777">
        <w:trPr>
          <w:trHeight w:val="372"/>
        </w:trPr>
        <w:tc>
          <w:tcPr>
            <w:tcW w:w="2227" w:type="dxa"/>
            <w:tcBorders>
              <w:top w:val="single" w:sz="4" w:space="0" w:color="auto"/>
              <w:left w:val="single" w:sz="4" w:space="0" w:color="auto"/>
              <w:bottom w:val="single" w:sz="4" w:space="0" w:color="auto"/>
              <w:right w:val="single" w:sz="4" w:space="0" w:color="auto"/>
            </w:tcBorders>
          </w:tcPr>
          <w:bookmarkEnd w:id="1668"/>
          <w:p w14:paraId="394A1986" w14:textId="77777777" w:rsidR="00B01D46" w:rsidRDefault="0067013E">
            <w:pPr>
              <w:spacing w:line="276"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Respondents </w:t>
            </w:r>
          </w:p>
        </w:tc>
        <w:tc>
          <w:tcPr>
            <w:tcW w:w="5655" w:type="dxa"/>
            <w:tcBorders>
              <w:top w:val="single" w:sz="4" w:space="0" w:color="auto"/>
              <w:left w:val="single" w:sz="4" w:space="0" w:color="auto"/>
              <w:bottom w:val="single" w:sz="4" w:space="0" w:color="auto"/>
              <w:right w:val="single" w:sz="4" w:space="0" w:color="auto"/>
            </w:tcBorders>
          </w:tcPr>
          <w:p w14:paraId="6AC1EB3D" w14:textId="77777777" w:rsidR="00B01D46" w:rsidRDefault="0067013E">
            <w:pPr>
              <w:spacing w:line="276"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Responses from the questionnaire</w:t>
            </w:r>
          </w:p>
        </w:tc>
      </w:tr>
      <w:tr w:rsidR="00B01D46" w14:paraId="1FB31DBA" w14:textId="77777777">
        <w:trPr>
          <w:trHeight w:val="372"/>
        </w:trPr>
        <w:tc>
          <w:tcPr>
            <w:tcW w:w="2227" w:type="dxa"/>
            <w:tcBorders>
              <w:top w:val="single" w:sz="4" w:space="0" w:color="auto"/>
              <w:left w:val="single" w:sz="4" w:space="0" w:color="auto"/>
              <w:bottom w:val="single" w:sz="4" w:space="0" w:color="auto"/>
              <w:right w:val="single" w:sz="4" w:space="0" w:color="auto"/>
            </w:tcBorders>
          </w:tcPr>
          <w:p w14:paraId="0CDF7CBA" w14:textId="77777777" w:rsidR="00B01D46" w:rsidRDefault="0067013E">
            <w:pPr>
              <w:spacing w:line="276"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ST98</w:t>
            </w:r>
          </w:p>
        </w:tc>
        <w:tc>
          <w:tcPr>
            <w:tcW w:w="5655" w:type="dxa"/>
            <w:tcBorders>
              <w:top w:val="single" w:sz="4" w:space="0" w:color="auto"/>
              <w:left w:val="single" w:sz="4" w:space="0" w:color="auto"/>
              <w:bottom w:val="single" w:sz="4" w:space="0" w:color="auto"/>
              <w:right w:val="single" w:sz="4" w:space="0" w:color="auto"/>
            </w:tcBorders>
          </w:tcPr>
          <w:p w14:paraId="74C0B380" w14:textId="77777777" w:rsidR="00B01D46" w:rsidRDefault="0067013E">
            <w:pPr>
              <w:spacing w:line="276" w:lineRule="auto"/>
              <w:ind w:right="65"/>
              <w:jc w:val="both"/>
              <w:rPr>
                <w:rFonts w:ascii="Times New Roman" w:eastAsia="Calibri" w:hAnsi="Times New Roman" w:cs="Times New Roman"/>
                <w:bCs/>
                <w:i/>
                <w:iCs/>
                <w:sz w:val="24"/>
                <w:szCs w:val="24"/>
              </w:rPr>
            </w:pPr>
            <w:r>
              <w:rPr>
                <w:rFonts w:ascii="Times New Roman" w:eastAsia="Calibri" w:hAnsi="Times New Roman" w:cs="Times New Roman"/>
                <w:bCs/>
                <w:i/>
                <w:iCs/>
                <w:sz w:val="24"/>
                <w:szCs w:val="24"/>
              </w:rPr>
              <w:t>Librarians conduct the training</w:t>
            </w:r>
          </w:p>
        </w:tc>
      </w:tr>
      <w:tr w:rsidR="00B01D46" w14:paraId="78E0111E" w14:textId="77777777">
        <w:trPr>
          <w:trHeight w:val="460"/>
        </w:trPr>
        <w:tc>
          <w:tcPr>
            <w:tcW w:w="2227" w:type="dxa"/>
            <w:tcBorders>
              <w:top w:val="single" w:sz="4" w:space="0" w:color="auto"/>
              <w:left w:val="single" w:sz="4" w:space="0" w:color="auto"/>
              <w:bottom w:val="single" w:sz="4" w:space="0" w:color="auto"/>
              <w:right w:val="single" w:sz="4" w:space="0" w:color="auto"/>
            </w:tcBorders>
          </w:tcPr>
          <w:p w14:paraId="35883586" w14:textId="77777777" w:rsidR="00B01D46" w:rsidRDefault="0067013E">
            <w:pPr>
              <w:spacing w:before="120" w:line="276"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ST78</w:t>
            </w:r>
          </w:p>
        </w:tc>
        <w:tc>
          <w:tcPr>
            <w:tcW w:w="5655" w:type="dxa"/>
            <w:tcBorders>
              <w:top w:val="single" w:sz="4" w:space="0" w:color="auto"/>
              <w:left w:val="single" w:sz="4" w:space="0" w:color="auto"/>
              <w:bottom w:val="single" w:sz="4" w:space="0" w:color="auto"/>
              <w:right w:val="single" w:sz="4" w:space="0" w:color="auto"/>
            </w:tcBorders>
          </w:tcPr>
          <w:p w14:paraId="457A1E0F" w14:textId="77777777" w:rsidR="00B01D46" w:rsidRDefault="0067013E">
            <w:pPr>
              <w:spacing w:before="120" w:line="276" w:lineRule="auto"/>
              <w:ind w:right="65"/>
              <w:jc w:val="both"/>
              <w:rPr>
                <w:rFonts w:ascii="Times New Roman" w:eastAsia="Calibri" w:hAnsi="Times New Roman" w:cs="Times New Roman"/>
                <w:bCs/>
                <w:i/>
                <w:iCs/>
                <w:sz w:val="24"/>
                <w:szCs w:val="24"/>
              </w:rPr>
            </w:pPr>
            <w:r>
              <w:rPr>
                <w:rFonts w:ascii="Times New Roman" w:eastAsia="Calibri" w:hAnsi="Times New Roman" w:cs="Times New Roman"/>
                <w:bCs/>
                <w:i/>
                <w:iCs/>
                <w:sz w:val="24"/>
                <w:szCs w:val="24"/>
              </w:rPr>
              <w:t>Lecturers conduct the training</w:t>
            </w:r>
          </w:p>
        </w:tc>
      </w:tr>
      <w:tr w:rsidR="00B01D46" w14:paraId="24EF984E" w14:textId="77777777">
        <w:trPr>
          <w:trHeight w:val="637"/>
        </w:trPr>
        <w:tc>
          <w:tcPr>
            <w:tcW w:w="2227" w:type="dxa"/>
            <w:tcBorders>
              <w:top w:val="single" w:sz="4" w:space="0" w:color="auto"/>
              <w:left w:val="single" w:sz="4" w:space="0" w:color="auto"/>
              <w:bottom w:val="single" w:sz="4" w:space="0" w:color="auto"/>
              <w:right w:val="single" w:sz="4" w:space="0" w:color="auto"/>
            </w:tcBorders>
          </w:tcPr>
          <w:p w14:paraId="46FDACC6" w14:textId="77777777" w:rsidR="00B01D46" w:rsidRDefault="0067013E">
            <w:pPr>
              <w:spacing w:line="276"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ST132</w:t>
            </w:r>
          </w:p>
        </w:tc>
        <w:tc>
          <w:tcPr>
            <w:tcW w:w="5655" w:type="dxa"/>
            <w:tcBorders>
              <w:top w:val="single" w:sz="4" w:space="0" w:color="auto"/>
              <w:left w:val="single" w:sz="4" w:space="0" w:color="auto"/>
              <w:bottom w:val="single" w:sz="4" w:space="0" w:color="auto"/>
              <w:right w:val="single" w:sz="4" w:space="0" w:color="auto"/>
            </w:tcBorders>
          </w:tcPr>
          <w:p w14:paraId="0CDA11F5" w14:textId="77777777" w:rsidR="00B01D46" w:rsidRDefault="0067013E">
            <w:pPr>
              <w:spacing w:line="276" w:lineRule="auto"/>
              <w:ind w:right="65"/>
              <w:jc w:val="both"/>
              <w:rPr>
                <w:rFonts w:ascii="Times New Roman" w:eastAsia="Calibri" w:hAnsi="Times New Roman" w:cs="Times New Roman"/>
                <w:bCs/>
                <w:i/>
                <w:iCs/>
                <w:sz w:val="24"/>
                <w:szCs w:val="24"/>
              </w:rPr>
            </w:pPr>
            <w:r>
              <w:rPr>
                <w:rFonts w:ascii="Times New Roman" w:eastAsia="Calibri" w:hAnsi="Times New Roman" w:cs="Times New Roman"/>
                <w:bCs/>
                <w:i/>
                <w:iCs/>
                <w:sz w:val="24"/>
                <w:szCs w:val="24"/>
              </w:rPr>
              <w:t>Head librarian at the college of health science</w:t>
            </w:r>
          </w:p>
        </w:tc>
      </w:tr>
      <w:tr w:rsidR="00B01D46" w14:paraId="7FDBBB3B" w14:textId="77777777">
        <w:trPr>
          <w:trHeight w:val="372"/>
        </w:trPr>
        <w:tc>
          <w:tcPr>
            <w:tcW w:w="2227" w:type="dxa"/>
            <w:tcBorders>
              <w:top w:val="single" w:sz="4" w:space="0" w:color="auto"/>
              <w:left w:val="single" w:sz="4" w:space="0" w:color="auto"/>
              <w:bottom w:val="single" w:sz="4" w:space="0" w:color="auto"/>
              <w:right w:val="single" w:sz="4" w:space="0" w:color="auto"/>
            </w:tcBorders>
          </w:tcPr>
          <w:p w14:paraId="16B2B9F0" w14:textId="77777777" w:rsidR="00B01D46" w:rsidRDefault="0067013E">
            <w:pPr>
              <w:spacing w:line="276"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LT61</w:t>
            </w:r>
          </w:p>
        </w:tc>
        <w:tc>
          <w:tcPr>
            <w:tcW w:w="5655" w:type="dxa"/>
            <w:tcBorders>
              <w:top w:val="single" w:sz="4" w:space="0" w:color="auto"/>
              <w:left w:val="single" w:sz="4" w:space="0" w:color="auto"/>
              <w:bottom w:val="single" w:sz="4" w:space="0" w:color="auto"/>
              <w:right w:val="single" w:sz="4" w:space="0" w:color="auto"/>
            </w:tcBorders>
          </w:tcPr>
          <w:p w14:paraId="6193D83E" w14:textId="77777777" w:rsidR="00B01D46" w:rsidRDefault="0067013E">
            <w:pPr>
              <w:spacing w:line="276" w:lineRule="auto"/>
              <w:ind w:right="65"/>
              <w:jc w:val="both"/>
              <w:rPr>
                <w:rFonts w:ascii="Times New Roman" w:eastAsia="Calibri" w:hAnsi="Times New Roman" w:cs="Times New Roman"/>
                <w:bCs/>
                <w:i/>
                <w:iCs/>
                <w:sz w:val="24"/>
                <w:szCs w:val="24"/>
              </w:rPr>
            </w:pPr>
            <w:r>
              <w:rPr>
                <w:rFonts w:ascii="Times New Roman" w:eastAsia="Calibri" w:hAnsi="Times New Roman" w:cs="Times New Roman"/>
                <w:bCs/>
                <w:i/>
                <w:iCs/>
                <w:sz w:val="24"/>
                <w:szCs w:val="24"/>
              </w:rPr>
              <w:t>Librarian at the medical school library</w:t>
            </w:r>
          </w:p>
        </w:tc>
      </w:tr>
      <w:tr w:rsidR="00B01D46" w14:paraId="731DC4B2" w14:textId="77777777">
        <w:trPr>
          <w:trHeight w:val="619"/>
        </w:trPr>
        <w:tc>
          <w:tcPr>
            <w:tcW w:w="2227" w:type="dxa"/>
            <w:tcBorders>
              <w:top w:val="single" w:sz="4" w:space="0" w:color="auto"/>
              <w:left w:val="single" w:sz="4" w:space="0" w:color="auto"/>
              <w:bottom w:val="single" w:sz="4" w:space="0" w:color="auto"/>
              <w:right w:val="single" w:sz="4" w:space="0" w:color="auto"/>
            </w:tcBorders>
          </w:tcPr>
          <w:p w14:paraId="2BAAB82D" w14:textId="77777777" w:rsidR="00B01D46" w:rsidRDefault="0067013E">
            <w:pPr>
              <w:spacing w:line="276"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LT03</w:t>
            </w:r>
          </w:p>
        </w:tc>
        <w:tc>
          <w:tcPr>
            <w:tcW w:w="5655" w:type="dxa"/>
            <w:tcBorders>
              <w:top w:val="single" w:sz="4" w:space="0" w:color="auto"/>
              <w:left w:val="single" w:sz="4" w:space="0" w:color="auto"/>
              <w:bottom w:val="single" w:sz="4" w:space="0" w:color="auto"/>
              <w:right w:val="single" w:sz="4" w:space="0" w:color="auto"/>
            </w:tcBorders>
          </w:tcPr>
          <w:p w14:paraId="4F6865FF" w14:textId="77777777" w:rsidR="00B01D46" w:rsidRDefault="0067013E">
            <w:pPr>
              <w:spacing w:line="276" w:lineRule="auto"/>
              <w:ind w:right="65"/>
              <w:jc w:val="both"/>
              <w:rPr>
                <w:rFonts w:ascii="Times New Roman" w:eastAsia="Calibri" w:hAnsi="Times New Roman" w:cs="Times New Roman"/>
                <w:bCs/>
                <w:i/>
                <w:iCs/>
                <w:sz w:val="24"/>
                <w:szCs w:val="24"/>
              </w:rPr>
            </w:pPr>
            <w:r>
              <w:rPr>
                <w:rFonts w:ascii="Times New Roman" w:eastAsia="Calibri" w:hAnsi="Times New Roman" w:cs="Times New Roman"/>
                <w:bCs/>
                <w:i/>
                <w:iCs/>
                <w:sz w:val="24"/>
                <w:szCs w:val="24"/>
              </w:rPr>
              <w:t>Collaboration between the lecturer and university librarian</w:t>
            </w:r>
          </w:p>
        </w:tc>
      </w:tr>
    </w:tbl>
    <w:p w14:paraId="580FD16E" w14:textId="77777777" w:rsidR="00B01D46" w:rsidRDefault="0067013E">
      <w:pPr>
        <w:spacing w:line="480" w:lineRule="auto"/>
        <w:ind w:right="65"/>
        <w:jc w:val="both"/>
        <w:rPr>
          <w:rFonts w:ascii="Times New Roman" w:eastAsia="Calibri" w:hAnsi="Times New Roman" w:cs="Times New Roman"/>
          <w:b/>
          <w:bCs/>
          <w:i/>
          <w:sz w:val="24"/>
          <w:szCs w:val="24"/>
        </w:rPr>
      </w:pPr>
      <w:r>
        <w:rPr>
          <w:rFonts w:ascii="Times New Roman" w:eastAsia="Calibri" w:hAnsi="Times New Roman" w:cs="Times New Roman"/>
          <w:b/>
          <w:bCs/>
          <w:i/>
          <w:sz w:val="24"/>
          <w:szCs w:val="24"/>
        </w:rPr>
        <w:t xml:space="preserve">Source: Field data (2021): [key: ST-STUDENT; LT-LECTURER] </w:t>
      </w:r>
    </w:p>
    <w:p w14:paraId="71E25109"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interview responses are similar to the ones stated in table 5.14. The heads of departments, heads of medical librarians, and university librarians stated that lecturers and librarians were involved in teaching ILS. This is done collaboratively. </w:t>
      </w:r>
    </w:p>
    <w:p w14:paraId="124BAB93"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One university librarian (UL01) commented:</w:t>
      </w:r>
    </w:p>
    <w:p w14:paraId="7C01F00E" w14:textId="77777777" w:rsidR="00B01D46" w:rsidRDefault="0067013E">
      <w:pPr>
        <w:spacing w:line="240" w:lineRule="auto"/>
        <w:ind w:left="720" w:right="9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Lecturers and librarians conduct the training of ILS in consultation based on the topics….”</w:t>
      </w:r>
    </w:p>
    <w:p w14:paraId="71633821" w14:textId="77777777" w:rsidR="00B01D46" w:rsidRDefault="0067013E">
      <w:pPr>
        <w:pStyle w:val="Heading5"/>
      </w:pPr>
      <w:bookmarkStart w:id="1669" w:name="_Toc165369281"/>
      <w:bookmarkStart w:id="1670" w:name="_Toc184272953"/>
      <w:bookmarkStart w:id="1671" w:name="_Toc165363485"/>
      <w:bookmarkStart w:id="1672" w:name="_Toc164664077"/>
      <w:bookmarkStart w:id="1673" w:name="_Toc165365259"/>
      <w:r>
        <w:lastRenderedPageBreak/>
        <w:t>5.4.2.2.5 Techniques for Assessing the Effectiveness of the ILS Curriculum</w:t>
      </w:r>
      <w:bookmarkEnd w:id="1669"/>
      <w:bookmarkEnd w:id="1670"/>
      <w:bookmarkEnd w:id="1671"/>
      <w:bookmarkEnd w:id="1672"/>
      <w:bookmarkEnd w:id="1673"/>
      <w:r>
        <w:t xml:space="preserve"> </w:t>
      </w:r>
    </w:p>
    <w:p w14:paraId="066D2B53"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sought to learn about the assessment techniques used to determine the success of ILS curriculum instruction. Lecturers were asked to describe the assessment procedures they used to evaluate the efficiency of ILS curriculum instruction. The replies were similar, and they are summarized in Table 5.15. </w:t>
      </w:r>
    </w:p>
    <w:p w14:paraId="2523C0D5" w14:textId="77777777" w:rsidR="00B01D46" w:rsidRDefault="0067013E">
      <w:pPr>
        <w:pStyle w:val="Caption"/>
      </w:pPr>
      <w:bookmarkStart w:id="1674" w:name="_Toc165365260"/>
      <w:bookmarkStart w:id="1675" w:name="_Toc184276921"/>
      <w:bookmarkStart w:id="1676" w:name="_Toc165973134"/>
      <w:bookmarkStart w:id="1677" w:name="_Toc165363486"/>
      <w:bookmarkStart w:id="1678" w:name="_Toc165975855"/>
      <w:bookmarkStart w:id="1679" w:name="_Toc184272011"/>
      <w:bookmarkStart w:id="1680" w:name="_Hlk159793575"/>
      <w:r>
        <w:t>Table 5.17: Techniques for Assessing the Effectiveness of the ILS Curriculum</w:t>
      </w:r>
      <w:bookmarkEnd w:id="1674"/>
      <w:bookmarkEnd w:id="1675"/>
      <w:bookmarkEnd w:id="1676"/>
      <w:bookmarkEnd w:id="1677"/>
      <w:bookmarkEnd w:id="1678"/>
      <w:bookmarkEnd w:id="1679"/>
      <w:r>
        <w:t xml:space="preserve"> </w:t>
      </w:r>
    </w:p>
    <w:tbl>
      <w:tblPr>
        <w:tblStyle w:val="TableGrid"/>
        <w:tblpPr w:leftFromText="180" w:rightFromText="180" w:vertAnchor="text" w:horzAnchor="margin" w:tblpX="74" w:tblpY="235"/>
        <w:tblW w:w="0" w:type="auto"/>
        <w:tblLook w:val="04A0" w:firstRow="1" w:lastRow="0" w:firstColumn="1" w:lastColumn="0" w:noHBand="0" w:noVBand="1"/>
      </w:tblPr>
      <w:tblGrid>
        <w:gridCol w:w="1866"/>
        <w:gridCol w:w="6206"/>
      </w:tblGrid>
      <w:tr w:rsidR="00B01D46" w14:paraId="27794BE1" w14:textId="77777777">
        <w:trPr>
          <w:trHeight w:val="435"/>
        </w:trPr>
        <w:tc>
          <w:tcPr>
            <w:tcW w:w="1866" w:type="dxa"/>
            <w:tcBorders>
              <w:top w:val="single" w:sz="4" w:space="0" w:color="auto"/>
              <w:left w:val="single" w:sz="4" w:space="0" w:color="auto"/>
              <w:bottom w:val="single" w:sz="4" w:space="0" w:color="auto"/>
              <w:right w:val="single" w:sz="4" w:space="0" w:color="auto"/>
            </w:tcBorders>
          </w:tcPr>
          <w:bookmarkEnd w:id="1680"/>
          <w:p w14:paraId="67A96F43" w14:textId="77777777" w:rsidR="00B01D46" w:rsidRDefault="0067013E">
            <w:pPr>
              <w:spacing w:line="24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Respondents </w:t>
            </w:r>
          </w:p>
        </w:tc>
        <w:tc>
          <w:tcPr>
            <w:tcW w:w="6206" w:type="dxa"/>
            <w:tcBorders>
              <w:top w:val="single" w:sz="4" w:space="0" w:color="auto"/>
              <w:left w:val="single" w:sz="4" w:space="0" w:color="auto"/>
              <w:bottom w:val="single" w:sz="4" w:space="0" w:color="auto"/>
              <w:right w:val="single" w:sz="4" w:space="0" w:color="auto"/>
            </w:tcBorders>
          </w:tcPr>
          <w:p w14:paraId="6A1E4CE8" w14:textId="77777777" w:rsidR="00B01D46" w:rsidRDefault="0067013E">
            <w:pPr>
              <w:spacing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Responses from the questionnaire</w:t>
            </w:r>
          </w:p>
        </w:tc>
      </w:tr>
      <w:tr w:rsidR="00B01D46" w14:paraId="7EFC5D32" w14:textId="77777777">
        <w:trPr>
          <w:trHeight w:val="893"/>
        </w:trPr>
        <w:tc>
          <w:tcPr>
            <w:tcW w:w="1866" w:type="dxa"/>
            <w:tcBorders>
              <w:top w:val="single" w:sz="4" w:space="0" w:color="auto"/>
              <w:left w:val="single" w:sz="4" w:space="0" w:color="auto"/>
              <w:bottom w:val="single" w:sz="4" w:space="0" w:color="auto"/>
              <w:right w:val="single" w:sz="4" w:space="0" w:color="auto"/>
            </w:tcBorders>
          </w:tcPr>
          <w:p w14:paraId="7360CA48" w14:textId="77777777" w:rsidR="00B01D46" w:rsidRDefault="0067013E">
            <w:pPr>
              <w:spacing w:line="24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LT11</w:t>
            </w:r>
          </w:p>
        </w:tc>
        <w:tc>
          <w:tcPr>
            <w:tcW w:w="6206" w:type="dxa"/>
            <w:tcBorders>
              <w:top w:val="single" w:sz="4" w:space="0" w:color="auto"/>
              <w:left w:val="single" w:sz="4" w:space="0" w:color="auto"/>
              <w:bottom w:val="single" w:sz="4" w:space="0" w:color="auto"/>
              <w:right w:val="single" w:sz="4" w:space="0" w:color="auto"/>
            </w:tcBorders>
          </w:tcPr>
          <w:p w14:paraId="633D1A4D"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practical research writing;</w:t>
            </w:r>
          </w:p>
          <w:p w14:paraId="3A26D669" w14:textId="77777777" w:rsidR="00B01D46" w:rsidRDefault="0067013E">
            <w:pPr>
              <w:spacing w:line="240" w:lineRule="auto"/>
              <w:ind w:right="65"/>
              <w:jc w:val="both"/>
              <w:rPr>
                <w:rFonts w:ascii="Times New Roman" w:eastAsia="Calibri" w:hAnsi="Times New Roman" w:cs="Times New Roman"/>
                <w:b/>
                <w:bCs/>
                <w:i/>
                <w:iCs/>
                <w:sz w:val="24"/>
                <w:szCs w:val="24"/>
              </w:rPr>
            </w:pPr>
            <w:r>
              <w:rPr>
                <w:rFonts w:ascii="Times New Roman" w:eastAsia="Calibri" w:hAnsi="Times New Roman" w:cs="Times New Roman"/>
                <w:i/>
                <w:iCs/>
                <w:sz w:val="24"/>
                <w:szCs w:val="24"/>
              </w:rPr>
              <w:t>creative clinical presentations;</w:t>
            </w:r>
          </w:p>
        </w:tc>
      </w:tr>
      <w:tr w:rsidR="00B01D46" w14:paraId="11192856" w14:textId="77777777">
        <w:trPr>
          <w:trHeight w:val="203"/>
        </w:trPr>
        <w:tc>
          <w:tcPr>
            <w:tcW w:w="1866" w:type="dxa"/>
            <w:tcBorders>
              <w:top w:val="single" w:sz="4" w:space="0" w:color="auto"/>
              <w:left w:val="single" w:sz="4" w:space="0" w:color="auto"/>
              <w:bottom w:val="single" w:sz="4" w:space="0" w:color="auto"/>
              <w:right w:val="single" w:sz="4" w:space="0" w:color="auto"/>
            </w:tcBorders>
          </w:tcPr>
          <w:p w14:paraId="32904C50" w14:textId="77777777" w:rsidR="00B01D46" w:rsidRDefault="0067013E">
            <w:pPr>
              <w:spacing w:line="24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LT23</w:t>
            </w:r>
          </w:p>
        </w:tc>
        <w:tc>
          <w:tcPr>
            <w:tcW w:w="6206" w:type="dxa"/>
            <w:tcBorders>
              <w:top w:val="single" w:sz="4" w:space="0" w:color="auto"/>
              <w:left w:val="single" w:sz="4" w:space="0" w:color="auto"/>
              <w:bottom w:val="single" w:sz="4" w:space="0" w:color="auto"/>
              <w:right w:val="single" w:sz="4" w:space="0" w:color="auto"/>
            </w:tcBorders>
          </w:tcPr>
          <w:p w14:paraId="64CC6A5C" w14:textId="77777777" w:rsidR="00B01D46" w:rsidRDefault="0067013E">
            <w:pPr>
              <w:spacing w:line="240" w:lineRule="auto"/>
              <w:ind w:right="65"/>
              <w:jc w:val="both"/>
              <w:rPr>
                <w:rFonts w:ascii="Times New Roman" w:eastAsia="Calibri" w:hAnsi="Times New Roman" w:cs="Times New Roman"/>
                <w:bCs/>
                <w:i/>
                <w:iCs/>
                <w:sz w:val="24"/>
                <w:szCs w:val="24"/>
              </w:rPr>
            </w:pPr>
            <w:r>
              <w:rPr>
                <w:rFonts w:ascii="Times New Roman" w:eastAsia="Calibri" w:hAnsi="Times New Roman" w:cs="Times New Roman"/>
                <w:i/>
                <w:iCs/>
                <w:sz w:val="24"/>
                <w:szCs w:val="24"/>
              </w:rPr>
              <w:t>ILS feedback forms</w:t>
            </w:r>
          </w:p>
        </w:tc>
      </w:tr>
      <w:tr w:rsidR="00B01D46" w14:paraId="32392639" w14:textId="77777777">
        <w:trPr>
          <w:trHeight w:val="203"/>
        </w:trPr>
        <w:tc>
          <w:tcPr>
            <w:tcW w:w="1866" w:type="dxa"/>
            <w:tcBorders>
              <w:top w:val="single" w:sz="4" w:space="0" w:color="auto"/>
              <w:left w:val="single" w:sz="4" w:space="0" w:color="auto"/>
              <w:bottom w:val="single" w:sz="4" w:space="0" w:color="auto"/>
              <w:right w:val="single" w:sz="4" w:space="0" w:color="auto"/>
            </w:tcBorders>
          </w:tcPr>
          <w:p w14:paraId="0D2D27B6" w14:textId="77777777" w:rsidR="00B01D46" w:rsidRDefault="0067013E">
            <w:pPr>
              <w:spacing w:line="24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LT36</w:t>
            </w:r>
          </w:p>
        </w:tc>
        <w:tc>
          <w:tcPr>
            <w:tcW w:w="6206" w:type="dxa"/>
            <w:tcBorders>
              <w:top w:val="single" w:sz="4" w:space="0" w:color="auto"/>
              <w:left w:val="single" w:sz="4" w:space="0" w:color="auto"/>
              <w:bottom w:val="single" w:sz="4" w:space="0" w:color="auto"/>
              <w:right w:val="single" w:sz="4" w:space="0" w:color="auto"/>
            </w:tcBorders>
          </w:tcPr>
          <w:p w14:paraId="18593B00"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Focus groups, interviews</w:t>
            </w:r>
          </w:p>
        </w:tc>
      </w:tr>
      <w:tr w:rsidR="00B01D46" w14:paraId="3BAFE21F" w14:textId="77777777">
        <w:trPr>
          <w:trHeight w:val="203"/>
        </w:trPr>
        <w:tc>
          <w:tcPr>
            <w:tcW w:w="1866" w:type="dxa"/>
            <w:tcBorders>
              <w:top w:val="single" w:sz="4" w:space="0" w:color="auto"/>
              <w:left w:val="single" w:sz="4" w:space="0" w:color="auto"/>
              <w:bottom w:val="single" w:sz="4" w:space="0" w:color="auto"/>
              <w:right w:val="single" w:sz="4" w:space="0" w:color="auto"/>
            </w:tcBorders>
          </w:tcPr>
          <w:p w14:paraId="557C2D86" w14:textId="77777777" w:rsidR="00B01D46" w:rsidRDefault="0067013E">
            <w:pPr>
              <w:spacing w:line="24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LT 41</w:t>
            </w:r>
          </w:p>
        </w:tc>
        <w:tc>
          <w:tcPr>
            <w:tcW w:w="6206" w:type="dxa"/>
            <w:tcBorders>
              <w:top w:val="single" w:sz="4" w:space="0" w:color="auto"/>
              <w:left w:val="single" w:sz="4" w:space="0" w:color="auto"/>
              <w:bottom w:val="single" w:sz="4" w:space="0" w:color="auto"/>
              <w:right w:val="single" w:sz="4" w:space="0" w:color="auto"/>
            </w:tcBorders>
          </w:tcPr>
          <w:p w14:paraId="17EB5F33"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Knowledge tests</w:t>
            </w:r>
          </w:p>
        </w:tc>
      </w:tr>
      <w:tr w:rsidR="00B01D46" w14:paraId="2ADA0DE2" w14:textId="77777777">
        <w:trPr>
          <w:trHeight w:val="203"/>
        </w:trPr>
        <w:tc>
          <w:tcPr>
            <w:tcW w:w="1866" w:type="dxa"/>
            <w:tcBorders>
              <w:top w:val="single" w:sz="4" w:space="0" w:color="auto"/>
              <w:left w:val="single" w:sz="4" w:space="0" w:color="auto"/>
              <w:bottom w:val="single" w:sz="4" w:space="0" w:color="auto"/>
              <w:right w:val="single" w:sz="4" w:space="0" w:color="auto"/>
            </w:tcBorders>
          </w:tcPr>
          <w:p w14:paraId="65829ABF" w14:textId="77777777" w:rsidR="00B01D46" w:rsidRDefault="0067013E">
            <w:pPr>
              <w:spacing w:line="24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LT55</w:t>
            </w:r>
          </w:p>
        </w:tc>
        <w:tc>
          <w:tcPr>
            <w:tcW w:w="6206" w:type="dxa"/>
            <w:tcBorders>
              <w:top w:val="single" w:sz="4" w:space="0" w:color="auto"/>
              <w:left w:val="single" w:sz="4" w:space="0" w:color="auto"/>
              <w:bottom w:val="single" w:sz="4" w:space="0" w:color="auto"/>
              <w:right w:val="single" w:sz="4" w:space="0" w:color="auto"/>
            </w:tcBorders>
          </w:tcPr>
          <w:p w14:paraId="5E778945"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Informal assessment techniques</w:t>
            </w:r>
          </w:p>
        </w:tc>
      </w:tr>
      <w:tr w:rsidR="00B01D46" w14:paraId="22288A05" w14:textId="77777777">
        <w:trPr>
          <w:trHeight w:val="203"/>
        </w:trPr>
        <w:tc>
          <w:tcPr>
            <w:tcW w:w="1866" w:type="dxa"/>
            <w:tcBorders>
              <w:top w:val="single" w:sz="4" w:space="0" w:color="auto"/>
              <w:left w:val="single" w:sz="4" w:space="0" w:color="auto"/>
              <w:bottom w:val="single" w:sz="4" w:space="0" w:color="auto"/>
              <w:right w:val="single" w:sz="4" w:space="0" w:color="auto"/>
            </w:tcBorders>
          </w:tcPr>
          <w:p w14:paraId="0A536D93" w14:textId="77777777" w:rsidR="00B01D46" w:rsidRDefault="0067013E">
            <w:pPr>
              <w:spacing w:line="24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LT57</w:t>
            </w:r>
          </w:p>
        </w:tc>
        <w:tc>
          <w:tcPr>
            <w:tcW w:w="6206" w:type="dxa"/>
            <w:tcBorders>
              <w:top w:val="single" w:sz="4" w:space="0" w:color="auto"/>
              <w:left w:val="single" w:sz="4" w:space="0" w:color="auto"/>
              <w:bottom w:val="single" w:sz="4" w:space="0" w:color="auto"/>
              <w:right w:val="single" w:sz="4" w:space="0" w:color="auto"/>
            </w:tcBorders>
          </w:tcPr>
          <w:p w14:paraId="3D9F450B"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On the spot assessment</w:t>
            </w:r>
          </w:p>
        </w:tc>
      </w:tr>
      <w:tr w:rsidR="00B01D46" w14:paraId="6E60BD53" w14:textId="77777777">
        <w:trPr>
          <w:trHeight w:val="435"/>
        </w:trPr>
        <w:tc>
          <w:tcPr>
            <w:tcW w:w="1866" w:type="dxa"/>
            <w:tcBorders>
              <w:top w:val="single" w:sz="4" w:space="0" w:color="auto"/>
              <w:left w:val="single" w:sz="4" w:space="0" w:color="auto"/>
              <w:bottom w:val="single" w:sz="4" w:space="0" w:color="auto"/>
              <w:right w:val="single" w:sz="4" w:space="0" w:color="auto"/>
            </w:tcBorders>
          </w:tcPr>
          <w:p w14:paraId="08439F30" w14:textId="77777777" w:rsidR="00B01D46" w:rsidRDefault="0067013E">
            <w:pPr>
              <w:spacing w:line="24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LT 59</w:t>
            </w:r>
          </w:p>
        </w:tc>
        <w:tc>
          <w:tcPr>
            <w:tcW w:w="6206" w:type="dxa"/>
            <w:tcBorders>
              <w:top w:val="single" w:sz="4" w:space="0" w:color="auto"/>
              <w:left w:val="single" w:sz="4" w:space="0" w:color="auto"/>
              <w:bottom w:val="single" w:sz="4" w:space="0" w:color="auto"/>
              <w:right w:val="single" w:sz="4" w:space="0" w:color="auto"/>
            </w:tcBorders>
          </w:tcPr>
          <w:p w14:paraId="253E9ED9" w14:textId="77777777" w:rsidR="00B01D46" w:rsidRDefault="0067013E">
            <w:pPr>
              <w:spacing w:line="240" w:lineRule="auto"/>
              <w:ind w:right="65"/>
              <w:jc w:val="both"/>
              <w:rPr>
                <w:rFonts w:ascii="Times New Roman" w:eastAsia="Calibri" w:hAnsi="Times New Roman" w:cs="Times New Roman"/>
                <w:bCs/>
                <w:i/>
                <w:iCs/>
                <w:sz w:val="24"/>
                <w:szCs w:val="24"/>
              </w:rPr>
            </w:pPr>
            <w:r>
              <w:rPr>
                <w:rFonts w:ascii="Times New Roman" w:eastAsia="Calibri" w:hAnsi="Times New Roman" w:cs="Times New Roman"/>
                <w:i/>
                <w:iCs/>
                <w:sz w:val="24"/>
                <w:szCs w:val="24"/>
              </w:rPr>
              <w:t xml:space="preserve">Pre-Assessment Using CATs, </w:t>
            </w:r>
          </w:p>
        </w:tc>
      </w:tr>
      <w:tr w:rsidR="00B01D46" w14:paraId="7E44BF16" w14:textId="77777777">
        <w:trPr>
          <w:trHeight w:val="710"/>
        </w:trPr>
        <w:tc>
          <w:tcPr>
            <w:tcW w:w="1866" w:type="dxa"/>
            <w:tcBorders>
              <w:top w:val="single" w:sz="4" w:space="0" w:color="auto"/>
              <w:left w:val="single" w:sz="4" w:space="0" w:color="auto"/>
              <w:bottom w:val="single" w:sz="4" w:space="0" w:color="auto"/>
              <w:right w:val="single" w:sz="4" w:space="0" w:color="auto"/>
            </w:tcBorders>
          </w:tcPr>
          <w:p w14:paraId="104C18D5" w14:textId="77777777" w:rsidR="00B01D46" w:rsidRDefault="0067013E">
            <w:pPr>
              <w:spacing w:line="24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LT60</w:t>
            </w:r>
          </w:p>
        </w:tc>
        <w:tc>
          <w:tcPr>
            <w:tcW w:w="6206" w:type="dxa"/>
            <w:tcBorders>
              <w:top w:val="single" w:sz="4" w:space="0" w:color="auto"/>
              <w:left w:val="single" w:sz="4" w:space="0" w:color="auto"/>
              <w:bottom w:val="single" w:sz="4" w:space="0" w:color="auto"/>
              <w:right w:val="single" w:sz="4" w:space="0" w:color="auto"/>
            </w:tcBorders>
          </w:tcPr>
          <w:p w14:paraId="52616AA3"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Examination for those trained under Communication skills classes</w:t>
            </w:r>
          </w:p>
        </w:tc>
      </w:tr>
      <w:tr w:rsidR="00B01D46" w14:paraId="327F4DC7" w14:textId="77777777">
        <w:trPr>
          <w:trHeight w:val="435"/>
        </w:trPr>
        <w:tc>
          <w:tcPr>
            <w:tcW w:w="1866" w:type="dxa"/>
            <w:tcBorders>
              <w:top w:val="single" w:sz="4" w:space="0" w:color="auto"/>
              <w:left w:val="single" w:sz="4" w:space="0" w:color="auto"/>
              <w:bottom w:val="single" w:sz="4" w:space="0" w:color="auto"/>
              <w:right w:val="single" w:sz="4" w:space="0" w:color="auto"/>
            </w:tcBorders>
          </w:tcPr>
          <w:p w14:paraId="2E63A0F6" w14:textId="77777777" w:rsidR="00B01D46" w:rsidRDefault="0067013E">
            <w:pPr>
              <w:spacing w:line="240" w:lineRule="auto"/>
              <w:ind w:right="65"/>
              <w:jc w:val="both"/>
              <w:rPr>
                <w:rFonts w:ascii="Times New Roman" w:eastAsia="Calibri" w:hAnsi="Times New Roman" w:cs="Times New Roman"/>
                <w:b/>
                <w:sz w:val="24"/>
                <w:szCs w:val="24"/>
              </w:rPr>
            </w:pPr>
            <w:r>
              <w:rPr>
                <w:rFonts w:ascii="Times New Roman" w:eastAsia="Calibri" w:hAnsi="Times New Roman" w:cs="Times New Roman"/>
                <w:b/>
                <w:sz w:val="24"/>
                <w:szCs w:val="24"/>
              </w:rPr>
              <w:t>LT62</w:t>
            </w:r>
          </w:p>
        </w:tc>
        <w:tc>
          <w:tcPr>
            <w:tcW w:w="6206" w:type="dxa"/>
            <w:tcBorders>
              <w:top w:val="single" w:sz="4" w:space="0" w:color="auto"/>
              <w:left w:val="single" w:sz="4" w:space="0" w:color="auto"/>
              <w:bottom w:val="single" w:sz="4" w:space="0" w:color="auto"/>
              <w:right w:val="single" w:sz="4" w:space="0" w:color="auto"/>
            </w:tcBorders>
          </w:tcPr>
          <w:p w14:paraId="3F22BB7C" w14:textId="77777777" w:rsidR="00B01D46" w:rsidRDefault="0067013E">
            <w:pPr>
              <w:spacing w:line="240" w:lineRule="auto"/>
              <w:ind w:right="65"/>
              <w:jc w:val="both"/>
              <w:rPr>
                <w:rFonts w:ascii="Times New Roman" w:eastAsia="Calibri" w:hAnsi="Times New Roman" w:cs="Times New Roman"/>
                <w:bCs/>
                <w:i/>
                <w:iCs/>
                <w:sz w:val="24"/>
                <w:szCs w:val="24"/>
              </w:rPr>
            </w:pPr>
            <w:r>
              <w:rPr>
                <w:rFonts w:ascii="Times New Roman" w:eastAsia="Calibri" w:hAnsi="Times New Roman" w:cs="Times New Roman"/>
                <w:bCs/>
                <w:i/>
                <w:iCs/>
                <w:sz w:val="24"/>
                <w:szCs w:val="24"/>
              </w:rPr>
              <w:t>Continuous assessment Tests</w:t>
            </w:r>
          </w:p>
        </w:tc>
      </w:tr>
    </w:tbl>
    <w:p w14:paraId="58D79AF1" w14:textId="77777777" w:rsidR="00B01D46" w:rsidRDefault="0067013E">
      <w:pPr>
        <w:spacing w:line="48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Source: Field data (2021) [Key: LT- Lecturer] </w:t>
      </w:r>
    </w:p>
    <w:p w14:paraId="625FEC9C"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verbatim findings affirmed that several methods are employed to assess the effectiveness of the ILS curriculum. Heads of departments, heads medical librarians, and university librarians agreed that numerous methods were employed such as focus groups, </w:t>
      </w:r>
      <w:bookmarkStart w:id="1681" w:name="_Hlk145425427"/>
      <w:r>
        <w:rPr>
          <w:rFonts w:ascii="Times New Roman" w:eastAsia="Calibri" w:hAnsi="Times New Roman" w:cs="Times New Roman"/>
          <w:sz w:val="24"/>
          <w:szCs w:val="24"/>
        </w:rPr>
        <w:t xml:space="preserve">on the spot assessment </w:t>
      </w:r>
      <w:bookmarkEnd w:id="1681"/>
      <w:r>
        <w:rPr>
          <w:rFonts w:ascii="Times New Roman" w:eastAsia="Calibri" w:hAnsi="Times New Roman" w:cs="Times New Roman"/>
          <w:sz w:val="24"/>
          <w:szCs w:val="24"/>
        </w:rPr>
        <w:t>concept maps, CATs, information assessment techniques, interviewing, knowledge tests through creative clinical and research papers, and ILS feedback forms. One University Librarian (UL01) said:</w:t>
      </w:r>
    </w:p>
    <w:p w14:paraId="15050D71" w14:textId="77777777" w:rsidR="00B01D46" w:rsidRDefault="0067013E">
      <w:pPr>
        <w:spacing w:line="240" w:lineRule="auto"/>
        <w:ind w:left="720" w:right="9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Librarians use concept maps more frequently because they provide unique opportunities to assist students in integrating new concepts.…. …they are appropriate as a pre-test and post-test for </w:t>
      </w:r>
      <w:r>
        <w:rPr>
          <w:rFonts w:ascii="Times New Roman" w:eastAsia="Calibri" w:hAnsi="Times New Roman" w:cs="Times New Roman"/>
          <w:i/>
          <w:iCs/>
          <w:sz w:val="24"/>
          <w:szCs w:val="24"/>
        </w:rPr>
        <w:lastRenderedPageBreak/>
        <w:t>students and therefore work best in assessing course-integrated information literacy instruction and standalone information literacy courses like communication skills….”</w:t>
      </w:r>
    </w:p>
    <w:p w14:paraId="7DE169AF"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Further, one head medical librarian (ML02) interviewed said: </w:t>
      </w:r>
    </w:p>
    <w:p w14:paraId="4BA06346" w14:textId="77777777" w:rsidR="00B01D46" w:rsidRDefault="0067013E">
      <w:pPr>
        <w:spacing w:line="240" w:lineRule="auto"/>
        <w:ind w:left="567" w:right="785"/>
        <w:jc w:val="both"/>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i/>
          <w:iCs/>
          <w:sz w:val="24"/>
          <w:szCs w:val="24"/>
        </w:rPr>
        <w:t>“…. Our institution uses the focus groups, concept maps and CATs to assess ILS of our medical students …</w:t>
      </w:r>
      <w:r>
        <w:rPr>
          <w:rFonts w:ascii="Times New Roman" w:eastAsia="Calibri" w:hAnsi="Times New Roman" w:cs="Times New Roman"/>
          <w:i/>
          <w:iCs/>
          <w:color w:val="000000"/>
          <w:sz w:val="24"/>
          <w:szCs w:val="24"/>
          <w:shd w:val="clear" w:color="auto" w:fill="FFFFFF"/>
        </w:rPr>
        <w:t>.”</w:t>
      </w:r>
    </w:p>
    <w:p w14:paraId="630D4247" w14:textId="77777777" w:rsidR="00B01D46" w:rsidRDefault="0067013E">
      <w:pPr>
        <w:spacing w:line="480" w:lineRule="auto"/>
        <w:ind w:right="65"/>
        <w:jc w:val="both"/>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In addition, one head of department interviewed (HD02) stated that:</w:t>
      </w:r>
    </w:p>
    <w:p w14:paraId="0EB4936F" w14:textId="77777777" w:rsidR="00B01D46" w:rsidRDefault="0067013E">
      <w:pPr>
        <w:spacing w:line="240" w:lineRule="auto"/>
        <w:ind w:left="567" w:right="785"/>
        <w:jc w:val="both"/>
        <w:rPr>
          <w:rFonts w:ascii="Times New Roman" w:eastAsia="Calibri" w:hAnsi="Times New Roman" w:cs="Times New Roman"/>
          <w:i/>
          <w:iCs/>
          <w:color w:val="000000"/>
          <w:sz w:val="24"/>
          <w:szCs w:val="24"/>
          <w:shd w:val="clear" w:color="auto" w:fill="FFFFFF"/>
        </w:rPr>
      </w:pPr>
      <w:r>
        <w:rPr>
          <w:rFonts w:ascii="Times New Roman" w:eastAsia="Calibri" w:hAnsi="Times New Roman" w:cs="Times New Roman"/>
          <w:color w:val="000000"/>
          <w:sz w:val="24"/>
          <w:szCs w:val="24"/>
          <w:shd w:val="clear" w:color="auto" w:fill="FFFFFF"/>
        </w:rPr>
        <w:t xml:space="preserve"> </w:t>
      </w:r>
      <w:r>
        <w:rPr>
          <w:rFonts w:ascii="Times New Roman" w:eastAsia="Calibri" w:hAnsi="Times New Roman" w:cs="Times New Roman"/>
          <w:i/>
          <w:iCs/>
          <w:color w:val="000000"/>
          <w:sz w:val="24"/>
          <w:szCs w:val="24"/>
          <w:shd w:val="clear" w:color="auto" w:fill="FFFFFF"/>
        </w:rPr>
        <w:t xml:space="preserve">“… we use various methods to assess how effective ILS curriculum is …the most common one that we use in my department is </w:t>
      </w:r>
      <w:bookmarkStart w:id="1682" w:name="_Hlk132111321"/>
      <w:r>
        <w:rPr>
          <w:rFonts w:ascii="Times New Roman" w:eastAsia="Calibri" w:hAnsi="Times New Roman" w:cs="Times New Roman"/>
          <w:i/>
          <w:iCs/>
          <w:color w:val="000000"/>
          <w:sz w:val="24"/>
          <w:szCs w:val="24"/>
          <w:shd w:val="clear" w:color="auto" w:fill="FFFFFF"/>
        </w:rPr>
        <w:t>interviewing, information assessment techniques, knowledge tests, p</w:t>
      </w:r>
      <w:r>
        <w:rPr>
          <w:rFonts w:ascii="Times New Roman" w:eastAsia="Calibri" w:hAnsi="Times New Roman" w:cs="Times New Roman"/>
          <w:i/>
          <w:iCs/>
          <w:sz w:val="24"/>
          <w:szCs w:val="24"/>
        </w:rPr>
        <w:t>erformance assessments where we allow students to demonstrate what they can do, as opposed to describing what they know</w:t>
      </w:r>
      <w:bookmarkEnd w:id="1682"/>
      <w:r>
        <w:rPr>
          <w:rFonts w:ascii="Times New Roman" w:eastAsia="Calibri" w:hAnsi="Times New Roman" w:cs="Times New Roman"/>
          <w:i/>
          <w:iCs/>
          <w:sz w:val="24"/>
          <w:szCs w:val="24"/>
        </w:rPr>
        <w:t>…. This helps in assessing learning outcomes that focus on higher-order thinking skills, however, I cannot ascertain how effective the methods are...</w:t>
      </w:r>
      <w:r>
        <w:rPr>
          <w:rFonts w:ascii="Times New Roman" w:eastAsia="Calibri" w:hAnsi="Times New Roman" w:cs="Times New Roman"/>
          <w:i/>
          <w:iCs/>
          <w:color w:val="000000"/>
          <w:sz w:val="24"/>
          <w:szCs w:val="24"/>
          <w:shd w:val="clear" w:color="auto" w:fill="FFFFFF"/>
        </w:rPr>
        <w:t>”</w:t>
      </w:r>
    </w:p>
    <w:p w14:paraId="4088C38B"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From the analysis of the findings, it is vivid that the majority of the participants agreed that there were several methods of assessing the effectiveness of the ILS curriculum training.</w:t>
      </w:r>
    </w:p>
    <w:p w14:paraId="59C28A81" w14:textId="77777777" w:rsidR="00B01D46" w:rsidRDefault="0067013E">
      <w:pPr>
        <w:pStyle w:val="Heading3"/>
      </w:pPr>
      <w:bookmarkStart w:id="1683" w:name="_Toc165363487"/>
      <w:bookmarkStart w:id="1684" w:name="_Toc165369283"/>
      <w:bookmarkStart w:id="1685" w:name="_Toc165365261"/>
      <w:bookmarkStart w:id="1686" w:name="_Toc164664078"/>
      <w:bookmarkStart w:id="1687" w:name="_Toc165975856"/>
      <w:bookmarkStart w:id="1688" w:name="_Toc184272954"/>
      <w:bookmarkStart w:id="1689" w:name="_Toc165973135"/>
      <w:r>
        <w:t>5.4.3 ILS Understanding among Undergraduate Medical Students</w:t>
      </w:r>
      <w:bookmarkEnd w:id="1683"/>
      <w:bookmarkEnd w:id="1684"/>
      <w:bookmarkEnd w:id="1685"/>
      <w:bookmarkEnd w:id="1686"/>
      <w:bookmarkEnd w:id="1687"/>
      <w:bookmarkEnd w:id="1688"/>
      <w:bookmarkEnd w:id="1689"/>
      <w:r>
        <w:t xml:space="preserve"> </w:t>
      </w:r>
    </w:p>
    <w:p w14:paraId="17485CFE" w14:textId="77777777" w:rsidR="00B01D46" w:rsidRDefault="0067013E">
      <w:pPr>
        <w:shd w:val="clear" w:color="auto" w:fill="FFFFFF"/>
        <w:tabs>
          <w:tab w:val="left" w:pos="360"/>
        </w:tabs>
        <w:autoSpaceDE w:val="0"/>
        <w:autoSpaceDN w:val="0"/>
        <w:adjustRightInd w:val="0"/>
        <w:spacing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r>
        <w:rPr>
          <w:rFonts w:ascii="Times New Roman" w:eastAsia="Times New Roman" w:hAnsi="Times New Roman" w:cs="Times New Roman"/>
          <w:sz w:val="24"/>
          <w:szCs w:val="24"/>
          <w:shd w:val="clear" w:color="auto" w:fill="FFFFFF"/>
        </w:rPr>
        <w:t>Krubu</w:t>
      </w:r>
      <w:r>
        <w:rPr>
          <w:rFonts w:ascii="Times New Roman" w:eastAsia="Times New Roman" w:hAnsi="Times New Roman" w:cs="Times New Roman"/>
          <w:sz w:val="24"/>
          <w:szCs w:val="24"/>
        </w:rPr>
        <w:t xml:space="preserve"> (2017), ILS guides and motivates learners to seek solutions by combining existing and newly acquired information and simplifying knowledge. Bruce’s six frames model underpins the perception of staff and undergraduate medical students towards ILS learning. The theory informed students’ perception towards ILS learning and application, that is the way, trainers and learners develop a positive attitude towards ILS learning and training because they (the trainers and learners) are the driving force behind learning, hence take an active role and establish broader applications for skills learned through activities that encourage critical thinking in problem-solving and probing. The Cronbach’s Alpha values for this question were 0.672 for items in the students’ questionnaire. This suggested a high internal validity of the test items. This study sought responses to this objective </w:t>
      </w:r>
      <w:r>
        <w:rPr>
          <w:rFonts w:ascii="Times New Roman" w:eastAsia="Times New Roman" w:hAnsi="Times New Roman" w:cs="Times New Roman"/>
          <w:sz w:val="24"/>
          <w:szCs w:val="24"/>
        </w:rPr>
        <w:lastRenderedPageBreak/>
        <w:t xml:space="preserve">through the answers to the question </w:t>
      </w:r>
      <w:r>
        <w:rPr>
          <w:rFonts w:ascii="Times New Roman" w:eastAsia="Times New Roman" w:hAnsi="Times New Roman" w:cs="Times New Roman"/>
          <w:i/>
          <w:sz w:val="24"/>
          <w:szCs w:val="24"/>
        </w:rPr>
        <w:t>“what is the perception/attitude of medical undergraduate students towards ILS instruction in Nairobi and Moi universities in Kenya?’</w:t>
      </w:r>
      <w:r>
        <w:rPr>
          <w:rFonts w:ascii="Times New Roman" w:eastAsia="Times New Roman" w:hAnsi="Times New Roman" w:cs="Times New Roman"/>
          <w:sz w:val="24"/>
          <w:szCs w:val="24"/>
        </w:rPr>
        <w:t xml:space="preserve"> Questions E (1-3) of the questionnaire for students (Appendix I), questions E (1-3) of the questionnaire for lecturers (Appendix II), questions E (1-8) of the interview schedule for heads of department (Appendix III), questions E (1-7) of the interview schedule for University Librarians (Appendix IV) and questions E (1-7) of the interview schedule for heads of medical librarians (Appendix V) addressed this question. The results are presented in the following sub-heading; </w:t>
      </w:r>
    </w:p>
    <w:p w14:paraId="4E2445DA" w14:textId="77777777" w:rsidR="00B01D46" w:rsidRDefault="0067013E">
      <w:pPr>
        <w:pStyle w:val="Heading4"/>
      </w:pPr>
      <w:bookmarkStart w:id="1690" w:name="_Toc165369284"/>
      <w:bookmarkStart w:id="1691" w:name="_Toc164664079"/>
      <w:bookmarkStart w:id="1692" w:name="_Toc165975857"/>
      <w:bookmarkStart w:id="1693" w:name="_Toc165363488"/>
      <w:bookmarkStart w:id="1694" w:name="_Toc165365262"/>
      <w:bookmarkStart w:id="1695" w:name="_Toc184272955"/>
      <w:bookmarkStart w:id="1696" w:name="_Toc165973136"/>
      <w:r>
        <w:t>5.4.3.1 ILS Training and Learning</w:t>
      </w:r>
      <w:bookmarkEnd w:id="1690"/>
      <w:bookmarkEnd w:id="1691"/>
      <w:bookmarkEnd w:id="1692"/>
      <w:bookmarkEnd w:id="1693"/>
      <w:bookmarkEnd w:id="1694"/>
      <w:bookmarkEnd w:id="1695"/>
      <w:bookmarkEnd w:id="1696"/>
    </w:p>
    <w:p w14:paraId="6098A445" w14:textId="77777777" w:rsidR="00B01D46" w:rsidRDefault="0067013E">
      <w:pPr>
        <w:ind w:right="65"/>
        <w:rPr>
          <w:rFonts w:ascii="Times New Roman" w:hAnsi="Times New Roman" w:cs="Times New Roman"/>
          <w:b/>
          <w:sz w:val="24"/>
          <w:szCs w:val="24"/>
        </w:rPr>
      </w:pPr>
      <w:bookmarkStart w:id="1697" w:name="_Toc165365263"/>
      <w:bookmarkStart w:id="1698" w:name="_Toc165369285"/>
      <w:bookmarkStart w:id="1699" w:name="_Toc164664080"/>
      <w:bookmarkStart w:id="1700" w:name="_Toc165363489"/>
      <w:r>
        <w:rPr>
          <w:rFonts w:ascii="Times New Roman" w:hAnsi="Times New Roman" w:cs="Times New Roman"/>
          <w:b/>
          <w:sz w:val="24"/>
          <w:szCs w:val="24"/>
        </w:rPr>
        <w:t>Students’ Views towards ILS Training and Learning</w:t>
      </w:r>
      <w:bookmarkEnd w:id="1697"/>
      <w:bookmarkEnd w:id="1698"/>
      <w:bookmarkEnd w:id="1699"/>
      <w:bookmarkEnd w:id="1700"/>
    </w:p>
    <w:p w14:paraId="5AE2D05E"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Students were asked to provide responses to a survey on their attitudes towards ILS instruction and learning. The majority of students 143 (63.56%) were negative about the value of acquiring /learning ILS while 82 (36.44%), were enthusiastic about studying ILS, as shown in figure 5.6.</w:t>
      </w:r>
    </w:p>
    <w:p w14:paraId="4A60962A" w14:textId="77777777" w:rsidR="00B01D46" w:rsidRDefault="0067013E">
      <w:pPr>
        <w:spacing w:before="120" w:after="0" w:line="480" w:lineRule="auto"/>
        <w:ind w:right="65"/>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14:anchorId="3C897A23" wp14:editId="011F6D8E">
            <wp:extent cx="5021580" cy="2306955"/>
            <wp:effectExtent l="0" t="0" r="7620" b="1714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66DB84C" w14:textId="77777777" w:rsidR="00B01D46" w:rsidRDefault="0067013E">
      <w:pPr>
        <w:pStyle w:val="Caption"/>
      </w:pPr>
      <w:bookmarkStart w:id="1701" w:name="_Toc165369286"/>
      <w:bookmarkStart w:id="1702" w:name="_Toc165363490"/>
      <w:bookmarkStart w:id="1703" w:name="_Toc165975858"/>
      <w:bookmarkStart w:id="1704" w:name="_Toc165365264"/>
      <w:bookmarkStart w:id="1705" w:name="_Toc165973137"/>
      <w:bookmarkStart w:id="1706" w:name="_Toc184276922"/>
      <w:bookmarkStart w:id="1707" w:name="_Toc184272210"/>
      <w:bookmarkStart w:id="1708" w:name="_Toc184272012"/>
      <w:bookmarkStart w:id="1709" w:name="_Hlk159793627"/>
      <w:r>
        <w:t>Figure 5.5: Students’ Views toward ILS Training and Learning</w:t>
      </w:r>
      <w:bookmarkEnd w:id="1701"/>
      <w:bookmarkEnd w:id="1702"/>
      <w:bookmarkEnd w:id="1703"/>
      <w:bookmarkEnd w:id="1704"/>
      <w:bookmarkEnd w:id="1705"/>
      <w:bookmarkEnd w:id="1706"/>
      <w:bookmarkEnd w:id="1707"/>
      <w:bookmarkEnd w:id="1708"/>
    </w:p>
    <w:bookmarkEnd w:id="1709"/>
    <w:p w14:paraId="6A444327" w14:textId="77777777" w:rsidR="00B01D46" w:rsidRDefault="00B01D46">
      <w:pPr>
        <w:spacing w:before="120" w:after="0" w:line="240" w:lineRule="auto"/>
        <w:ind w:right="65"/>
        <w:jc w:val="both"/>
        <w:rPr>
          <w:rFonts w:ascii="Times New Roman" w:eastAsia="Calibri" w:hAnsi="Times New Roman" w:cs="Times New Roman"/>
          <w:sz w:val="24"/>
          <w:szCs w:val="24"/>
        </w:rPr>
      </w:pPr>
    </w:p>
    <w:p w14:paraId="57D11FA2"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Respondents were asked to elaborate on their responses. First, students who had a good attitude towards ILS learning and training are given with their comments presented in Table 5.18: </w:t>
      </w:r>
    </w:p>
    <w:p w14:paraId="0CB77C58" w14:textId="77777777" w:rsidR="00B01D46" w:rsidRDefault="0067013E">
      <w:pPr>
        <w:pStyle w:val="Caption"/>
      </w:pPr>
      <w:bookmarkStart w:id="1710" w:name="_Toc184272013"/>
      <w:bookmarkStart w:id="1711" w:name="_Toc184276923"/>
      <w:bookmarkStart w:id="1712" w:name="_Toc165975859"/>
      <w:bookmarkStart w:id="1713" w:name="_Toc165973138"/>
      <w:bookmarkStart w:id="1714" w:name="_Hlk159793670"/>
      <w:r>
        <w:t>Table 5.18: Responses of Students who were Enthusiastic about ILS Learning and Instruction</w:t>
      </w:r>
      <w:bookmarkEnd w:id="1710"/>
      <w:bookmarkEnd w:id="1711"/>
      <w:bookmarkEnd w:id="1712"/>
      <w:bookmarkEnd w:id="1713"/>
    </w:p>
    <w:tbl>
      <w:tblPr>
        <w:tblStyle w:val="TableGrid"/>
        <w:tblW w:w="0" w:type="auto"/>
        <w:tblInd w:w="108" w:type="dxa"/>
        <w:tblLook w:val="04A0" w:firstRow="1" w:lastRow="0" w:firstColumn="1" w:lastColumn="0" w:noHBand="0" w:noVBand="1"/>
      </w:tblPr>
      <w:tblGrid>
        <w:gridCol w:w="2317"/>
        <w:gridCol w:w="5730"/>
      </w:tblGrid>
      <w:tr w:rsidR="00B01D46" w14:paraId="36837158" w14:textId="77777777">
        <w:tc>
          <w:tcPr>
            <w:tcW w:w="2317" w:type="dxa"/>
            <w:tcBorders>
              <w:top w:val="single" w:sz="4" w:space="0" w:color="auto"/>
              <w:left w:val="single" w:sz="4" w:space="0" w:color="auto"/>
              <w:bottom w:val="single" w:sz="4" w:space="0" w:color="auto"/>
              <w:right w:val="single" w:sz="4" w:space="0" w:color="auto"/>
            </w:tcBorders>
          </w:tcPr>
          <w:bookmarkEnd w:id="1714"/>
          <w:p w14:paraId="762A046C" w14:textId="77777777" w:rsidR="00B01D46" w:rsidRDefault="0067013E">
            <w:pPr>
              <w:spacing w:after="0" w:line="240" w:lineRule="auto"/>
              <w:ind w:right="65"/>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Respondents </w:t>
            </w:r>
          </w:p>
        </w:tc>
        <w:tc>
          <w:tcPr>
            <w:tcW w:w="5730" w:type="dxa"/>
            <w:tcBorders>
              <w:top w:val="single" w:sz="4" w:space="0" w:color="auto"/>
              <w:left w:val="single" w:sz="4" w:space="0" w:color="auto"/>
              <w:bottom w:val="single" w:sz="4" w:space="0" w:color="auto"/>
              <w:right w:val="single" w:sz="4" w:space="0" w:color="auto"/>
            </w:tcBorders>
          </w:tcPr>
          <w:p w14:paraId="44F895E0"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Responses from the questionnaire</w:t>
            </w:r>
          </w:p>
          <w:p w14:paraId="0F9A88EC" w14:textId="77777777" w:rsidR="00B01D46" w:rsidRDefault="00B01D46">
            <w:pPr>
              <w:spacing w:after="0" w:line="240" w:lineRule="auto"/>
              <w:ind w:right="65"/>
              <w:jc w:val="both"/>
              <w:rPr>
                <w:rFonts w:ascii="Times New Roman" w:eastAsia="Calibri" w:hAnsi="Times New Roman" w:cs="Times New Roman"/>
                <w:b/>
                <w:bCs/>
                <w:sz w:val="24"/>
                <w:szCs w:val="24"/>
              </w:rPr>
            </w:pPr>
          </w:p>
        </w:tc>
      </w:tr>
      <w:tr w:rsidR="00B01D46" w14:paraId="32A5E45E" w14:textId="77777777">
        <w:tc>
          <w:tcPr>
            <w:tcW w:w="2317" w:type="dxa"/>
            <w:tcBorders>
              <w:top w:val="single" w:sz="4" w:space="0" w:color="auto"/>
              <w:left w:val="single" w:sz="4" w:space="0" w:color="auto"/>
              <w:bottom w:val="single" w:sz="4" w:space="0" w:color="auto"/>
              <w:right w:val="single" w:sz="4" w:space="0" w:color="auto"/>
            </w:tcBorders>
          </w:tcPr>
          <w:p w14:paraId="6BA00BDE"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ST22</w:t>
            </w:r>
          </w:p>
        </w:tc>
        <w:tc>
          <w:tcPr>
            <w:tcW w:w="5730" w:type="dxa"/>
            <w:tcBorders>
              <w:top w:val="single" w:sz="4" w:space="0" w:color="auto"/>
              <w:left w:val="single" w:sz="4" w:space="0" w:color="auto"/>
              <w:bottom w:val="single" w:sz="4" w:space="0" w:color="auto"/>
              <w:right w:val="single" w:sz="4" w:space="0" w:color="auto"/>
            </w:tcBorders>
          </w:tcPr>
          <w:p w14:paraId="75F427C0"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I have learned how to communicate effectively with my fellow students and my lectures</w:t>
            </w:r>
          </w:p>
        </w:tc>
      </w:tr>
      <w:tr w:rsidR="00B01D46" w14:paraId="44F75831" w14:textId="77777777">
        <w:tc>
          <w:tcPr>
            <w:tcW w:w="2317" w:type="dxa"/>
            <w:tcBorders>
              <w:top w:val="single" w:sz="4" w:space="0" w:color="auto"/>
              <w:left w:val="single" w:sz="4" w:space="0" w:color="auto"/>
              <w:bottom w:val="single" w:sz="4" w:space="0" w:color="auto"/>
              <w:right w:val="single" w:sz="4" w:space="0" w:color="auto"/>
            </w:tcBorders>
          </w:tcPr>
          <w:p w14:paraId="2136A81E"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ST42</w:t>
            </w:r>
          </w:p>
        </w:tc>
        <w:tc>
          <w:tcPr>
            <w:tcW w:w="5730" w:type="dxa"/>
            <w:tcBorders>
              <w:top w:val="single" w:sz="4" w:space="0" w:color="auto"/>
              <w:left w:val="single" w:sz="4" w:space="0" w:color="auto"/>
              <w:bottom w:val="single" w:sz="4" w:space="0" w:color="auto"/>
              <w:right w:val="single" w:sz="4" w:space="0" w:color="auto"/>
            </w:tcBorders>
          </w:tcPr>
          <w:p w14:paraId="48DC42B1"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Enable me to know how to search information e-databases like ProQuest, Medline</w:t>
            </w:r>
          </w:p>
        </w:tc>
      </w:tr>
      <w:tr w:rsidR="00B01D46" w14:paraId="1359F909" w14:textId="77777777">
        <w:tc>
          <w:tcPr>
            <w:tcW w:w="2317" w:type="dxa"/>
            <w:tcBorders>
              <w:top w:val="single" w:sz="4" w:space="0" w:color="auto"/>
              <w:left w:val="single" w:sz="4" w:space="0" w:color="auto"/>
              <w:bottom w:val="single" w:sz="4" w:space="0" w:color="auto"/>
              <w:right w:val="single" w:sz="4" w:space="0" w:color="auto"/>
            </w:tcBorders>
          </w:tcPr>
          <w:p w14:paraId="5FFF2C1C"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ST67</w:t>
            </w:r>
          </w:p>
        </w:tc>
        <w:tc>
          <w:tcPr>
            <w:tcW w:w="5730" w:type="dxa"/>
            <w:tcBorders>
              <w:top w:val="single" w:sz="4" w:space="0" w:color="auto"/>
              <w:left w:val="single" w:sz="4" w:space="0" w:color="auto"/>
              <w:bottom w:val="single" w:sz="4" w:space="0" w:color="auto"/>
              <w:right w:val="single" w:sz="4" w:space="0" w:color="auto"/>
            </w:tcBorders>
          </w:tcPr>
          <w:p w14:paraId="5B4C25FB"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Times New Roman" w:hAnsi="Times New Roman" w:cs="Times New Roman"/>
                <w:i/>
                <w:iCs/>
                <w:color w:val="000000"/>
                <w:sz w:val="24"/>
                <w:szCs w:val="24"/>
              </w:rPr>
              <w:t>I think possessing information literacy skills is prestigious</w:t>
            </w:r>
          </w:p>
        </w:tc>
      </w:tr>
      <w:tr w:rsidR="00B01D46" w14:paraId="65D091BE" w14:textId="77777777">
        <w:tc>
          <w:tcPr>
            <w:tcW w:w="2317" w:type="dxa"/>
            <w:tcBorders>
              <w:top w:val="single" w:sz="4" w:space="0" w:color="auto"/>
              <w:left w:val="single" w:sz="4" w:space="0" w:color="auto"/>
              <w:bottom w:val="single" w:sz="4" w:space="0" w:color="auto"/>
              <w:right w:val="single" w:sz="4" w:space="0" w:color="auto"/>
            </w:tcBorders>
          </w:tcPr>
          <w:p w14:paraId="7DB3827E"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 89</w:t>
            </w:r>
          </w:p>
        </w:tc>
        <w:tc>
          <w:tcPr>
            <w:tcW w:w="5730" w:type="dxa"/>
            <w:tcBorders>
              <w:top w:val="single" w:sz="4" w:space="0" w:color="auto"/>
              <w:left w:val="single" w:sz="4" w:space="0" w:color="auto"/>
              <w:bottom w:val="single" w:sz="4" w:space="0" w:color="auto"/>
              <w:right w:val="single" w:sz="4" w:space="0" w:color="auto"/>
            </w:tcBorders>
          </w:tcPr>
          <w:p w14:paraId="6AA20CC3"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Known various information sources</w:t>
            </w:r>
          </w:p>
        </w:tc>
      </w:tr>
      <w:tr w:rsidR="00B01D46" w14:paraId="12A3F3E5" w14:textId="77777777">
        <w:tc>
          <w:tcPr>
            <w:tcW w:w="2317" w:type="dxa"/>
            <w:tcBorders>
              <w:top w:val="single" w:sz="4" w:space="0" w:color="auto"/>
              <w:left w:val="single" w:sz="4" w:space="0" w:color="auto"/>
              <w:bottom w:val="single" w:sz="4" w:space="0" w:color="auto"/>
              <w:right w:val="single" w:sz="4" w:space="0" w:color="auto"/>
            </w:tcBorders>
          </w:tcPr>
          <w:p w14:paraId="0D741E5D"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ST192</w:t>
            </w:r>
          </w:p>
        </w:tc>
        <w:tc>
          <w:tcPr>
            <w:tcW w:w="5730" w:type="dxa"/>
            <w:tcBorders>
              <w:top w:val="single" w:sz="4" w:space="0" w:color="auto"/>
              <w:left w:val="single" w:sz="4" w:space="0" w:color="auto"/>
              <w:bottom w:val="single" w:sz="4" w:space="0" w:color="auto"/>
              <w:right w:val="single" w:sz="4" w:space="0" w:color="auto"/>
            </w:tcBorders>
          </w:tcPr>
          <w:p w14:paraId="3ABD7E52"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Ability to use the information to solve problems</w:t>
            </w:r>
          </w:p>
        </w:tc>
      </w:tr>
      <w:tr w:rsidR="00B01D46" w14:paraId="21707F87" w14:textId="77777777">
        <w:tc>
          <w:tcPr>
            <w:tcW w:w="2317" w:type="dxa"/>
            <w:tcBorders>
              <w:top w:val="single" w:sz="4" w:space="0" w:color="auto"/>
              <w:left w:val="single" w:sz="4" w:space="0" w:color="auto"/>
              <w:bottom w:val="single" w:sz="4" w:space="0" w:color="auto"/>
              <w:right w:val="single" w:sz="4" w:space="0" w:color="auto"/>
            </w:tcBorders>
          </w:tcPr>
          <w:p w14:paraId="36D06572"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ST201</w:t>
            </w:r>
          </w:p>
        </w:tc>
        <w:tc>
          <w:tcPr>
            <w:tcW w:w="5730" w:type="dxa"/>
            <w:tcBorders>
              <w:top w:val="single" w:sz="4" w:space="0" w:color="auto"/>
              <w:left w:val="single" w:sz="4" w:space="0" w:color="auto"/>
              <w:bottom w:val="single" w:sz="4" w:space="0" w:color="auto"/>
              <w:right w:val="single" w:sz="4" w:space="0" w:color="auto"/>
            </w:tcBorders>
          </w:tcPr>
          <w:p w14:paraId="73D0844D"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Ability to write quality research papers</w:t>
            </w:r>
          </w:p>
        </w:tc>
      </w:tr>
      <w:tr w:rsidR="00B01D46" w14:paraId="24ADE806" w14:textId="77777777">
        <w:tc>
          <w:tcPr>
            <w:tcW w:w="2317" w:type="dxa"/>
            <w:tcBorders>
              <w:top w:val="single" w:sz="4" w:space="0" w:color="auto"/>
              <w:left w:val="single" w:sz="4" w:space="0" w:color="auto"/>
              <w:bottom w:val="single" w:sz="4" w:space="0" w:color="auto"/>
              <w:right w:val="single" w:sz="4" w:space="0" w:color="auto"/>
            </w:tcBorders>
          </w:tcPr>
          <w:p w14:paraId="73D913C4"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ST218</w:t>
            </w:r>
          </w:p>
        </w:tc>
        <w:tc>
          <w:tcPr>
            <w:tcW w:w="5730" w:type="dxa"/>
            <w:tcBorders>
              <w:top w:val="single" w:sz="4" w:space="0" w:color="auto"/>
              <w:left w:val="single" w:sz="4" w:space="0" w:color="auto"/>
              <w:bottom w:val="single" w:sz="4" w:space="0" w:color="auto"/>
              <w:right w:val="single" w:sz="4" w:space="0" w:color="auto"/>
            </w:tcBorders>
          </w:tcPr>
          <w:p w14:paraId="69D8291B"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Learned various ICT techniques to assist me in accessing information</w:t>
            </w:r>
          </w:p>
        </w:tc>
      </w:tr>
      <w:tr w:rsidR="00B01D46" w14:paraId="2F90B054" w14:textId="77777777">
        <w:tc>
          <w:tcPr>
            <w:tcW w:w="2317" w:type="dxa"/>
            <w:tcBorders>
              <w:top w:val="single" w:sz="4" w:space="0" w:color="auto"/>
              <w:left w:val="single" w:sz="4" w:space="0" w:color="auto"/>
              <w:bottom w:val="single" w:sz="4" w:space="0" w:color="auto"/>
              <w:right w:val="single" w:sz="4" w:space="0" w:color="auto"/>
            </w:tcBorders>
          </w:tcPr>
          <w:p w14:paraId="3EAAE148"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ST223</w:t>
            </w:r>
          </w:p>
        </w:tc>
        <w:tc>
          <w:tcPr>
            <w:tcW w:w="5730" w:type="dxa"/>
            <w:tcBorders>
              <w:top w:val="single" w:sz="4" w:space="0" w:color="auto"/>
              <w:left w:val="single" w:sz="4" w:space="0" w:color="auto"/>
              <w:bottom w:val="single" w:sz="4" w:space="0" w:color="auto"/>
              <w:right w:val="single" w:sz="4" w:space="0" w:color="auto"/>
            </w:tcBorders>
          </w:tcPr>
          <w:p w14:paraId="3C915C5A"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Learned how to find books in the library</w:t>
            </w:r>
          </w:p>
        </w:tc>
      </w:tr>
    </w:tbl>
    <w:p w14:paraId="5CC952DE" w14:textId="77777777" w:rsidR="00B01D46" w:rsidRDefault="0067013E">
      <w:pPr>
        <w:spacing w:line="48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Source: Field Data (2021) Key: [ST-Students]</w:t>
      </w:r>
    </w:p>
    <w:p w14:paraId="327CEC03"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Secondly, the comments of those who were negative towards ILS learning and training are presented in Table 5.19:</w:t>
      </w:r>
    </w:p>
    <w:p w14:paraId="7D76EF00" w14:textId="77777777" w:rsidR="00B01D46" w:rsidRDefault="0067013E">
      <w:pPr>
        <w:pStyle w:val="Caption"/>
      </w:pPr>
      <w:bookmarkStart w:id="1715" w:name="_Toc165973139"/>
      <w:bookmarkStart w:id="1716" w:name="_Toc165975860"/>
      <w:bookmarkStart w:id="1717" w:name="_Toc184272014"/>
      <w:bookmarkStart w:id="1718" w:name="_Toc184276924"/>
      <w:bookmarkStart w:id="1719" w:name="_Hlk159793695"/>
      <w:r>
        <w:t>Table 5.19: Student Responses Indicating Unfavorable View towards ILS Learning and Instruction</w:t>
      </w:r>
      <w:bookmarkEnd w:id="1715"/>
      <w:bookmarkEnd w:id="1716"/>
      <w:bookmarkEnd w:id="1717"/>
      <w:bookmarkEnd w:id="1718"/>
    </w:p>
    <w:tbl>
      <w:tblPr>
        <w:tblStyle w:val="TableGrid"/>
        <w:tblW w:w="0" w:type="auto"/>
        <w:tblInd w:w="108" w:type="dxa"/>
        <w:tblLook w:val="04A0" w:firstRow="1" w:lastRow="0" w:firstColumn="1" w:lastColumn="0" w:noHBand="0" w:noVBand="1"/>
      </w:tblPr>
      <w:tblGrid>
        <w:gridCol w:w="1597"/>
        <w:gridCol w:w="6450"/>
      </w:tblGrid>
      <w:tr w:rsidR="00B01D46" w14:paraId="577FF217" w14:textId="77777777">
        <w:tc>
          <w:tcPr>
            <w:tcW w:w="1597" w:type="dxa"/>
            <w:tcBorders>
              <w:top w:val="single" w:sz="4" w:space="0" w:color="auto"/>
              <w:left w:val="single" w:sz="4" w:space="0" w:color="auto"/>
              <w:bottom w:val="single" w:sz="4" w:space="0" w:color="auto"/>
              <w:right w:val="single" w:sz="4" w:space="0" w:color="auto"/>
            </w:tcBorders>
          </w:tcPr>
          <w:bookmarkEnd w:id="1719"/>
          <w:p w14:paraId="56BBD0E1"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Respondents </w:t>
            </w:r>
          </w:p>
        </w:tc>
        <w:tc>
          <w:tcPr>
            <w:tcW w:w="6450" w:type="dxa"/>
            <w:tcBorders>
              <w:top w:val="single" w:sz="4" w:space="0" w:color="auto"/>
              <w:left w:val="single" w:sz="4" w:space="0" w:color="auto"/>
              <w:bottom w:val="single" w:sz="4" w:space="0" w:color="auto"/>
              <w:right w:val="single" w:sz="4" w:space="0" w:color="auto"/>
            </w:tcBorders>
          </w:tcPr>
          <w:p w14:paraId="7E492791" w14:textId="77777777" w:rsidR="00B01D46" w:rsidRDefault="0067013E">
            <w:pPr>
              <w:spacing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Responses from the questionnaire</w:t>
            </w:r>
          </w:p>
        </w:tc>
      </w:tr>
      <w:tr w:rsidR="00B01D46" w14:paraId="71DB65D3" w14:textId="77777777">
        <w:tc>
          <w:tcPr>
            <w:tcW w:w="1597" w:type="dxa"/>
            <w:tcBorders>
              <w:top w:val="single" w:sz="4" w:space="0" w:color="auto"/>
              <w:left w:val="single" w:sz="4" w:space="0" w:color="auto"/>
              <w:bottom w:val="single" w:sz="4" w:space="0" w:color="auto"/>
              <w:right w:val="single" w:sz="4" w:space="0" w:color="auto"/>
            </w:tcBorders>
          </w:tcPr>
          <w:p w14:paraId="6277457A"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ST12</w:t>
            </w:r>
          </w:p>
        </w:tc>
        <w:tc>
          <w:tcPr>
            <w:tcW w:w="6450" w:type="dxa"/>
            <w:tcBorders>
              <w:top w:val="single" w:sz="4" w:space="0" w:color="auto"/>
              <w:left w:val="single" w:sz="4" w:space="0" w:color="auto"/>
              <w:bottom w:val="single" w:sz="4" w:space="0" w:color="auto"/>
              <w:right w:val="single" w:sz="4" w:space="0" w:color="auto"/>
            </w:tcBorders>
          </w:tcPr>
          <w:p w14:paraId="14B15375"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The trainers are not audible enough hence I learned very little</w:t>
            </w:r>
          </w:p>
        </w:tc>
      </w:tr>
      <w:tr w:rsidR="00B01D46" w14:paraId="4AFF2A35" w14:textId="77777777">
        <w:tc>
          <w:tcPr>
            <w:tcW w:w="1597" w:type="dxa"/>
            <w:tcBorders>
              <w:top w:val="single" w:sz="4" w:space="0" w:color="auto"/>
              <w:left w:val="single" w:sz="4" w:space="0" w:color="auto"/>
              <w:bottom w:val="single" w:sz="4" w:space="0" w:color="auto"/>
              <w:right w:val="single" w:sz="4" w:space="0" w:color="auto"/>
            </w:tcBorders>
          </w:tcPr>
          <w:p w14:paraId="08DE43F2"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 13</w:t>
            </w:r>
          </w:p>
        </w:tc>
        <w:tc>
          <w:tcPr>
            <w:tcW w:w="6450" w:type="dxa"/>
            <w:tcBorders>
              <w:top w:val="single" w:sz="4" w:space="0" w:color="auto"/>
              <w:left w:val="single" w:sz="4" w:space="0" w:color="auto"/>
              <w:bottom w:val="single" w:sz="4" w:space="0" w:color="auto"/>
              <w:right w:val="single" w:sz="4" w:space="0" w:color="auto"/>
            </w:tcBorders>
          </w:tcPr>
          <w:p w14:paraId="51E14ACB"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I already know where the library is</w:t>
            </w:r>
          </w:p>
        </w:tc>
      </w:tr>
      <w:tr w:rsidR="00B01D46" w14:paraId="402728A1" w14:textId="77777777">
        <w:tc>
          <w:tcPr>
            <w:tcW w:w="1597" w:type="dxa"/>
            <w:tcBorders>
              <w:top w:val="single" w:sz="4" w:space="0" w:color="auto"/>
              <w:left w:val="single" w:sz="4" w:space="0" w:color="auto"/>
              <w:bottom w:val="single" w:sz="4" w:space="0" w:color="auto"/>
              <w:right w:val="single" w:sz="4" w:space="0" w:color="auto"/>
            </w:tcBorders>
          </w:tcPr>
          <w:p w14:paraId="3A0312A3"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ST23</w:t>
            </w:r>
          </w:p>
        </w:tc>
        <w:tc>
          <w:tcPr>
            <w:tcW w:w="6450" w:type="dxa"/>
            <w:tcBorders>
              <w:top w:val="single" w:sz="4" w:space="0" w:color="auto"/>
              <w:left w:val="single" w:sz="4" w:space="0" w:color="auto"/>
              <w:bottom w:val="single" w:sz="4" w:space="0" w:color="auto"/>
              <w:right w:val="single" w:sz="4" w:space="0" w:color="auto"/>
            </w:tcBorders>
          </w:tcPr>
          <w:p w14:paraId="22EED9D3"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We are so many during the training hence no personalized attention</w:t>
            </w:r>
          </w:p>
        </w:tc>
      </w:tr>
      <w:tr w:rsidR="00B01D46" w14:paraId="3BAC0B4D" w14:textId="77777777">
        <w:tc>
          <w:tcPr>
            <w:tcW w:w="1597" w:type="dxa"/>
            <w:tcBorders>
              <w:top w:val="single" w:sz="4" w:space="0" w:color="auto"/>
              <w:left w:val="single" w:sz="4" w:space="0" w:color="auto"/>
              <w:bottom w:val="single" w:sz="4" w:space="0" w:color="auto"/>
              <w:right w:val="single" w:sz="4" w:space="0" w:color="auto"/>
            </w:tcBorders>
          </w:tcPr>
          <w:p w14:paraId="394E6C13"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ST76</w:t>
            </w:r>
          </w:p>
        </w:tc>
        <w:tc>
          <w:tcPr>
            <w:tcW w:w="6450" w:type="dxa"/>
            <w:tcBorders>
              <w:top w:val="single" w:sz="4" w:space="0" w:color="auto"/>
              <w:left w:val="single" w:sz="4" w:space="0" w:color="auto"/>
              <w:bottom w:val="single" w:sz="4" w:space="0" w:color="auto"/>
              <w:right w:val="single" w:sz="4" w:space="0" w:color="auto"/>
            </w:tcBorders>
          </w:tcPr>
          <w:p w14:paraId="1094E89A"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The skills have not helped me at all</w:t>
            </w:r>
          </w:p>
        </w:tc>
      </w:tr>
      <w:tr w:rsidR="00B01D46" w14:paraId="7D34AD8E" w14:textId="77777777">
        <w:tc>
          <w:tcPr>
            <w:tcW w:w="1597" w:type="dxa"/>
            <w:tcBorders>
              <w:top w:val="single" w:sz="4" w:space="0" w:color="auto"/>
              <w:left w:val="single" w:sz="4" w:space="0" w:color="auto"/>
              <w:bottom w:val="single" w:sz="4" w:space="0" w:color="auto"/>
              <w:right w:val="single" w:sz="4" w:space="0" w:color="auto"/>
            </w:tcBorders>
          </w:tcPr>
          <w:p w14:paraId="523A5B05"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ST79</w:t>
            </w:r>
          </w:p>
        </w:tc>
        <w:tc>
          <w:tcPr>
            <w:tcW w:w="6450" w:type="dxa"/>
            <w:tcBorders>
              <w:top w:val="single" w:sz="4" w:space="0" w:color="auto"/>
              <w:left w:val="single" w:sz="4" w:space="0" w:color="auto"/>
              <w:bottom w:val="single" w:sz="4" w:space="0" w:color="auto"/>
              <w:right w:val="single" w:sz="4" w:space="0" w:color="auto"/>
            </w:tcBorders>
          </w:tcPr>
          <w:p w14:paraId="23C2A4B0"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It was one shot training not regularly taught</w:t>
            </w:r>
          </w:p>
        </w:tc>
      </w:tr>
      <w:tr w:rsidR="00B01D46" w14:paraId="6DCF014B" w14:textId="77777777">
        <w:tc>
          <w:tcPr>
            <w:tcW w:w="1597" w:type="dxa"/>
            <w:tcBorders>
              <w:top w:val="single" w:sz="4" w:space="0" w:color="auto"/>
              <w:left w:val="single" w:sz="4" w:space="0" w:color="auto"/>
              <w:bottom w:val="single" w:sz="4" w:space="0" w:color="auto"/>
              <w:right w:val="single" w:sz="4" w:space="0" w:color="auto"/>
            </w:tcBorders>
          </w:tcPr>
          <w:p w14:paraId="68F31493"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ST83</w:t>
            </w:r>
          </w:p>
        </w:tc>
        <w:tc>
          <w:tcPr>
            <w:tcW w:w="6450" w:type="dxa"/>
            <w:tcBorders>
              <w:top w:val="single" w:sz="4" w:space="0" w:color="auto"/>
              <w:left w:val="single" w:sz="4" w:space="0" w:color="auto"/>
              <w:bottom w:val="single" w:sz="4" w:space="0" w:color="auto"/>
              <w:right w:val="single" w:sz="4" w:space="0" w:color="auto"/>
            </w:tcBorders>
          </w:tcPr>
          <w:p w14:paraId="50692C22"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Some topics in the handouts are difficult to understand </w:t>
            </w:r>
          </w:p>
        </w:tc>
      </w:tr>
      <w:tr w:rsidR="00B01D46" w14:paraId="0CB7EE23" w14:textId="77777777">
        <w:tc>
          <w:tcPr>
            <w:tcW w:w="1597" w:type="dxa"/>
            <w:tcBorders>
              <w:top w:val="single" w:sz="4" w:space="0" w:color="auto"/>
              <w:left w:val="single" w:sz="4" w:space="0" w:color="auto"/>
              <w:bottom w:val="single" w:sz="4" w:space="0" w:color="auto"/>
              <w:right w:val="single" w:sz="4" w:space="0" w:color="auto"/>
            </w:tcBorders>
          </w:tcPr>
          <w:p w14:paraId="39719E7F"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ST91</w:t>
            </w:r>
          </w:p>
        </w:tc>
        <w:tc>
          <w:tcPr>
            <w:tcW w:w="6450" w:type="dxa"/>
            <w:tcBorders>
              <w:top w:val="single" w:sz="4" w:space="0" w:color="auto"/>
              <w:left w:val="single" w:sz="4" w:space="0" w:color="auto"/>
              <w:bottom w:val="single" w:sz="4" w:space="0" w:color="auto"/>
              <w:right w:val="single" w:sz="4" w:space="0" w:color="auto"/>
            </w:tcBorders>
          </w:tcPr>
          <w:p w14:paraId="56DA388A"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Insufficient time spent on instruction sessions</w:t>
            </w:r>
          </w:p>
        </w:tc>
      </w:tr>
      <w:tr w:rsidR="00B01D46" w14:paraId="725159C9" w14:textId="77777777">
        <w:tc>
          <w:tcPr>
            <w:tcW w:w="1597" w:type="dxa"/>
            <w:tcBorders>
              <w:top w:val="single" w:sz="4" w:space="0" w:color="auto"/>
              <w:left w:val="single" w:sz="4" w:space="0" w:color="auto"/>
              <w:bottom w:val="single" w:sz="4" w:space="0" w:color="auto"/>
              <w:right w:val="single" w:sz="4" w:space="0" w:color="auto"/>
            </w:tcBorders>
          </w:tcPr>
          <w:p w14:paraId="07376CB1"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 130</w:t>
            </w:r>
          </w:p>
        </w:tc>
        <w:tc>
          <w:tcPr>
            <w:tcW w:w="6450" w:type="dxa"/>
            <w:tcBorders>
              <w:top w:val="single" w:sz="4" w:space="0" w:color="auto"/>
              <w:left w:val="single" w:sz="4" w:space="0" w:color="auto"/>
              <w:bottom w:val="single" w:sz="4" w:space="0" w:color="auto"/>
              <w:right w:val="single" w:sz="4" w:space="0" w:color="auto"/>
            </w:tcBorders>
          </w:tcPr>
          <w:p w14:paraId="745169B6"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Confusion on who is to teach the skills</w:t>
            </w:r>
          </w:p>
        </w:tc>
      </w:tr>
      <w:tr w:rsidR="00B01D46" w14:paraId="64BA5E84" w14:textId="77777777">
        <w:tc>
          <w:tcPr>
            <w:tcW w:w="1597" w:type="dxa"/>
            <w:tcBorders>
              <w:top w:val="single" w:sz="4" w:space="0" w:color="auto"/>
              <w:left w:val="single" w:sz="4" w:space="0" w:color="auto"/>
              <w:bottom w:val="single" w:sz="4" w:space="0" w:color="auto"/>
              <w:right w:val="single" w:sz="4" w:space="0" w:color="auto"/>
            </w:tcBorders>
          </w:tcPr>
          <w:p w14:paraId="35EE58CD"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ST178</w:t>
            </w:r>
          </w:p>
        </w:tc>
        <w:tc>
          <w:tcPr>
            <w:tcW w:w="6450" w:type="dxa"/>
            <w:tcBorders>
              <w:top w:val="single" w:sz="4" w:space="0" w:color="auto"/>
              <w:left w:val="single" w:sz="4" w:space="0" w:color="auto"/>
              <w:bottom w:val="single" w:sz="4" w:space="0" w:color="auto"/>
              <w:right w:val="single" w:sz="4" w:space="0" w:color="auto"/>
            </w:tcBorders>
          </w:tcPr>
          <w:p w14:paraId="13D16FCA"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The time difference between training and course offerings</w:t>
            </w:r>
          </w:p>
        </w:tc>
      </w:tr>
      <w:tr w:rsidR="00B01D46" w14:paraId="64A29962" w14:textId="77777777">
        <w:tc>
          <w:tcPr>
            <w:tcW w:w="1597" w:type="dxa"/>
            <w:tcBorders>
              <w:top w:val="single" w:sz="4" w:space="0" w:color="auto"/>
              <w:left w:val="single" w:sz="4" w:space="0" w:color="auto"/>
              <w:bottom w:val="single" w:sz="4" w:space="0" w:color="auto"/>
              <w:right w:val="single" w:sz="4" w:space="0" w:color="auto"/>
            </w:tcBorders>
          </w:tcPr>
          <w:p w14:paraId="5CC8C864"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 193</w:t>
            </w:r>
          </w:p>
        </w:tc>
        <w:tc>
          <w:tcPr>
            <w:tcW w:w="6450" w:type="dxa"/>
            <w:tcBorders>
              <w:top w:val="single" w:sz="4" w:space="0" w:color="auto"/>
              <w:left w:val="single" w:sz="4" w:space="0" w:color="auto"/>
              <w:bottom w:val="single" w:sz="4" w:space="0" w:color="auto"/>
              <w:right w:val="single" w:sz="4" w:space="0" w:color="auto"/>
            </w:tcBorders>
          </w:tcPr>
          <w:p w14:paraId="1DBC8763"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Computers are not working during training, WIFI is not working</w:t>
            </w:r>
          </w:p>
        </w:tc>
      </w:tr>
      <w:tr w:rsidR="00B01D46" w14:paraId="50221730" w14:textId="77777777">
        <w:tc>
          <w:tcPr>
            <w:tcW w:w="1597" w:type="dxa"/>
            <w:tcBorders>
              <w:top w:val="single" w:sz="4" w:space="0" w:color="auto"/>
              <w:left w:val="single" w:sz="4" w:space="0" w:color="auto"/>
              <w:bottom w:val="single" w:sz="4" w:space="0" w:color="auto"/>
              <w:right w:val="single" w:sz="4" w:space="0" w:color="auto"/>
            </w:tcBorders>
          </w:tcPr>
          <w:p w14:paraId="4CE33C30" w14:textId="77777777" w:rsidR="00B01D46" w:rsidRDefault="0067013E">
            <w:pPr>
              <w:spacing w:after="0"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ST222</w:t>
            </w:r>
          </w:p>
        </w:tc>
        <w:tc>
          <w:tcPr>
            <w:tcW w:w="6450" w:type="dxa"/>
            <w:tcBorders>
              <w:top w:val="single" w:sz="4" w:space="0" w:color="auto"/>
              <w:left w:val="single" w:sz="4" w:space="0" w:color="auto"/>
              <w:bottom w:val="single" w:sz="4" w:space="0" w:color="auto"/>
              <w:right w:val="single" w:sz="4" w:space="0" w:color="auto"/>
            </w:tcBorders>
          </w:tcPr>
          <w:p w14:paraId="4488D361" w14:textId="77777777" w:rsidR="00B01D46" w:rsidRDefault="0067013E">
            <w:pPr>
              <w:spacing w:after="0"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Students' absence of awareness regarding library resource utilization trainings</w:t>
            </w:r>
          </w:p>
        </w:tc>
      </w:tr>
    </w:tbl>
    <w:p w14:paraId="46E07C4E" w14:textId="77777777" w:rsidR="00B01D46" w:rsidRDefault="0067013E">
      <w:pPr>
        <w:spacing w:line="48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Source: Field data (2021) Key: [ST-Students]</w:t>
      </w:r>
    </w:p>
    <w:p w14:paraId="2D0D9D72"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Several students mentioned the following as reasons why ILS instruction was ineffective for them: Absence of student awareness regarding library usage training, separation of training and course offerings, insufficient time spent on training sessions, and other factors are listed in Table 5.19.</w:t>
      </w:r>
    </w:p>
    <w:p w14:paraId="7E5DE179" w14:textId="77777777" w:rsidR="00B01D46" w:rsidRDefault="0067013E">
      <w:pPr>
        <w:spacing w:line="480" w:lineRule="auto"/>
        <w:ind w:right="65"/>
        <w:jc w:val="both"/>
        <w:rPr>
          <w:rFonts w:ascii="Times New Roman" w:hAnsi="Times New Roman" w:cs="Times New Roman"/>
          <w:b/>
          <w:sz w:val="24"/>
          <w:szCs w:val="24"/>
        </w:rPr>
      </w:pPr>
      <w:bookmarkStart w:id="1720" w:name="_Toc165365265"/>
      <w:bookmarkStart w:id="1721" w:name="_Toc165363491"/>
      <w:bookmarkStart w:id="1722" w:name="_Toc165369289"/>
      <w:bookmarkStart w:id="1723" w:name="_Toc164664081"/>
      <w:r>
        <w:rPr>
          <w:rFonts w:ascii="Times New Roman" w:hAnsi="Times New Roman" w:cs="Times New Roman"/>
          <w:b/>
          <w:sz w:val="24"/>
          <w:szCs w:val="24"/>
        </w:rPr>
        <w:t>Lecturers’ Response on the ILS Understanding among Medical Undergraduate Students</w:t>
      </w:r>
      <w:bookmarkEnd w:id="1720"/>
      <w:bookmarkEnd w:id="1721"/>
      <w:bookmarkEnd w:id="1722"/>
      <w:bookmarkEnd w:id="1723"/>
      <w:r>
        <w:rPr>
          <w:rFonts w:ascii="Times New Roman" w:hAnsi="Times New Roman" w:cs="Times New Roman"/>
          <w:b/>
          <w:sz w:val="24"/>
          <w:szCs w:val="24"/>
        </w:rPr>
        <w:t xml:space="preserve"> </w:t>
      </w:r>
    </w:p>
    <w:p w14:paraId="729FCE99"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Lecturers were asked in the questionnaire to comment on the attitude of students towards ILS learning and training. The findings found that 32(51%) of the lecturer respondents stated that students had an undesirable attitude while 30(49%) of the lecturer respondents stated that students had a positive attitude towards ILS training and learning.  Table 5.20 below show the responses of those lecturers who stated that students had a negative towards ILS training and learning.</w:t>
      </w:r>
    </w:p>
    <w:p w14:paraId="77C5B64B" w14:textId="77777777" w:rsidR="00B01D46" w:rsidRDefault="0067013E">
      <w:pPr>
        <w:pStyle w:val="Caption"/>
      </w:pPr>
      <w:bookmarkStart w:id="1724" w:name="_Toc184272015"/>
      <w:bookmarkStart w:id="1725" w:name="_Toc184276925"/>
      <w:bookmarkStart w:id="1726" w:name="_Toc165973140"/>
      <w:bookmarkStart w:id="1727" w:name="_Toc165975861"/>
      <w:bookmarkStart w:id="1728" w:name="_Hlk159793767"/>
      <w:r>
        <w:t>Table 5.20: Lecturers’ Response on the’ ILS Understanding among Undergraduate Medical Students</w:t>
      </w:r>
      <w:bookmarkEnd w:id="1724"/>
      <w:bookmarkEnd w:id="1725"/>
      <w:bookmarkEnd w:id="1726"/>
      <w:bookmarkEnd w:id="1727"/>
    </w:p>
    <w:tbl>
      <w:tblPr>
        <w:tblStyle w:val="TableGrid"/>
        <w:tblW w:w="0" w:type="auto"/>
        <w:jc w:val="center"/>
        <w:tblLook w:val="04A0" w:firstRow="1" w:lastRow="0" w:firstColumn="1" w:lastColumn="0" w:noHBand="0" w:noVBand="1"/>
      </w:tblPr>
      <w:tblGrid>
        <w:gridCol w:w="1725"/>
        <w:gridCol w:w="6180"/>
      </w:tblGrid>
      <w:tr w:rsidR="00B01D46" w14:paraId="154AFBDE" w14:textId="77777777">
        <w:trPr>
          <w:jc w:val="center"/>
        </w:trPr>
        <w:tc>
          <w:tcPr>
            <w:tcW w:w="1725" w:type="dxa"/>
            <w:tcBorders>
              <w:top w:val="single" w:sz="4" w:space="0" w:color="auto"/>
              <w:left w:val="single" w:sz="4" w:space="0" w:color="auto"/>
              <w:bottom w:val="single" w:sz="4" w:space="0" w:color="auto"/>
              <w:right w:val="single" w:sz="4" w:space="0" w:color="auto"/>
            </w:tcBorders>
          </w:tcPr>
          <w:bookmarkEnd w:id="1728"/>
          <w:p w14:paraId="76EF5F0B" w14:textId="77777777" w:rsidR="00B01D46" w:rsidRDefault="0067013E">
            <w:pPr>
              <w:spacing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Respondents </w:t>
            </w:r>
          </w:p>
        </w:tc>
        <w:tc>
          <w:tcPr>
            <w:tcW w:w="6180" w:type="dxa"/>
            <w:tcBorders>
              <w:top w:val="single" w:sz="4" w:space="0" w:color="auto"/>
              <w:left w:val="single" w:sz="4" w:space="0" w:color="auto"/>
              <w:bottom w:val="single" w:sz="4" w:space="0" w:color="auto"/>
              <w:right w:val="single" w:sz="4" w:space="0" w:color="auto"/>
            </w:tcBorders>
          </w:tcPr>
          <w:p w14:paraId="581E1651" w14:textId="77777777" w:rsidR="00B01D46" w:rsidRDefault="0067013E">
            <w:pPr>
              <w:spacing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Responses from the questionnaire</w:t>
            </w:r>
          </w:p>
        </w:tc>
      </w:tr>
      <w:tr w:rsidR="00B01D46" w14:paraId="385FC5A0" w14:textId="77777777">
        <w:trPr>
          <w:jc w:val="center"/>
        </w:trPr>
        <w:tc>
          <w:tcPr>
            <w:tcW w:w="1725" w:type="dxa"/>
            <w:tcBorders>
              <w:top w:val="single" w:sz="4" w:space="0" w:color="auto"/>
              <w:left w:val="single" w:sz="4" w:space="0" w:color="auto"/>
              <w:bottom w:val="single" w:sz="4" w:space="0" w:color="auto"/>
              <w:right w:val="single" w:sz="4" w:space="0" w:color="auto"/>
            </w:tcBorders>
          </w:tcPr>
          <w:p w14:paraId="78AD3056" w14:textId="77777777" w:rsidR="00B01D46" w:rsidRDefault="0067013E">
            <w:pPr>
              <w:spacing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LT 07</w:t>
            </w:r>
          </w:p>
        </w:tc>
        <w:tc>
          <w:tcPr>
            <w:tcW w:w="6180" w:type="dxa"/>
            <w:tcBorders>
              <w:top w:val="single" w:sz="4" w:space="0" w:color="auto"/>
              <w:left w:val="single" w:sz="4" w:space="0" w:color="auto"/>
              <w:bottom w:val="single" w:sz="4" w:space="0" w:color="auto"/>
              <w:right w:val="single" w:sz="4" w:space="0" w:color="auto"/>
            </w:tcBorders>
          </w:tcPr>
          <w:p w14:paraId="27245864"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Students don’t show interest in the ILS training</w:t>
            </w:r>
          </w:p>
        </w:tc>
      </w:tr>
      <w:tr w:rsidR="00B01D46" w14:paraId="42932353" w14:textId="77777777">
        <w:trPr>
          <w:jc w:val="center"/>
        </w:trPr>
        <w:tc>
          <w:tcPr>
            <w:tcW w:w="1725" w:type="dxa"/>
            <w:tcBorders>
              <w:top w:val="single" w:sz="4" w:space="0" w:color="auto"/>
              <w:left w:val="single" w:sz="4" w:space="0" w:color="auto"/>
              <w:bottom w:val="single" w:sz="4" w:space="0" w:color="auto"/>
              <w:right w:val="single" w:sz="4" w:space="0" w:color="auto"/>
            </w:tcBorders>
          </w:tcPr>
          <w:p w14:paraId="4D2D6809" w14:textId="77777777" w:rsidR="00B01D46" w:rsidRDefault="0067013E">
            <w:pPr>
              <w:spacing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LT16</w:t>
            </w:r>
          </w:p>
        </w:tc>
        <w:tc>
          <w:tcPr>
            <w:tcW w:w="6180" w:type="dxa"/>
            <w:tcBorders>
              <w:top w:val="single" w:sz="4" w:space="0" w:color="auto"/>
              <w:left w:val="single" w:sz="4" w:space="0" w:color="auto"/>
              <w:bottom w:val="single" w:sz="4" w:space="0" w:color="auto"/>
              <w:right w:val="single" w:sz="4" w:space="0" w:color="auto"/>
            </w:tcBorders>
          </w:tcPr>
          <w:p w14:paraId="61FD0419"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They still don’t write their research papers and clinicals to the required levels</w:t>
            </w:r>
          </w:p>
        </w:tc>
      </w:tr>
      <w:tr w:rsidR="00B01D46" w14:paraId="15CA88D7" w14:textId="77777777">
        <w:trPr>
          <w:jc w:val="center"/>
        </w:trPr>
        <w:tc>
          <w:tcPr>
            <w:tcW w:w="1725" w:type="dxa"/>
            <w:tcBorders>
              <w:top w:val="single" w:sz="4" w:space="0" w:color="auto"/>
              <w:left w:val="single" w:sz="4" w:space="0" w:color="auto"/>
              <w:bottom w:val="single" w:sz="4" w:space="0" w:color="auto"/>
              <w:right w:val="single" w:sz="4" w:space="0" w:color="auto"/>
            </w:tcBorders>
          </w:tcPr>
          <w:p w14:paraId="21BF04BD" w14:textId="77777777" w:rsidR="00B01D46" w:rsidRDefault="0067013E">
            <w:pPr>
              <w:spacing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LT 25</w:t>
            </w:r>
          </w:p>
        </w:tc>
        <w:tc>
          <w:tcPr>
            <w:tcW w:w="6180" w:type="dxa"/>
            <w:tcBorders>
              <w:top w:val="single" w:sz="4" w:space="0" w:color="auto"/>
              <w:left w:val="single" w:sz="4" w:space="0" w:color="auto"/>
              <w:bottom w:val="single" w:sz="4" w:space="0" w:color="auto"/>
              <w:right w:val="single" w:sz="4" w:space="0" w:color="auto"/>
            </w:tcBorders>
          </w:tcPr>
          <w:p w14:paraId="38259B7B"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Students state that it’s a waste of time</w:t>
            </w:r>
          </w:p>
        </w:tc>
      </w:tr>
      <w:tr w:rsidR="00B01D46" w14:paraId="2E87797A" w14:textId="77777777">
        <w:trPr>
          <w:jc w:val="center"/>
        </w:trPr>
        <w:tc>
          <w:tcPr>
            <w:tcW w:w="1725" w:type="dxa"/>
            <w:tcBorders>
              <w:top w:val="single" w:sz="4" w:space="0" w:color="auto"/>
              <w:left w:val="single" w:sz="4" w:space="0" w:color="auto"/>
              <w:bottom w:val="single" w:sz="4" w:space="0" w:color="auto"/>
              <w:right w:val="single" w:sz="4" w:space="0" w:color="auto"/>
            </w:tcBorders>
          </w:tcPr>
          <w:p w14:paraId="15F05AB4" w14:textId="77777777" w:rsidR="00B01D46" w:rsidRDefault="0067013E">
            <w:pPr>
              <w:spacing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LT 32</w:t>
            </w:r>
          </w:p>
        </w:tc>
        <w:tc>
          <w:tcPr>
            <w:tcW w:w="6180" w:type="dxa"/>
            <w:tcBorders>
              <w:top w:val="single" w:sz="4" w:space="0" w:color="auto"/>
              <w:left w:val="single" w:sz="4" w:space="0" w:color="auto"/>
              <w:bottom w:val="single" w:sz="4" w:space="0" w:color="auto"/>
              <w:right w:val="single" w:sz="4" w:space="0" w:color="auto"/>
            </w:tcBorders>
          </w:tcPr>
          <w:p w14:paraId="40D46084"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Students equate the training to library tour</w:t>
            </w:r>
          </w:p>
        </w:tc>
      </w:tr>
      <w:tr w:rsidR="00B01D46" w14:paraId="2C73960F" w14:textId="77777777">
        <w:trPr>
          <w:jc w:val="center"/>
        </w:trPr>
        <w:tc>
          <w:tcPr>
            <w:tcW w:w="1725" w:type="dxa"/>
            <w:tcBorders>
              <w:top w:val="single" w:sz="4" w:space="0" w:color="auto"/>
              <w:left w:val="single" w:sz="4" w:space="0" w:color="auto"/>
              <w:bottom w:val="single" w:sz="4" w:space="0" w:color="auto"/>
              <w:right w:val="single" w:sz="4" w:space="0" w:color="auto"/>
            </w:tcBorders>
          </w:tcPr>
          <w:p w14:paraId="1E4C08C7" w14:textId="77777777" w:rsidR="00B01D46" w:rsidRDefault="0067013E">
            <w:pPr>
              <w:spacing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LT 52</w:t>
            </w:r>
          </w:p>
        </w:tc>
        <w:tc>
          <w:tcPr>
            <w:tcW w:w="6180" w:type="dxa"/>
            <w:tcBorders>
              <w:top w:val="single" w:sz="4" w:space="0" w:color="auto"/>
              <w:left w:val="single" w:sz="4" w:space="0" w:color="auto"/>
              <w:bottom w:val="single" w:sz="4" w:space="0" w:color="auto"/>
              <w:right w:val="single" w:sz="4" w:space="0" w:color="auto"/>
            </w:tcBorders>
          </w:tcPr>
          <w:p w14:paraId="65F96A65"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Students are overconfident </w:t>
            </w:r>
          </w:p>
        </w:tc>
      </w:tr>
      <w:tr w:rsidR="00B01D46" w14:paraId="24FB53ED" w14:textId="77777777">
        <w:trPr>
          <w:jc w:val="center"/>
        </w:trPr>
        <w:tc>
          <w:tcPr>
            <w:tcW w:w="1725" w:type="dxa"/>
            <w:tcBorders>
              <w:top w:val="single" w:sz="4" w:space="0" w:color="auto"/>
              <w:left w:val="single" w:sz="4" w:space="0" w:color="auto"/>
              <w:bottom w:val="single" w:sz="4" w:space="0" w:color="auto"/>
              <w:right w:val="single" w:sz="4" w:space="0" w:color="auto"/>
            </w:tcBorders>
          </w:tcPr>
          <w:p w14:paraId="69509078" w14:textId="77777777" w:rsidR="00B01D46" w:rsidRDefault="0067013E">
            <w:pPr>
              <w:spacing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LT44</w:t>
            </w:r>
          </w:p>
        </w:tc>
        <w:tc>
          <w:tcPr>
            <w:tcW w:w="6180" w:type="dxa"/>
            <w:tcBorders>
              <w:top w:val="single" w:sz="4" w:space="0" w:color="auto"/>
              <w:left w:val="single" w:sz="4" w:space="0" w:color="auto"/>
              <w:bottom w:val="single" w:sz="4" w:space="0" w:color="auto"/>
              <w:right w:val="single" w:sz="4" w:space="0" w:color="auto"/>
            </w:tcBorders>
          </w:tcPr>
          <w:p w14:paraId="52C32F53"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Sometimes few students turn up for training</w:t>
            </w:r>
          </w:p>
        </w:tc>
      </w:tr>
      <w:tr w:rsidR="00B01D46" w14:paraId="6E049406" w14:textId="77777777">
        <w:trPr>
          <w:jc w:val="center"/>
        </w:trPr>
        <w:tc>
          <w:tcPr>
            <w:tcW w:w="1725" w:type="dxa"/>
            <w:tcBorders>
              <w:top w:val="single" w:sz="4" w:space="0" w:color="auto"/>
              <w:left w:val="single" w:sz="4" w:space="0" w:color="auto"/>
              <w:bottom w:val="single" w:sz="4" w:space="0" w:color="auto"/>
              <w:right w:val="single" w:sz="4" w:space="0" w:color="auto"/>
            </w:tcBorders>
          </w:tcPr>
          <w:p w14:paraId="58CF7D98" w14:textId="77777777" w:rsidR="00B01D46" w:rsidRDefault="0067013E">
            <w:pPr>
              <w:spacing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LT57</w:t>
            </w:r>
          </w:p>
        </w:tc>
        <w:tc>
          <w:tcPr>
            <w:tcW w:w="6180" w:type="dxa"/>
            <w:tcBorders>
              <w:top w:val="single" w:sz="4" w:space="0" w:color="auto"/>
              <w:left w:val="single" w:sz="4" w:space="0" w:color="auto"/>
              <w:bottom w:val="single" w:sz="4" w:space="0" w:color="auto"/>
              <w:right w:val="single" w:sz="4" w:space="0" w:color="auto"/>
            </w:tcBorders>
          </w:tcPr>
          <w:p w14:paraId="2B120989"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Don’t ask questions just sit there</w:t>
            </w:r>
          </w:p>
        </w:tc>
      </w:tr>
      <w:tr w:rsidR="00B01D46" w14:paraId="0F1A6A1B" w14:textId="77777777">
        <w:trPr>
          <w:jc w:val="center"/>
        </w:trPr>
        <w:tc>
          <w:tcPr>
            <w:tcW w:w="1725" w:type="dxa"/>
            <w:tcBorders>
              <w:top w:val="single" w:sz="4" w:space="0" w:color="auto"/>
              <w:left w:val="single" w:sz="4" w:space="0" w:color="auto"/>
              <w:bottom w:val="single" w:sz="4" w:space="0" w:color="auto"/>
              <w:right w:val="single" w:sz="4" w:space="0" w:color="auto"/>
            </w:tcBorders>
          </w:tcPr>
          <w:p w14:paraId="40AFA06B" w14:textId="77777777" w:rsidR="00B01D46" w:rsidRDefault="0067013E">
            <w:pPr>
              <w:spacing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LT60</w:t>
            </w:r>
          </w:p>
        </w:tc>
        <w:tc>
          <w:tcPr>
            <w:tcW w:w="6180" w:type="dxa"/>
            <w:tcBorders>
              <w:top w:val="single" w:sz="4" w:space="0" w:color="auto"/>
              <w:left w:val="single" w:sz="4" w:space="0" w:color="auto"/>
              <w:bottom w:val="single" w:sz="4" w:space="0" w:color="auto"/>
              <w:right w:val="single" w:sz="4" w:space="0" w:color="auto"/>
            </w:tcBorders>
          </w:tcPr>
          <w:p w14:paraId="2CA9F4A0" w14:textId="77777777" w:rsidR="00B01D46" w:rsidRDefault="0067013E">
            <w:pPr>
              <w:spacing w:line="240" w:lineRule="auto"/>
              <w:ind w:right="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Few students can evaluate information </w:t>
            </w:r>
          </w:p>
        </w:tc>
      </w:tr>
    </w:tbl>
    <w:p w14:paraId="03654855" w14:textId="77777777" w:rsidR="00B01D46" w:rsidRDefault="0067013E">
      <w:pPr>
        <w:spacing w:line="48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Source: </w:t>
      </w:r>
      <w:r>
        <w:rPr>
          <w:rFonts w:ascii="Times New Roman" w:eastAsia="Calibri" w:hAnsi="Times New Roman" w:cs="Times New Roman"/>
          <w:b/>
          <w:sz w:val="24"/>
          <w:szCs w:val="24"/>
        </w:rPr>
        <w:t xml:space="preserve">Field Data (2021) </w:t>
      </w:r>
      <w:r>
        <w:rPr>
          <w:rFonts w:ascii="Times New Roman" w:eastAsia="Calibri" w:hAnsi="Times New Roman" w:cs="Times New Roman"/>
          <w:b/>
          <w:bCs/>
          <w:sz w:val="24"/>
          <w:szCs w:val="24"/>
        </w:rPr>
        <w:t>Key: [LT-Lecturer]</w:t>
      </w:r>
    </w:p>
    <w:p w14:paraId="5F949308"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lecturers who believed that ILS training and learning has positively impacted the students, pointed out that students have learned how to locate information resources </w:t>
      </w:r>
      <w:r>
        <w:rPr>
          <w:rFonts w:ascii="Times New Roman" w:eastAsia="Calibri" w:hAnsi="Times New Roman" w:cs="Times New Roman"/>
          <w:sz w:val="24"/>
          <w:szCs w:val="24"/>
        </w:rPr>
        <w:lastRenderedPageBreak/>
        <w:t xml:space="preserve">in the library effortlessly, they have learned various ICT skills that have facilitated them to access information easily, they can write research papers among others. While the lecturer respondents who said that students had a negative attitude towards ILS training and learning stated that many students don’t show interest during the ILS training, few show up for the ILS training, students think ILS training is all about library tours, and they don’t ask any questions during the training. </w:t>
      </w:r>
    </w:p>
    <w:p w14:paraId="61D995E9"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results of interviews conducted with university librarians, heads of departments, and heads of medical librarians revealed that students have a negative attitude towards ILS learning and training and as such, </w:t>
      </w:r>
      <w:r>
        <w:rPr>
          <w:rFonts w:ascii="Times New Roman" w:hAnsi="Times New Roman" w:cs="Times New Roman"/>
          <w:sz w:val="24"/>
          <w:szCs w:val="24"/>
        </w:rPr>
        <w:t xml:space="preserve">absence of interest by the students, that they display casual attitudes when they are called upon to attend orientation programs, webinar seminar trainings on ILS, access and retrieval trainings and public talks with information literacy scholars. One </w:t>
      </w:r>
      <w:r>
        <w:rPr>
          <w:rFonts w:ascii="Times New Roman" w:eastAsia="Calibri" w:hAnsi="Times New Roman" w:cs="Times New Roman"/>
          <w:sz w:val="24"/>
          <w:szCs w:val="24"/>
        </w:rPr>
        <w:t>Head of department (HD04) noted:</w:t>
      </w:r>
    </w:p>
    <w:p w14:paraId="7358FD15" w14:textId="77777777" w:rsidR="00B01D46" w:rsidRDefault="0067013E">
      <w:pPr>
        <w:spacing w:line="240" w:lineRule="auto"/>
        <w:ind w:left="720" w:right="78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w:t>
      </w:r>
      <w:r>
        <w:rPr>
          <w:rFonts w:ascii="Times New Roman" w:eastAsia="Calibri" w:hAnsi="Times New Roman" w:cs="Times New Roman"/>
          <w:i/>
          <w:iCs/>
          <w:sz w:val="24"/>
          <w:szCs w:val="24"/>
        </w:rPr>
        <w:t>our students when called upon to attend ILS classes and training don’t attend, they lack interest. Majority of them have not become independent learners, don’t know how to avoid of plagiarism…</w:t>
      </w:r>
      <w:r>
        <w:rPr>
          <w:rFonts w:ascii="Times New Roman" w:eastAsia="Calibri" w:hAnsi="Times New Roman" w:cs="Times New Roman"/>
          <w:b/>
          <w:bCs/>
          <w:sz w:val="24"/>
          <w:szCs w:val="24"/>
        </w:rPr>
        <w:t xml:space="preserve">” </w:t>
      </w:r>
    </w:p>
    <w:p w14:paraId="37F20EFB"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One head medical librarian (MH02) said:</w:t>
      </w:r>
    </w:p>
    <w:p w14:paraId="5C3592DE" w14:textId="77777777" w:rsidR="00B01D46" w:rsidRDefault="0067013E">
      <w:pPr>
        <w:pStyle w:val="NoSpacing"/>
        <w:spacing w:before="120"/>
        <w:ind w:left="720" w:right="785" w:firstLine="0"/>
        <w:rPr>
          <w:rFonts w:ascii="Times New Roman" w:hAnsi="Times New Roman" w:cs="Times New Roman"/>
          <w:i/>
          <w:iCs/>
          <w:sz w:val="24"/>
          <w:szCs w:val="24"/>
        </w:rPr>
      </w:pPr>
      <w:r>
        <w:rPr>
          <w:rFonts w:ascii="Times New Roman" w:hAnsi="Times New Roman" w:cs="Times New Roman"/>
          <w:i/>
          <w:iCs/>
          <w:sz w:val="24"/>
          <w:szCs w:val="24"/>
        </w:rPr>
        <w:t>“…. Students are generally not positive on ILS learning and training….”</w:t>
      </w:r>
    </w:p>
    <w:p w14:paraId="0E5026C4" w14:textId="77777777" w:rsidR="00B01D46" w:rsidRDefault="0067013E">
      <w:pPr>
        <w:pStyle w:val="NoSpacing"/>
        <w:spacing w:before="120" w:line="480" w:lineRule="auto"/>
        <w:ind w:left="0" w:right="65" w:firstLine="0"/>
        <w:rPr>
          <w:rFonts w:ascii="Times New Roman" w:hAnsi="Times New Roman" w:cs="Times New Roman"/>
          <w:sz w:val="24"/>
          <w:szCs w:val="24"/>
        </w:rPr>
      </w:pPr>
      <w:r>
        <w:rPr>
          <w:rFonts w:ascii="Times New Roman" w:hAnsi="Times New Roman" w:cs="Times New Roman"/>
          <w:sz w:val="24"/>
          <w:szCs w:val="24"/>
        </w:rPr>
        <w:t>A university librarian (UL01) noted:</w:t>
      </w:r>
    </w:p>
    <w:p w14:paraId="33EBF80F" w14:textId="77777777" w:rsidR="00B01D46" w:rsidRDefault="0067013E">
      <w:pPr>
        <w:pStyle w:val="NoSpacing"/>
        <w:spacing w:before="120"/>
        <w:ind w:left="720" w:right="785" w:firstLine="0"/>
        <w:rPr>
          <w:rFonts w:ascii="Times New Roman" w:hAnsi="Times New Roman" w:cs="Times New Roman"/>
          <w:i/>
          <w:iCs/>
          <w:sz w:val="24"/>
          <w:szCs w:val="24"/>
        </w:rPr>
      </w:pPr>
      <w:r>
        <w:rPr>
          <w:rFonts w:ascii="Times New Roman" w:hAnsi="Times New Roman" w:cs="Times New Roman"/>
          <w:i/>
          <w:iCs/>
          <w:sz w:val="24"/>
          <w:szCs w:val="24"/>
        </w:rPr>
        <w:t>".... Only a few students attend the ILS training session. Again, the vast majority of individuals who attend depart before the ILS training sessions are completed. As a consequence, students bring their lecture notes to the library to study.... they seldom consult textbooks in both formats, and library attendance is relatively low, except at the end of the semester when students are preparing for end-of-semester examinations... This is a strong sign that our students are dissatisfied with ILS instruction..."</w:t>
      </w:r>
    </w:p>
    <w:p w14:paraId="7E981C88" w14:textId="77777777" w:rsidR="00B01D46" w:rsidRDefault="00B01D46">
      <w:pPr>
        <w:ind w:right="65"/>
        <w:rPr>
          <w:rFonts w:ascii="Times New Roman" w:hAnsi="Times New Roman" w:cs="Times New Roman"/>
          <w:sz w:val="24"/>
          <w:szCs w:val="24"/>
        </w:rPr>
      </w:pPr>
      <w:bookmarkStart w:id="1729" w:name="_Toc164664082"/>
      <w:bookmarkStart w:id="1730" w:name="_Toc165363492"/>
      <w:bookmarkStart w:id="1731" w:name="_Toc165365266"/>
      <w:bookmarkStart w:id="1732" w:name="_Toc165369291"/>
    </w:p>
    <w:p w14:paraId="2C8B7961" w14:textId="77777777" w:rsidR="00B01D46" w:rsidRDefault="0067013E">
      <w:pPr>
        <w:spacing w:after="0" w:line="240" w:lineRule="auto"/>
        <w:rPr>
          <w:rFonts w:ascii="Times New Roman" w:eastAsiaTheme="majorEastAsia" w:hAnsi="Times New Roman" w:cstheme="majorBidi"/>
          <w:b/>
          <w:iCs/>
          <w:color w:val="000000" w:themeColor="text1"/>
          <w:sz w:val="24"/>
        </w:rPr>
      </w:pPr>
      <w:bookmarkStart w:id="1733" w:name="_Toc165975862"/>
      <w:bookmarkStart w:id="1734" w:name="_Toc165973141"/>
      <w:r>
        <w:br w:type="page"/>
      </w:r>
    </w:p>
    <w:p w14:paraId="7DBC4E55" w14:textId="77777777" w:rsidR="00B01D46" w:rsidRDefault="0067013E">
      <w:pPr>
        <w:pStyle w:val="Heading4"/>
      </w:pPr>
      <w:bookmarkStart w:id="1735" w:name="_Toc184272956"/>
      <w:r>
        <w:lastRenderedPageBreak/>
        <w:t>5.4.3.2 Experience after ILS Training</w:t>
      </w:r>
      <w:bookmarkEnd w:id="1729"/>
      <w:bookmarkEnd w:id="1730"/>
      <w:bookmarkEnd w:id="1731"/>
      <w:bookmarkEnd w:id="1732"/>
      <w:bookmarkEnd w:id="1733"/>
      <w:bookmarkEnd w:id="1734"/>
      <w:bookmarkEnd w:id="1735"/>
      <w:r>
        <w:t xml:space="preserve">  </w:t>
      </w:r>
    </w:p>
    <w:p w14:paraId="3C1619C0" w14:textId="77777777" w:rsidR="00B01D46" w:rsidRDefault="0067013E">
      <w:pPr>
        <w:ind w:right="65"/>
        <w:rPr>
          <w:rFonts w:ascii="Times New Roman" w:hAnsi="Times New Roman" w:cs="Times New Roman"/>
          <w:b/>
          <w:sz w:val="24"/>
          <w:szCs w:val="24"/>
        </w:rPr>
      </w:pPr>
      <w:bookmarkStart w:id="1736" w:name="_Toc165365267"/>
      <w:bookmarkStart w:id="1737" w:name="_Toc165363493"/>
      <w:bookmarkStart w:id="1738" w:name="_Toc165369292"/>
      <w:bookmarkStart w:id="1739" w:name="_Toc164664083"/>
      <w:r>
        <w:rPr>
          <w:rFonts w:ascii="Times New Roman" w:hAnsi="Times New Roman" w:cs="Times New Roman"/>
          <w:b/>
          <w:sz w:val="24"/>
          <w:szCs w:val="24"/>
        </w:rPr>
        <w:t>Students’ Library Experience after ILS Training</w:t>
      </w:r>
      <w:bookmarkEnd w:id="1736"/>
      <w:bookmarkEnd w:id="1737"/>
      <w:bookmarkEnd w:id="1738"/>
      <w:bookmarkEnd w:id="1739"/>
      <w:r>
        <w:rPr>
          <w:rFonts w:ascii="Times New Roman" w:hAnsi="Times New Roman" w:cs="Times New Roman"/>
          <w:b/>
          <w:sz w:val="24"/>
          <w:szCs w:val="24"/>
        </w:rPr>
        <w:t xml:space="preserve">  </w:t>
      </w:r>
    </w:p>
    <w:p w14:paraId="36E6B2CB" w14:textId="77777777" w:rsidR="00B01D46" w:rsidRDefault="0067013E">
      <w:pPr>
        <w:autoSpaceDE w:val="0"/>
        <w:autoSpaceDN w:val="0"/>
        <w:adjustRightInd w:val="0"/>
        <w:spacing w:before="120" w:after="0" w:line="48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respondents were required to rate their library experience after undergoing ILS training. The items were as shown in Table 5.21 There was a total of 5 items measuring this variable. The students who participated in this study </w:t>
      </w:r>
      <w:bookmarkStart w:id="1740" w:name="_Hlk101877921"/>
      <w:r>
        <w:rPr>
          <w:rFonts w:ascii="Times New Roman" w:eastAsia="Calibri" w:hAnsi="Times New Roman" w:cs="Times New Roman"/>
          <w:color w:val="000000"/>
          <w:sz w:val="24"/>
          <w:szCs w:val="24"/>
        </w:rPr>
        <w:t>were asked to score the items in this section based on how strongly they disagreed or strongly agreed with them.</w:t>
      </w:r>
    </w:p>
    <w:p w14:paraId="4B65D9A1" w14:textId="77777777" w:rsidR="00B01D46" w:rsidRDefault="00B01D46">
      <w:pPr>
        <w:autoSpaceDE w:val="0"/>
        <w:autoSpaceDN w:val="0"/>
        <w:adjustRightInd w:val="0"/>
        <w:spacing w:after="0" w:line="240" w:lineRule="auto"/>
        <w:ind w:right="65"/>
        <w:jc w:val="both"/>
        <w:rPr>
          <w:rFonts w:ascii="Times New Roman" w:eastAsia="Calibri" w:hAnsi="Times New Roman" w:cs="Times New Roman"/>
          <w:color w:val="000000"/>
          <w:sz w:val="24"/>
          <w:szCs w:val="24"/>
        </w:rPr>
      </w:pPr>
    </w:p>
    <w:p w14:paraId="1D5AE50F" w14:textId="77777777" w:rsidR="00B01D46" w:rsidRDefault="0067013E">
      <w:pPr>
        <w:pStyle w:val="Caption"/>
      </w:pPr>
      <w:bookmarkStart w:id="1741" w:name="_Hlk159793807"/>
      <w:r>
        <w:rPr>
          <w:color w:val="000000"/>
        </w:rPr>
        <w:t xml:space="preserve"> </w:t>
      </w:r>
      <w:bookmarkStart w:id="1742" w:name="_Toc184276926"/>
      <w:bookmarkStart w:id="1743" w:name="_Toc165975863"/>
      <w:bookmarkStart w:id="1744" w:name="_Toc184272016"/>
      <w:bookmarkStart w:id="1745" w:name="_Toc165973142"/>
      <w:r>
        <w:t>Table 5.21: Students’ Library Experience after ILS Training (N=255)</w:t>
      </w:r>
      <w:bookmarkEnd w:id="1742"/>
      <w:bookmarkEnd w:id="1743"/>
      <w:bookmarkEnd w:id="1744"/>
      <w:bookmarkEnd w:id="1745"/>
      <w:r>
        <w:t xml:space="preserve"> </w:t>
      </w:r>
    </w:p>
    <w:bookmarkEnd w:id="1741"/>
    <w:p w14:paraId="431235AF" w14:textId="77777777" w:rsidR="00B01D46" w:rsidRDefault="0067013E">
      <w:pPr>
        <w:autoSpaceDE w:val="0"/>
        <w:autoSpaceDN w:val="0"/>
        <w:adjustRightInd w:val="0"/>
        <w:spacing w:before="120" w:after="0" w:line="480" w:lineRule="auto"/>
        <w:ind w:right="65"/>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BA9616" wp14:editId="6A1C97FE">
            <wp:extent cx="5064125" cy="1341755"/>
            <wp:effectExtent l="0" t="0" r="3175" b="0"/>
            <wp:docPr id="647517589" name="Picture 647517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517589" name="Picture 64751758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090594" cy="1348832"/>
                    </a:xfrm>
                    <a:prstGeom prst="rect">
                      <a:avLst/>
                    </a:prstGeom>
                    <a:noFill/>
                    <a:ln>
                      <a:noFill/>
                    </a:ln>
                  </pic:spPr>
                </pic:pic>
              </a:graphicData>
            </a:graphic>
          </wp:inline>
        </w:drawing>
      </w:r>
    </w:p>
    <w:p w14:paraId="2CA24E1F" w14:textId="77777777" w:rsidR="00B01D46" w:rsidRDefault="0067013E">
      <w:pPr>
        <w:autoSpaceDE w:val="0"/>
        <w:autoSpaceDN w:val="0"/>
        <w:adjustRightInd w:val="0"/>
        <w:spacing w:after="0" w:line="480" w:lineRule="auto"/>
        <w:ind w:right="65"/>
        <w:jc w:val="both"/>
        <w:rPr>
          <w:rFonts w:ascii="Times New Roman" w:eastAsia="Calibri" w:hAnsi="Times New Roman" w:cs="Times New Roman"/>
          <w:b/>
          <w:i/>
          <w:sz w:val="24"/>
          <w:szCs w:val="24"/>
        </w:rPr>
      </w:pPr>
      <w:r>
        <w:rPr>
          <w:rFonts w:ascii="Times New Roman" w:eastAsia="Calibri" w:hAnsi="Times New Roman" w:cs="Times New Roman"/>
          <w:b/>
          <w:bCs/>
          <w:i/>
          <w:sz w:val="24"/>
          <w:szCs w:val="24"/>
        </w:rPr>
        <w:t>Source:</w:t>
      </w:r>
      <w:r>
        <w:rPr>
          <w:rFonts w:ascii="Times New Roman" w:eastAsia="Calibri" w:hAnsi="Times New Roman" w:cs="Times New Roman"/>
          <w:b/>
          <w:i/>
          <w:sz w:val="24"/>
          <w:szCs w:val="24"/>
        </w:rPr>
        <w:t xml:space="preserve"> Field data (2021)</w:t>
      </w:r>
    </w:p>
    <w:bookmarkEnd w:id="1740"/>
    <w:p w14:paraId="699BC30A"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results in Table 19, revealed that </w:t>
      </w:r>
      <w:r>
        <w:rPr>
          <w:rFonts w:ascii="Times New Roman" w:hAnsi="Times New Roman" w:cs="Times New Roman"/>
          <w:sz w:val="24"/>
          <w:szCs w:val="24"/>
        </w:rPr>
        <w:t xml:space="preserve">189 (74.11%), 198 (77.64%), and 186 (72.94%) of the respondents agreed that they use the library resources to write term papers and to satisfy their general information needs, that they know how to easily get specific titles using the library's online public access library catalogue, and that they can find and use various library resources such as books, journals, and audiovisual videos. In contrast, 39 (15.29%), 42 (16.47%), and 40 (15.68%) of respondents disagreed that they use library resources to write term papers and satisfy general information needs, that they know how to easily get specific titles using the library's online public access catalogue, and that they can find and use various library resources such as books, journals, and audiovisual videos </w:t>
      </w:r>
      <w:r>
        <w:rPr>
          <w:rFonts w:ascii="Times New Roman" w:eastAsia="Times New Roman" w:hAnsi="Times New Roman" w:cs="Times New Roman"/>
          <w:color w:val="000000"/>
          <w:sz w:val="24"/>
          <w:szCs w:val="24"/>
        </w:rPr>
        <w:t xml:space="preserve">correspondingly. </w:t>
      </w:r>
      <w:r>
        <w:rPr>
          <w:rFonts w:ascii="Times New Roman" w:eastAsia="Calibri" w:hAnsi="Times New Roman" w:cs="Times New Roman"/>
          <w:sz w:val="24"/>
          <w:szCs w:val="24"/>
        </w:rPr>
        <w:t xml:space="preserve"> </w:t>
      </w:r>
    </w:p>
    <w:p w14:paraId="1796574A"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In addition, 191(74.90%) and 183(71.76%) agreed that they can evaluate the various sources of information and they know how to access e-resources off-campus and on campus. However, 24(9.41%) and 9(3.52%) of the respondents were undecided that they can evaluate the various sources of information materials and know how to access e-resources off-campus and on-campus respectively.</w:t>
      </w:r>
    </w:p>
    <w:p w14:paraId="7D9F60A2" w14:textId="77777777" w:rsidR="00B01D46" w:rsidRDefault="00B01D46">
      <w:pPr>
        <w:spacing w:after="0" w:line="240" w:lineRule="auto"/>
        <w:ind w:right="65"/>
        <w:jc w:val="both"/>
        <w:rPr>
          <w:rFonts w:ascii="Times New Roman" w:eastAsia="Times New Roman" w:hAnsi="Times New Roman" w:cs="Times New Roman"/>
          <w:color w:val="000000"/>
          <w:sz w:val="24"/>
          <w:szCs w:val="24"/>
        </w:rPr>
      </w:pPr>
    </w:p>
    <w:p w14:paraId="664B343D" w14:textId="77777777" w:rsidR="00B01D46" w:rsidRDefault="0067013E">
      <w:pPr>
        <w:ind w:right="65"/>
        <w:rPr>
          <w:rFonts w:ascii="Times New Roman" w:hAnsi="Times New Roman" w:cs="Times New Roman"/>
          <w:b/>
          <w:sz w:val="24"/>
          <w:szCs w:val="24"/>
        </w:rPr>
      </w:pPr>
      <w:bookmarkStart w:id="1746" w:name="_Toc165365268"/>
      <w:bookmarkStart w:id="1747" w:name="_Toc165369294"/>
      <w:bookmarkStart w:id="1748" w:name="_Toc164664084"/>
      <w:bookmarkStart w:id="1749" w:name="_Toc165363494"/>
      <w:r>
        <w:rPr>
          <w:rFonts w:ascii="Times New Roman" w:hAnsi="Times New Roman" w:cs="Times New Roman"/>
          <w:b/>
          <w:sz w:val="24"/>
          <w:szCs w:val="24"/>
        </w:rPr>
        <w:t>Lecturers’ Response on Students’ Library Experience after ILS Training</w:t>
      </w:r>
      <w:bookmarkEnd w:id="1746"/>
      <w:bookmarkEnd w:id="1747"/>
      <w:bookmarkEnd w:id="1748"/>
      <w:bookmarkEnd w:id="1749"/>
    </w:p>
    <w:p w14:paraId="6E1FFF12"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Lecturers were required to respond to students’ library experience after ILS training and learning. Table 5.19 presents the results. </w:t>
      </w:r>
    </w:p>
    <w:p w14:paraId="5C89397E" w14:textId="77777777" w:rsidR="00B01D46" w:rsidRDefault="00B01D46">
      <w:pPr>
        <w:spacing w:after="0" w:line="240" w:lineRule="auto"/>
        <w:ind w:right="65"/>
        <w:jc w:val="both"/>
        <w:rPr>
          <w:rFonts w:ascii="Times New Roman" w:eastAsia="Calibri" w:hAnsi="Times New Roman" w:cs="Times New Roman"/>
          <w:sz w:val="24"/>
          <w:szCs w:val="24"/>
        </w:rPr>
      </w:pPr>
    </w:p>
    <w:p w14:paraId="176F7C9B" w14:textId="77777777" w:rsidR="00B01D46" w:rsidRDefault="0067013E">
      <w:pPr>
        <w:pStyle w:val="Caption"/>
      </w:pPr>
      <w:bookmarkStart w:id="1750" w:name="_Toc184272017"/>
      <w:bookmarkStart w:id="1751" w:name="_Toc184276927"/>
      <w:bookmarkStart w:id="1752" w:name="_Toc165975864"/>
      <w:bookmarkStart w:id="1753" w:name="_Toc165973143"/>
      <w:bookmarkStart w:id="1754" w:name="_Hlk159793846"/>
      <w:r>
        <w:t xml:space="preserve">Table 5.22: </w:t>
      </w:r>
      <w:bookmarkStart w:id="1755" w:name="_Hlk101881804"/>
      <w:r>
        <w:t>Lecturers’ Response on Students’ Library Experience after ILS Training (N=62)</w:t>
      </w:r>
      <w:bookmarkEnd w:id="1750"/>
      <w:bookmarkEnd w:id="1751"/>
      <w:bookmarkEnd w:id="1752"/>
      <w:bookmarkEnd w:id="1753"/>
    </w:p>
    <w:bookmarkEnd w:id="1754"/>
    <w:p w14:paraId="2B0BF404" w14:textId="77777777" w:rsidR="00B01D46" w:rsidRDefault="0067013E">
      <w:pPr>
        <w:spacing w:before="120" w:after="0" w:line="240" w:lineRule="auto"/>
        <w:ind w:right="65"/>
        <w:jc w:val="both"/>
        <w:rPr>
          <w:rFonts w:ascii="Times New Roman" w:eastAsia="Calibri" w:hAnsi="Times New Roman" w:cs="Times New Roman"/>
          <w:b/>
          <w:bCs/>
          <w:sz w:val="24"/>
          <w:szCs w:val="24"/>
        </w:rPr>
      </w:pPr>
      <w:r>
        <w:rPr>
          <w:rFonts w:ascii="Times New Roman" w:hAnsi="Times New Roman" w:cs="Times New Roman"/>
          <w:noProof/>
          <w:sz w:val="24"/>
          <w:szCs w:val="24"/>
        </w:rPr>
        <w:drawing>
          <wp:inline distT="0" distB="0" distL="0" distR="0" wp14:anchorId="65FFD3FC" wp14:editId="22745180">
            <wp:extent cx="5120640" cy="1478915"/>
            <wp:effectExtent l="0" t="0" r="3810" b="6985"/>
            <wp:docPr id="284747928" name="Picture 28474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47928" name="Picture 28474792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267111" cy="1521798"/>
                    </a:xfrm>
                    <a:prstGeom prst="rect">
                      <a:avLst/>
                    </a:prstGeom>
                    <a:noFill/>
                    <a:ln>
                      <a:noFill/>
                    </a:ln>
                  </pic:spPr>
                </pic:pic>
              </a:graphicData>
            </a:graphic>
          </wp:inline>
        </w:drawing>
      </w:r>
    </w:p>
    <w:p w14:paraId="049D0FA7" w14:textId="77777777" w:rsidR="00B01D46" w:rsidRDefault="0067013E">
      <w:pPr>
        <w:spacing w:before="120" w:after="0" w:line="240" w:lineRule="auto"/>
        <w:ind w:right="65"/>
        <w:jc w:val="both"/>
        <w:rPr>
          <w:rFonts w:ascii="Times New Roman" w:eastAsia="Calibri" w:hAnsi="Times New Roman" w:cs="Times New Roman"/>
          <w:b/>
          <w:i/>
          <w:sz w:val="24"/>
          <w:szCs w:val="24"/>
        </w:rPr>
      </w:pPr>
      <w:r>
        <w:rPr>
          <w:rFonts w:ascii="Times New Roman" w:eastAsia="Calibri" w:hAnsi="Times New Roman" w:cs="Times New Roman"/>
          <w:b/>
          <w:bCs/>
          <w:i/>
          <w:sz w:val="24"/>
          <w:szCs w:val="24"/>
        </w:rPr>
        <w:t>Source:</w:t>
      </w:r>
      <w:r>
        <w:rPr>
          <w:rFonts w:ascii="Times New Roman" w:eastAsia="Calibri" w:hAnsi="Times New Roman" w:cs="Times New Roman"/>
          <w:b/>
          <w:i/>
          <w:sz w:val="24"/>
          <w:szCs w:val="24"/>
        </w:rPr>
        <w:t xml:space="preserve"> Field data (2021)</w:t>
      </w:r>
    </w:p>
    <w:p w14:paraId="186E371D" w14:textId="77777777" w:rsidR="00B01D46" w:rsidRDefault="00B01D46">
      <w:pPr>
        <w:spacing w:before="120" w:after="0" w:line="240" w:lineRule="auto"/>
        <w:ind w:right="65"/>
        <w:jc w:val="both"/>
        <w:rPr>
          <w:rFonts w:ascii="Times New Roman" w:eastAsia="Calibri" w:hAnsi="Times New Roman" w:cs="Times New Roman"/>
          <w:b/>
          <w:i/>
          <w:sz w:val="24"/>
          <w:szCs w:val="24"/>
        </w:rPr>
      </w:pPr>
    </w:p>
    <w:bookmarkEnd w:id="1755"/>
    <w:p w14:paraId="574504E9" w14:textId="54472ABE"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 xml:space="preserve">Respondents were asked to describe students’ library experience after undergoing ILS training and learning. The results indicated that 52 (83.87%), 53 (85.48%), </w:t>
      </w:r>
      <w:r>
        <w:rPr>
          <w:rFonts w:ascii="Times New Roman" w:eastAsia="Times New Roman" w:hAnsi="Times New Roman" w:cs="Times New Roman"/>
          <w:color w:val="000000"/>
          <w:sz w:val="24"/>
          <w:szCs w:val="24"/>
        </w:rPr>
        <w:t xml:space="preserve">56 (90.32%), and 54 (87.09%) </w:t>
      </w:r>
      <w:r>
        <w:rPr>
          <w:rFonts w:ascii="Times New Roman" w:eastAsia="Calibri" w:hAnsi="Times New Roman" w:cs="Times New Roman"/>
          <w:sz w:val="24"/>
          <w:szCs w:val="24"/>
        </w:rPr>
        <w:t xml:space="preserve">of the </w:t>
      </w:r>
      <w:r w:rsidR="00827817">
        <w:rPr>
          <w:rFonts w:ascii="Times New Roman" w:eastAsia="Calibri" w:hAnsi="Times New Roman" w:cs="Times New Roman"/>
          <w:sz w:val="24"/>
          <w:szCs w:val="24"/>
        </w:rPr>
        <w:t>lecturers’</w:t>
      </w:r>
      <w:r>
        <w:rPr>
          <w:rFonts w:ascii="Times New Roman" w:eastAsia="Calibri" w:hAnsi="Times New Roman" w:cs="Times New Roman"/>
          <w:sz w:val="24"/>
          <w:szCs w:val="24"/>
        </w:rPr>
        <w:t xml:space="preserve"> respondents agreed that students utilize library resources to write their term papers and satisfy their general information needs, know </w:t>
      </w:r>
      <w:r>
        <w:rPr>
          <w:rFonts w:ascii="Times New Roman" w:eastAsia="Times New Roman" w:hAnsi="Times New Roman" w:cs="Times New Roman"/>
          <w:color w:val="000000"/>
          <w:sz w:val="24"/>
          <w:szCs w:val="24"/>
        </w:rPr>
        <w:t xml:space="preserve">how to get specific titles easily using library online public access library catalog, can find and exploit various types of library information materials like books, journals, and audiovisual material without any hitch, correspondingly. </w:t>
      </w:r>
    </w:p>
    <w:p w14:paraId="0DDA5363"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However, </w:t>
      </w:r>
      <w:r>
        <w:rPr>
          <w:rFonts w:ascii="Times New Roman" w:eastAsia="Calibri" w:hAnsi="Times New Roman" w:cs="Times New Roman"/>
          <w:sz w:val="24"/>
          <w:szCs w:val="24"/>
        </w:rPr>
        <w:t xml:space="preserve">6 (9.68%), </w:t>
      </w:r>
      <w:r>
        <w:rPr>
          <w:rFonts w:ascii="Times New Roman" w:eastAsia="Times New Roman" w:hAnsi="Times New Roman" w:cs="Times New Roman"/>
          <w:color w:val="000000"/>
          <w:sz w:val="24"/>
          <w:szCs w:val="24"/>
        </w:rPr>
        <w:t xml:space="preserve">6 (9.68%), 3 (4.84%), 6 (9.68%) and 8 (12.90%) </w:t>
      </w:r>
      <w:r>
        <w:rPr>
          <w:rFonts w:ascii="Times New Roman" w:eastAsia="Calibri" w:hAnsi="Times New Roman" w:cs="Times New Roman"/>
          <w:sz w:val="24"/>
          <w:szCs w:val="24"/>
        </w:rPr>
        <w:t xml:space="preserve">of the respondents gainsaid that students consult library information materials to write their </w:t>
      </w:r>
      <w:r>
        <w:rPr>
          <w:rFonts w:ascii="Times New Roman" w:eastAsia="Calibri" w:hAnsi="Times New Roman" w:cs="Times New Roman"/>
          <w:sz w:val="24"/>
          <w:szCs w:val="24"/>
        </w:rPr>
        <w:lastRenderedPageBreak/>
        <w:t xml:space="preserve">term papers and satisfy their general information needs, </w:t>
      </w:r>
      <w:r>
        <w:rPr>
          <w:rFonts w:ascii="Times New Roman" w:eastAsia="Times New Roman" w:hAnsi="Times New Roman" w:cs="Times New Roman"/>
          <w:color w:val="000000"/>
          <w:sz w:val="24"/>
          <w:szCs w:val="24"/>
        </w:rPr>
        <w:t xml:space="preserve">know how to get specific titles easily using the library’s online catalog,  they can find and use various library resources like books, journals, and audiovisual videos in the library, understand how to access e-resources off-campus and on-campus basis and can evaluate the various sources of information materials in that order. </w:t>
      </w:r>
      <w:r>
        <w:rPr>
          <w:rFonts w:ascii="Times New Roman" w:eastAsia="Calibri" w:hAnsi="Times New Roman" w:cs="Times New Roman"/>
          <w:sz w:val="24"/>
          <w:szCs w:val="24"/>
        </w:rPr>
        <w:t xml:space="preserve"> </w:t>
      </w:r>
    </w:p>
    <w:p w14:paraId="0BBDB04B"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University librarians, heads of departments, and heads of medical librarians who were interviewed stated that after undergoing ILS training and learning, those undergraduate medical students who attend the training are able to seek  for information materials in the library without any problems, they know the various information sources available in the library, usage of online information resources had greatly improved, </w:t>
      </w:r>
      <w:r>
        <w:rPr>
          <w:rFonts w:ascii="Times New Roman" w:eastAsia="Calibri" w:hAnsi="Times New Roman" w:cs="Times New Roman"/>
          <w:sz w:val="24"/>
          <w:szCs w:val="24"/>
        </w:rPr>
        <w:t>reference questions at the information/reference desk had reduced,  there was satisfactory behavior in the library</w:t>
      </w:r>
      <w:r>
        <w:rPr>
          <w:rFonts w:ascii="Times New Roman" w:eastAsia="Times New Roman" w:hAnsi="Times New Roman" w:cs="Times New Roman"/>
          <w:color w:val="000000"/>
          <w:sz w:val="24"/>
          <w:szCs w:val="24"/>
        </w:rPr>
        <w:t>, the ability to consult  numerous information sources when writing their term papers, students were able</w:t>
      </w:r>
      <w:r>
        <w:rPr>
          <w:rFonts w:ascii="Times New Roman" w:eastAsia="Calibri" w:hAnsi="Times New Roman" w:cs="Times New Roman"/>
          <w:sz w:val="24"/>
          <w:szCs w:val="24"/>
        </w:rPr>
        <w:t xml:space="preserve"> to determine the authoritativeness,   correctness, and reliability of the information sources. . In support of statements made during the interview, </w:t>
      </w:r>
      <w:r>
        <w:rPr>
          <w:rFonts w:ascii="Times New Roman" w:eastAsia="Times New Roman" w:hAnsi="Times New Roman" w:cs="Times New Roman"/>
          <w:color w:val="000000"/>
          <w:sz w:val="24"/>
          <w:szCs w:val="24"/>
        </w:rPr>
        <w:t xml:space="preserve">head medical librarian (ML02) had this to say: </w:t>
      </w:r>
    </w:p>
    <w:p w14:paraId="0720F0FC" w14:textId="77777777" w:rsidR="00B01D46" w:rsidRDefault="0067013E">
      <w:pPr>
        <w:spacing w:before="120" w:after="0" w:line="240" w:lineRule="auto"/>
        <w:ind w:left="720" w:right="785"/>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 Through ILS learning students </w:t>
      </w:r>
      <w:r>
        <w:rPr>
          <w:rFonts w:ascii="Times New Roman" w:eastAsia="Calibri" w:hAnsi="Times New Roman" w:cs="Times New Roman"/>
          <w:i/>
          <w:iCs/>
          <w:sz w:val="24"/>
          <w:szCs w:val="24"/>
        </w:rPr>
        <w:t>can understand the correctness, precision, and reliability of the information sources they are using. Students are able to determine and recognize their</w:t>
      </w:r>
      <w:r>
        <w:rPr>
          <w:rFonts w:ascii="Times New Roman" w:eastAsia="Times New Roman" w:hAnsi="Times New Roman" w:cs="Times New Roman"/>
          <w:i/>
          <w:iCs/>
          <w:color w:val="000000"/>
          <w:sz w:val="24"/>
          <w:szCs w:val="24"/>
        </w:rPr>
        <w:t xml:space="preserve"> individual information needs accurately, as a result, student information requests and inquiries are no longer vague compared to the past…”</w:t>
      </w:r>
    </w:p>
    <w:p w14:paraId="15C9AED1"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university librarian (UL01) commented: </w:t>
      </w:r>
    </w:p>
    <w:p w14:paraId="75445566" w14:textId="77777777" w:rsidR="00B01D46" w:rsidRDefault="0067013E">
      <w:pPr>
        <w:spacing w:before="120" w:after="0" w:line="240" w:lineRule="auto"/>
        <w:ind w:left="720" w:right="785"/>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After undergoing ILS training, those students who attend the trainings have built independent learning skills to deal with the explosion of information…as evident in the way they search for information in the library...”</w:t>
      </w:r>
    </w:p>
    <w:p w14:paraId="598D2336" w14:textId="77777777" w:rsidR="00B01D46" w:rsidRDefault="0067013E">
      <w:pPr>
        <w:autoSpaceDE w:val="0"/>
        <w:autoSpaceDN w:val="0"/>
        <w:adjustRightInd w:val="0"/>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findings indicate that the majority of students have a negative attitude towards ILS instruction and learning. However, the data show that students who </w:t>
      </w:r>
      <w:r>
        <w:rPr>
          <w:rFonts w:ascii="Times New Roman" w:eastAsia="Calibri" w:hAnsi="Times New Roman" w:cs="Times New Roman"/>
          <w:sz w:val="24"/>
          <w:szCs w:val="24"/>
        </w:rPr>
        <w:lastRenderedPageBreak/>
        <w:t>devote their time to ILS training and learning gain abilities that allow them to use information appropriately and write authentic and well-referenced term papers.</w:t>
      </w:r>
    </w:p>
    <w:p w14:paraId="168CC3E2" w14:textId="77777777" w:rsidR="00B01D46" w:rsidRDefault="0067013E">
      <w:pPr>
        <w:pStyle w:val="Heading3"/>
        <w:ind w:left="630" w:hanging="630"/>
      </w:pPr>
      <w:bookmarkStart w:id="1756" w:name="_Toc165369296"/>
      <w:bookmarkStart w:id="1757" w:name="_Toc164664085"/>
      <w:bookmarkStart w:id="1758" w:name="_Toc165365269"/>
      <w:bookmarkStart w:id="1759" w:name="_Toc184272957"/>
      <w:bookmarkStart w:id="1760" w:name="_Toc165363495"/>
      <w:bookmarkStart w:id="1761" w:name="_Toc165975865"/>
      <w:bookmarkStart w:id="1762" w:name="_Toc165973144"/>
      <w:r>
        <w:t>5.4.4 Knowledge and Skills Possessed by Staff Facilitating ILS among Medical Undergraduate Students.</w:t>
      </w:r>
      <w:bookmarkEnd w:id="1756"/>
      <w:bookmarkEnd w:id="1757"/>
      <w:bookmarkEnd w:id="1758"/>
      <w:bookmarkEnd w:id="1759"/>
      <w:bookmarkEnd w:id="1760"/>
      <w:bookmarkEnd w:id="1761"/>
      <w:bookmarkEnd w:id="1762"/>
      <w:r>
        <w:t xml:space="preserve"> </w:t>
      </w:r>
    </w:p>
    <w:p w14:paraId="314372D8" w14:textId="77777777" w:rsidR="00B01D46" w:rsidRDefault="0067013E">
      <w:pPr>
        <w:autoSpaceDE w:val="0"/>
        <w:autoSpaceDN w:val="0"/>
        <w:adjustRightInd w:val="0"/>
        <w:spacing w:after="0" w:line="480" w:lineRule="auto"/>
        <w:ind w:right="6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Gatero (2011) states an individual must possess ILS knowledge and skills for effectual tutelage (training) and utilization of information resources in both hardcopy and softcopy formats. The higher thinking skills facet of Bond’s Sauce model (Bond, 2011) was adopted to underpin knowledge and skills possessed by staff in facilitating ILS because it encompasses the capability to understand, scrutinize, synthesize and assess information for operative problem-solving and decision-making. The theory also helps investigate how lecturers and librarians are helping students to find, investigate, and analyze information to derive a personal perspective. How successfully staff carry out this task is pegged on their ILS competencies. The Cronbach’s Alpha values for this question were 0.831 for items in the students’ questionnaire. This suggested a high internal validity of the test items. The research question sought to find out </w:t>
      </w:r>
      <w:r>
        <w:rPr>
          <w:rFonts w:ascii="Times New Roman" w:eastAsia="Calibri" w:hAnsi="Times New Roman" w:cs="Times New Roman"/>
          <w:i/>
          <w:sz w:val="24"/>
          <w:szCs w:val="24"/>
        </w:rPr>
        <w:t>the knowledge and skills possessed by staff of the University of Nairobi and Moi University in facilitating ILS among medical undergraduate students?</w:t>
      </w:r>
      <w:r>
        <w:rPr>
          <w:rFonts w:ascii="Times New Roman" w:eastAsia="Calibri" w:hAnsi="Times New Roman" w:cs="Times New Roman"/>
          <w:sz w:val="24"/>
          <w:szCs w:val="24"/>
        </w:rPr>
        <w:t>’ Questions F (1-2) of the questionnaire for students (Appendix I), questions F (1-2) of the questionnaire for lecturers (Appendix II), questions F (1-6) of the interview schedule for heads of department (Appendix III), questions F (1-5) of the interview schedule for university librarians (Appendix IV) and questions F (1-7) of the interview schedule for heads of medical librarians (Appendix V) addressed this question. The results are presented below.</w:t>
      </w:r>
    </w:p>
    <w:p w14:paraId="039995B9" w14:textId="77777777" w:rsidR="00B01D46" w:rsidRDefault="0067013E">
      <w:pPr>
        <w:pStyle w:val="Heading4"/>
      </w:pPr>
      <w:bookmarkStart w:id="1763" w:name="_Toc165369297"/>
      <w:bookmarkStart w:id="1764" w:name="_Toc165975866"/>
      <w:bookmarkStart w:id="1765" w:name="_Toc165973145"/>
      <w:bookmarkStart w:id="1766" w:name="_Toc165363496"/>
      <w:bookmarkStart w:id="1767" w:name="_Toc165365270"/>
      <w:bookmarkStart w:id="1768" w:name="_Toc164664086"/>
      <w:bookmarkStart w:id="1769" w:name="_Toc184272958"/>
      <w:r>
        <w:lastRenderedPageBreak/>
        <w:t>5.4.4.1 Knowledge and Skills Possessed by Staff Facilitating ILS among Medical Undergraduate Students</w:t>
      </w:r>
      <w:bookmarkEnd w:id="1763"/>
      <w:bookmarkEnd w:id="1764"/>
      <w:bookmarkEnd w:id="1765"/>
      <w:bookmarkEnd w:id="1766"/>
      <w:bookmarkEnd w:id="1767"/>
      <w:bookmarkEnd w:id="1768"/>
      <w:bookmarkEnd w:id="1769"/>
      <w:r>
        <w:t xml:space="preserve"> </w:t>
      </w:r>
    </w:p>
    <w:p w14:paraId="36119819" w14:textId="77777777" w:rsidR="00B01D46" w:rsidRDefault="0067013E">
      <w:pPr>
        <w:spacing w:line="360" w:lineRule="auto"/>
        <w:ind w:right="65"/>
        <w:jc w:val="both"/>
        <w:rPr>
          <w:rFonts w:ascii="Times New Roman" w:hAnsi="Times New Roman" w:cs="Times New Roman"/>
          <w:b/>
          <w:sz w:val="24"/>
          <w:szCs w:val="24"/>
        </w:rPr>
      </w:pPr>
      <w:bookmarkStart w:id="1770" w:name="_Toc164664087"/>
      <w:bookmarkStart w:id="1771" w:name="_Toc165363497"/>
      <w:bookmarkStart w:id="1772" w:name="_Toc165365271"/>
      <w:bookmarkStart w:id="1773" w:name="_Toc165369298"/>
      <w:r>
        <w:rPr>
          <w:rFonts w:ascii="Times New Roman" w:hAnsi="Times New Roman" w:cs="Times New Roman"/>
          <w:b/>
          <w:sz w:val="24"/>
          <w:szCs w:val="24"/>
        </w:rPr>
        <w:t>Students’ Response on Knowledge and Skills Possessed by Staff Facilitating ILS among Medical Undergraduate Students.</w:t>
      </w:r>
      <w:bookmarkEnd w:id="1770"/>
      <w:bookmarkEnd w:id="1771"/>
      <w:bookmarkEnd w:id="1772"/>
      <w:bookmarkEnd w:id="1773"/>
      <w:r>
        <w:rPr>
          <w:rFonts w:ascii="Times New Roman" w:hAnsi="Times New Roman" w:cs="Times New Roman"/>
          <w:b/>
          <w:sz w:val="24"/>
          <w:szCs w:val="24"/>
        </w:rPr>
        <w:t xml:space="preserve"> </w:t>
      </w:r>
    </w:p>
    <w:p w14:paraId="5C04D245" w14:textId="77777777" w:rsidR="00B01D46" w:rsidRDefault="0067013E">
      <w:pPr>
        <w:spacing w:before="120" w:after="0" w:line="480" w:lineRule="auto"/>
        <w:ind w:right="65"/>
        <w:rPr>
          <w:rFonts w:ascii="Times New Roman" w:hAnsi="Times New Roman" w:cs="Times New Roman"/>
          <w:sz w:val="24"/>
          <w:szCs w:val="24"/>
        </w:rPr>
      </w:pPr>
      <w:r>
        <w:rPr>
          <w:rFonts w:ascii="Times New Roman" w:hAnsi="Times New Roman" w:cs="Times New Roman"/>
          <w:sz w:val="24"/>
          <w:szCs w:val="24"/>
        </w:rPr>
        <w:t>The study sought to establish the skills possessed by staff that enable them to serve the students efficiently. The responses from the students are presented in Table 5.23</w:t>
      </w:r>
    </w:p>
    <w:p w14:paraId="40037D14" w14:textId="77777777" w:rsidR="00B01D46" w:rsidRDefault="0067013E">
      <w:pPr>
        <w:pStyle w:val="Caption"/>
      </w:pPr>
      <w:bookmarkStart w:id="1774" w:name="_Toc165975867"/>
      <w:bookmarkStart w:id="1775" w:name="_Toc184272018"/>
      <w:bookmarkStart w:id="1776" w:name="_Toc184276928"/>
      <w:bookmarkStart w:id="1777" w:name="_Toc165973146"/>
      <w:bookmarkStart w:id="1778" w:name="_Hlk159793878"/>
      <w:r>
        <w:t xml:space="preserve">Table 5.23: Students’ Response to Knowledge and Skills Possessed by Staff Facilitating ILS among </w:t>
      </w:r>
      <w:r>
        <w:rPr>
          <w:rFonts w:eastAsia="Times New Roman"/>
        </w:rPr>
        <w:t xml:space="preserve">Medical Undergraduate Students. </w:t>
      </w:r>
      <w:r>
        <w:t>(N=255)</w:t>
      </w:r>
      <w:bookmarkEnd w:id="1774"/>
      <w:bookmarkEnd w:id="1775"/>
      <w:bookmarkEnd w:id="1776"/>
      <w:bookmarkEnd w:id="1777"/>
    </w:p>
    <w:bookmarkEnd w:id="1778"/>
    <w:p w14:paraId="60E24433" w14:textId="77777777" w:rsidR="00B01D46" w:rsidRDefault="0067013E">
      <w:pPr>
        <w:spacing w:before="120" w:after="0" w:line="240" w:lineRule="auto"/>
        <w:ind w:right="65"/>
        <w:jc w:val="both"/>
        <w:rPr>
          <w:rFonts w:ascii="Times New Roman" w:eastAsia="Calibri" w:hAnsi="Times New Roman" w:cs="Times New Roman"/>
          <w:b/>
          <w:bCs/>
          <w:sz w:val="24"/>
          <w:szCs w:val="24"/>
        </w:rPr>
      </w:pPr>
      <w:r>
        <w:rPr>
          <w:rFonts w:ascii="Times New Roman" w:hAnsi="Times New Roman" w:cs="Times New Roman"/>
          <w:noProof/>
          <w:sz w:val="24"/>
          <w:szCs w:val="24"/>
        </w:rPr>
        <w:drawing>
          <wp:inline distT="0" distB="0" distL="0" distR="0" wp14:anchorId="63676501" wp14:editId="109AB879">
            <wp:extent cx="5120640" cy="1280160"/>
            <wp:effectExtent l="0" t="0" r="3810" b="0"/>
            <wp:docPr id="19180459" name="Picture 19180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459" name="Picture 1918045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138880" cy="1284720"/>
                    </a:xfrm>
                    <a:prstGeom prst="rect">
                      <a:avLst/>
                    </a:prstGeom>
                    <a:noFill/>
                    <a:ln>
                      <a:noFill/>
                    </a:ln>
                  </pic:spPr>
                </pic:pic>
              </a:graphicData>
            </a:graphic>
          </wp:inline>
        </w:drawing>
      </w:r>
    </w:p>
    <w:p w14:paraId="635F53DC" w14:textId="77777777" w:rsidR="00B01D46" w:rsidRDefault="0067013E">
      <w:pPr>
        <w:spacing w:before="120" w:after="0" w:line="240" w:lineRule="auto"/>
        <w:ind w:right="65"/>
        <w:jc w:val="both"/>
        <w:rPr>
          <w:rFonts w:ascii="Times New Roman" w:eastAsia="Calibri" w:hAnsi="Times New Roman" w:cs="Times New Roman"/>
          <w:b/>
          <w:i/>
          <w:sz w:val="24"/>
          <w:szCs w:val="24"/>
        </w:rPr>
      </w:pPr>
      <w:bookmarkStart w:id="1779" w:name="_Hlk101970402"/>
      <w:r>
        <w:rPr>
          <w:rFonts w:ascii="Times New Roman" w:eastAsia="Calibri" w:hAnsi="Times New Roman" w:cs="Times New Roman"/>
          <w:b/>
          <w:bCs/>
          <w:i/>
          <w:sz w:val="24"/>
          <w:szCs w:val="24"/>
        </w:rPr>
        <w:t>Source:</w:t>
      </w:r>
      <w:r>
        <w:rPr>
          <w:rFonts w:ascii="Times New Roman" w:eastAsia="Calibri" w:hAnsi="Times New Roman" w:cs="Times New Roman"/>
          <w:b/>
          <w:i/>
          <w:sz w:val="24"/>
          <w:szCs w:val="24"/>
        </w:rPr>
        <w:t xml:space="preserve"> Field Data (2021)</w:t>
      </w:r>
    </w:p>
    <w:p w14:paraId="5B20F803" w14:textId="77777777" w:rsidR="00B01D46" w:rsidRDefault="00B01D46">
      <w:pPr>
        <w:ind w:right="65"/>
        <w:rPr>
          <w:rFonts w:ascii="Times New Roman" w:hAnsi="Times New Roman" w:cs="Times New Roman"/>
          <w:sz w:val="24"/>
          <w:szCs w:val="24"/>
        </w:rPr>
      </w:pPr>
    </w:p>
    <w:bookmarkEnd w:id="1779"/>
    <w:p w14:paraId="1AD763CF"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 xml:space="preserve">The findings revealed that majority 210(82.35%), 206 (80.78%), </w:t>
      </w:r>
      <w:r>
        <w:rPr>
          <w:rFonts w:ascii="Times New Roman" w:eastAsia="Times New Roman" w:hAnsi="Times New Roman" w:cs="Times New Roman"/>
          <w:color w:val="000000"/>
          <w:sz w:val="24"/>
          <w:szCs w:val="24"/>
        </w:rPr>
        <w:t>198</w:t>
      </w:r>
      <w:r>
        <w:rPr>
          <w:rFonts w:ascii="Times New Roman" w:eastAsia="Calibri" w:hAnsi="Times New Roman" w:cs="Times New Roman"/>
          <w:sz w:val="24"/>
          <w:szCs w:val="24"/>
        </w:rPr>
        <w:t xml:space="preserve"> (77.64%), 209 (81.96%), 201(78.82%) and 187(73.33%) of the students refuted that librarians can select the information that is relevant to their information needs,</w:t>
      </w:r>
      <w:r>
        <w:rPr>
          <w:rFonts w:ascii="Times New Roman" w:eastAsia="Times New Roman" w:hAnsi="Times New Roman" w:cs="Times New Roman"/>
          <w:color w:val="000000"/>
          <w:sz w:val="24"/>
          <w:szCs w:val="24"/>
        </w:rPr>
        <w:t xml:space="preserve"> can create tactics for finding information, </w:t>
      </w:r>
      <w:r>
        <w:rPr>
          <w:rFonts w:ascii="Times New Roman" w:eastAsia="Calibri" w:hAnsi="Times New Roman" w:cs="Times New Roman"/>
          <w:color w:val="000000"/>
          <w:sz w:val="24"/>
          <w:szCs w:val="24"/>
          <w:shd w:val="clear" w:color="auto" w:fill="FFFFFF"/>
        </w:rPr>
        <w:t xml:space="preserve">can contrast and analyze information obtained from different sources, </w:t>
      </w:r>
      <w:r>
        <w:rPr>
          <w:rFonts w:ascii="Times New Roman" w:eastAsia="Calibri" w:hAnsi="Times New Roman" w:cs="Times New Roman"/>
          <w:sz w:val="24"/>
          <w:szCs w:val="24"/>
        </w:rPr>
        <w:t xml:space="preserve">can arrange, use, and pass on information to others, and can </w:t>
      </w:r>
      <w:r>
        <w:rPr>
          <w:rFonts w:ascii="Times New Roman" w:eastAsia="Times New Roman" w:hAnsi="Times New Roman" w:cs="Times New Roman"/>
          <w:color w:val="000000"/>
          <w:sz w:val="24"/>
          <w:szCs w:val="24"/>
        </w:rPr>
        <w:t>generate and expand on existing information respectively in that order.</w:t>
      </w:r>
      <w:r>
        <w:rPr>
          <w:rFonts w:ascii="Times New Roman" w:eastAsia="Calibri" w:hAnsi="Times New Roman" w:cs="Times New Roman"/>
          <w:sz w:val="24"/>
          <w:szCs w:val="24"/>
        </w:rPr>
        <w:t xml:space="preserve"> </w:t>
      </w:r>
    </w:p>
    <w:p w14:paraId="541CB212"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On the contrary, 34(13.33%), 39(15.29%), 47(18.43%), </w:t>
      </w:r>
      <w:r>
        <w:rPr>
          <w:rFonts w:ascii="Times New Roman" w:eastAsia="Calibri" w:hAnsi="Times New Roman" w:cs="Times New Roman"/>
          <w:color w:val="000000"/>
          <w:sz w:val="24"/>
          <w:szCs w:val="24"/>
          <w:shd w:val="clear" w:color="auto" w:fill="FFFFFF"/>
        </w:rPr>
        <w:t xml:space="preserve">34(13.33%), </w:t>
      </w:r>
      <w:r>
        <w:rPr>
          <w:rFonts w:ascii="Times New Roman" w:eastAsia="Calibri" w:hAnsi="Times New Roman" w:cs="Times New Roman"/>
          <w:sz w:val="24"/>
          <w:szCs w:val="24"/>
        </w:rPr>
        <w:t>41(16.07%) and 40(15.59%) of the respondents agreed that librarians can select the information that is most appropriate to the information needs expressed,  librarian</w:t>
      </w:r>
      <w:r>
        <w:rPr>
          <w:rFonts w:ascii="Times New Roman" w:eastAsia="Times New Roman" w:hAnsi="Times New Roman" w:cs="Times New Roman"/>
          <w:color w:val="000000"/>
          <w:sz w:val="24"/>
          <w:szCs w:val="24"/>
        </w:rPr>
        <w:t>s can discern potential information sources,</w:t>
      </w:r>
      <w:r>
        <w:rPr>
          <w:rFonts w:ascii="Times New Roman" w:eastAsia="Calibri" w:hAnsi="Times New Roman" w:cs="Times New Roman"/>
          <w:sz w:val="24"/>
          <w:szCs w:val="24"/>
        </w:rPr>
        <w:t xml:space="preserve"> </w:t>
      </w:r>
      <w:r>
        <w:rPr>
          <w:rFonts w:ascii="Times New Roman" w:eastAsia="Times New Roman" w:hAnsi="Times New Roman" w:cs="Times New Roman"/>
          <w:color w:val="000000"/>
          <w:sz w:val="24"/>
          <w:szCs w:val="24"/>
        </w:rPr>
        <w:t xml:space="preserve">create tactics for finding information, </w:t>
      </w:r>
      <w:r>
        <w:rPr>
          <w:rFonts w:ascii="Times New Roman" w:eastAsia="Calibri" w:hAnsi="Times New Roman" w:cs="Times New Roman"/>
          <w:color w:val="000000"/>
          <w:sz w:val="24"/>
          <w:szCs w:val="24"/>
          <w:shd w:val="clear" w:color="auto" w:fill="FFFFFF"/>
        </w:rPr>
        <w:t>can contrast and analyze information obtained from different sources,</w:t>
      </w:r>
      <w:r>
        <w:rPr>
          <w:rFonts w:ascii="Times New Roman" w:eastAsia="Calibri" w:hAnsi="Times New Roman" w:cs="Times New Roman"/>
          <w:sz w:val="24"/>
          <w:szCs w:val="24"/>
        </w:rPr>
        <w:t xml:space="preserve"> can arrange, use, and pass on information to others and they</w:t>
      </w:r>
      <w:r>
        <w:rPr>
          <w:rFonts w:ascii="Times New Roman" w:eastAsia="Times New Roman" w:hAnsi="Times New Roman" w:cs="Times New Roman"/>
          <w:color w:val="000000"/>
          <w:sz w:val="24"/>
          <w:szCs w:val="24"/>
        </w:rPr>
        <w:t xml:space="preserve"> can generate and expand on existing information correspondingly.</w:t>
      </w:r>
      <w:r>
        <w:rPr>
          <w:rFonts w:ascii="Times New Roman" w:eastAsia="Calibri" w:hAnsi="Times New Roman" w:cs="Times New Roman"/>
          <w:sz w:val="24"/>
          <w:szCs w:val="24"/>
        </w:rPr>
        <w:t xml:space="preserve"> </w:t>
      </w:r>
    </w:p>
    <w:p w14:paraId="6BE84D61" w14:textId="77777777" w:rsidR="00B01D46" w:rsidRDefault="0067013E">
      <w:pPr>
        <w:spacing w:after="0" w:line="480" w:lineRule="auto"/>
        <w:ind w:right="65"/>
        <w:jc w:val="both"/>
        <w:rPr>
          <w:rFonts w:ascii="Times New Roman" w:hAnsi="Times New Roman" w:cs="Times New Roman"/>
          <w:b/>
          <w:sz w:val="24"/>
          <w:szCs w:val="24"/>
        </w:rPr>
      </w:pPr>
      <w:bookmarkStart w:id="1780" w:name="_Toc165365272"/>
      <w:bookmarkStart w:id="1781" w:name="_Toc165368476"/>
      <w:bookmarkStart w:id="1782" w:name="_Toc165363498"/>
      <w:bookmarkStart w:id="1783" w:name="_Toc165369300"/>
      <w:bookmarkStart w:id="1784" w:name="_Toc164664088"/>
      <w:r>
        <w:rPr>
          <w:rFonts w:ascii="Times New Roman" w:hAnsi="Times New Roman" w:cs="Times New Roman"/>
          <w:b/>
          <w:sz w:val="24"/>
          <w:szCs w:val="24"/>
        </w:rPr>
        <w:lastRenderedPageBreak/>
        <w:t>Lecturers’ Response to Knowledge and Skills Possessed by Staff Facilitating ILS among Medical Undergraduate Students.</w:t>
      </w:r>
      <w:bookmarkEnd w:id="1780"/>
      <w:bookmarkEnd w:id="1781"/>
      <w:bookmarkEnd w:id="1782"/>
      <w:bookmarkEnd w:id="1783"/>
      <w:bookmarkEnd w:id="1784"/>
      <w:r>
        <w:rPr>
          <w:rFonts w:ascii="Times New Roman" w:hAnsi="Times New Roman" w:cs="Times New Roman"/>
          <w:b/>
          <w:sz w:val="24"/>
          <w:szCs w:val="24"/>
        </w:rPr>
        <w:t xml:space="preserve"> </w:t>
      </w:r>
    </w:p>
    <w:p w14:paraId="49ED7135"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Similarly, the research intended to ascertain lecturers' perspectives on library staff’s ILS competencies. The replies are shown in Table 5.24.</w:t>
      </w:r>
    </w:p>
    <w:p w14:paraId="351CD88B" w14:textId="77777777" w:rsidR="00B01D46" w:rsidRDefault="0067013E">
      <w:pPr>
        <w:pStyle w:val="Caption"/>
      </w:pPr>
      <w:bookmarkStart w:id="1785" w:name="_Toc165975868"/>
      <w:bookmarkStart w:id="1786" w:name="_Toc184272019"/>
      <w:bookmarkStart w:id="1787" w:name="_Toc184276929"/>
      <w:bookmarkStart w:id="1788" w:name="_Toc165973147"/>
      <w:bookmarkStart w:id="1789" w:name="_Hlk159793919"/>
      <w:r>
        <w:t>Table 5.24: Lecturers’ Response to ILS skills Possessed by Library Staff (N=62)</w:t>
      </w:r>
      <w:bookmarkEnd w:id="1785"/>
      <w:bookmarkEnd w:id="1786"/>
      <w:bookmarkEnd w:id="1787"/>
      <w:bookmarkEnd w:id="1788"/>
    </w:p>
    <w:p w14:paraId="2EAC219E" w14:textId="77777777" w:rsidR="00B01D46" w:rsidRDefault="0067013E">
      <w:pPr>
        <w:spacing w:before="120" w:after="0" w:line="240" w:lineRule="auto"/>
        <w:ind w:right="65"/>
        <w:jc w:val="both"/>
        <w:rPr>
          <w:rFonts w:ascii="Times New Roman" w:eastAsia="Calibri" w:hAnsi="Times New Roman" w:cs="Times New Roman"/>
          <w:b/>
          <w:bCs/>
          <w:sz w:val="24"/>
          <w:szCs w:val="24"/>
        </w:rPr>
      </w:pPr>
      <w:bookmarkStart w:id="1790" w:name="_Hlk101989536"/>
      <w:bookmarkEnd w:id="1789"/>
      <w:r>
        <w:rPr>
          <w:rFonts w:ascii="Times New Roman" w:hAnsi="Times New Roman" w:cs="Times New Roman"/>
          <w:noProof/>
          <w:sz w:val="24"/>
          <w:szCs w:val="24"/>
        </w:rPr>
        <w:drawing>
          <wp:inline distT="0" distB="0" distL="0" distR="0" wp14:anchorId="1AA3BD05" wp14:editId="16973219">
            <wp:extent cx="5050155" cy="1521460"/>
            <wp:effectExtent l="0" t="0" r="0" b="2540"/>
            <wp:docPr id="716544569" name="Picture 71654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44569" name="Picture 71654456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067851" cy="1526852"/>
                    </a:xfrm>
                    <a:prstGeom prst="rect">
                      <a:avLst/>
                    </a:prstGeom>
                    <a:noFill/>
                    <a:ln>
                      <a:noFill/>
                    </a:ln>
                  </pic:spPr>
                </pic:pic>
              </a:graphicData>
            </a:graphic>
          </wp:inline>
        </w:drawing>
      </w:r>
    </w:p>
    <w:p w14:paraId="1C926B10" w14:textId="77777777" w:rsidR="00B01D46" w:rsidRDefault="0067013E">
      <w:pPr>
        <w:spacing w:before="120"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Source: Field data (2021)</w:t>
      </w:r>
    </w:p>
    <w:bookmarkEnd w:id="1790"/>
    <w:p w14:paraId="38221549" w14:textId="77777777" w:rsidR="00B01D46" w:rsidRDefault="00B01D46">
      <w:pPr>
        <w:spacing w:before="120" w:after="0" w:line="240" w:lineRule="auto"/>
        <w:ind w:right="65"/>
        <w:jc w:val="both"/>
        <w:rPr>
          <w:rFonts w:ascii="Times New Roman" w:eastAsia="Calibri" w:hAnsi="Times New Roman" w:cs="Times New Roman"/>
          <w:sz w:val="24"/>
          <w:szCs w:val="24"/>
        </w:rPr>
      </w:pPr>
    </w:p>
    <w:p w14:paraId="0E976E82"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findings show that the majority 58 (83.54%), 59 (95.16%), 2 (3.23%)</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rPr>
        <w:t xml:space="preserve">2 (3.23%), </w:t>
      </w:r>
      <w:r>
        <w:rPr>
          <w:rFonts w:ascii="Times New Roman" w:eastAsia="Calibri" w:hAnsi="Times New Roman" w:cs="Times New Roman"/>
          <w:color w:val="000000"/>
          <w:sz w:val="24"/>
          <w:szCs w:val="24"/>
          <w:shd w:val="clear" w:color="auto" w:fill="FFFFFF"/>
        </w:rPr>
        <w:t xml:space="preserve">57 (91.94%) and </w:t>
      </w:r>
      <w:r>
        <w:rPr>
          <w:rFonts w:ascii="Times New Roman" w:eastAsia="Calibri" w:hAnsi="Times New Roman" w:cs="Times New Roman"/>
          <w:sz w:val="24"/>
          <w:szCs w:val="24"/>
        </w:rPr>
        <w:t xml:space="preserve">2 (3.23%)  of the respondents agreed that librarians can select the information that is most appropriate to the needs of students and other library users of the respondents stated that librarians </w:t>
      </w:r>
      <w:r>
        <w:rPr>
          <w:rFonts w:ascii="Times New Roman" w:eastAsia="Times New Roman" w:hAnsi="Times New Roman" w:cs="Times New Roman"/>
          <w:color w:val="000000"/>
          <w:sz w:val="24"/>
          <w:szCs w:val="24"/>
        </w:rPr>
        <w:t>can discern potential information sources</w:t>
      </w:r>
      <w:r>
        <w:rPr>
          <w:rFonts w:ascii="Times New Roman" w:eastAsia="Calibri" w:hAnsi="Times New Roman" w:cs="Times New Roman"/>
          <w:sz w:val="24"/>
          <w:szCs w:val="24"/>
        </w:rPr>
        <w:t xml:space="preserve">,  can arrange, use, and pass on information, </w:t>
      </w:r>
      <w:r>
        <w:rPr>
          <w:rFonts w:ascii="Times New Roman" w:eastAsia="Times New Roman" w:hAnsi="Times New Roman" w:cs="Times New Roman"/>
          <w:color w:val="000000"/>
          <w:sz w:val="24"/>
          <w:szCs w:val="24"/>
        </w:rPr>
        <w:t>can create tactics for finding information</w:t>
      </w:r>
      <w:r>
        <w:rPr>
          <w:rFonts w:ascii="Times New Roman" w:eastAsia="Calibri" w:hAnsi="Times New Roman" w:cs="Times New Roman"/>
          <w:sz w:val="24"/>
          <w:szCs w:val="24"/>
        </w:rPr>
        <w:t xml:space="preserve">, and </w:t>
      </w:r>
      <w:r>
        <w:rPr>
          <w:rFonts w:ascii="Times New Roman" w:eastAsia="Calibri" w:hAnsi="Times New Roman" w:cs="Times New Roman"/>
          <w:color w:val="000000"/>
          <w:sz w:val="24"/>
          <w:szCs w:val="24"/>
          <w:shd w:val="clear" w:color="auto" w:fill="FFFFFF"/>
        </w:rPr>
        <w:t xml:space="preserve">can contrast and analyze information obtained from different sources </w:t>
      </w:r>
      <w:r>
        <w:rPr>
          <w:rFonts w:ascii="Times New Roman" w:eastAsia="Calibri" w:hAnsi="Times New Roman" w:cs="Times New Roman"/>
          <w:sz w:val="24"/>
          <w:szCs w:val="24"/>
        </w:rPr>
        <w:t xml:space="preserve">and  </w:t>
      </w:r>
      <w:r>
        <w:rPr>
          <w:rFonts w:ascii="Times New Roman" w:eastAsia="Times New Roman" w:hAnsi="Times New Roman" w:cs="Times New Roman"/>
          <w:color w:val="000000"/>
          <w:sz w:val="24"/>
          <w:szCs w:val="24"/>
        </w:rPr>
        <w:t xml:space="preserve">can generate and expand on existing information </w:t>
      </w:r>
      <w:r>
        <w:rPr>
          <w:rFonts w:ascii="Times New Roman" w:eastAsia="Calibri" w:hAnsi="Times New Roman" w:cs="Times New Roman"/>
          <w:sz w:val="24"/>
          <w:szCs w:val="24"/>
        </w:rPr>
        <w:t xml:space="preserve"> to others in that order. However, 3 (4.84%), 2 (3.23%),  57 (91.94%),  59 (95.16%) , 3 (4.84%),  and 59 (95.16%) of the lecturers gainsaid that that librarians can select the information that is most appropriate to the needs of students and other library users of the respondents stated that librarians </w:t>
      </w:r>
      <w:r>
        <w:rPr>
          <w:rFonts w:ascii="Times New Roman" w:eastAsia="Times New Roman" w:hAnsi="Times New Roman" w:cs="Times New Roman"/>
          <w:color w:val="000000"/>
          <w:sz w:val="24"/>
          <w:szCs w:val="24"/>
        </w:rPr>
        <w:t>can discern potential information sources</w:t>
      </w:r>
      <w:r>
        <w:rPr>
          <w:rFonts w:ascii="Times New Roman" w:eastAsia="Calibri" w:hAnsi="Times New Roman" w:cs="Times New Roman"/>
          <w:sz w:val="24"/>
          <w:szCs w:val="24"/>
        </w:rPr>
        <w:t xml:space="preserve">,  can arrange, use, and pass on information, </w:t>
      </w:r>
      <w:r>
        <w:rPr>
          <w:rFonts w:ascii="Times New Roman" w:eastAsia="Times New Roman" w:hAnsi="Times New Roman" w:cs="Times New Roman"/>
          <w:color w:val="000000"/>
          <w:sz w:val="24"/>
          <w:szCs w:val="24"/>
        </w:rPr>
        <w:t>can create tactics for finding information</w:t>
      </w:r>
      <w:r>
        <w:rPr>
          <w:rFonts w:ascii="Times New Roman" w:eastAsia="Calibri" w:hAnsi="Times New Roman" w:cs="Times New Roman"/>
          <w:sz w:val="24"/>
          <w:szCs w:val="24"/>
        </w:rPr>
        <w:t xml:space="preserve">, and </w:t>
      </w:r>
      <w:r>
        <w:rPr>
          <w:rFonts w:ascii="Times New Roman" w:eastAsia="Calibri" w:hAnsi="Times New Roman" w:cs="Times New Roman"/>
          <w:color w:val="000000"/>
          <w:sz w:val="24"/>
          <w:szCs w:val="24"/>
          <w:shd w:val="clear" w:color="auto" w:fill="FFFFFF"/>
        </w:rPr>
        <w:t xml:space="preserve">can contrast and analyze information obtained from different sources </w:t>
      </w:r>
      <w:r>
        <w:rPr>
          <w:rFonts w:ascii="Times New Roman" w:eastAsia="Calibri" w:hAnsi="Times New Roman" w:cs="Times New Roman"/>
          <w:sz w:val="24"/>
          <w:szCs w:val="24"/>
        </w:rPr>
        <w:t xml:space="preserve">and  </w:t>
      </w:r>
      <w:r>
        <w:rPr>
          <w:rFonts w:ascii="Times New Roman" w:eastAsia="Times New Roman" w:hAnsi="Times New Roman" w:cs="Times New Roman"/>
          <w:color w:val="000000"/>
          <w:sz w:val="24"/>
          <w:szCs w:val="24"/>
        </w:rPr>
        <w:t xml:space="preserve">can generate and expand on existing information </w:t>
      </w:r>
      <w:r>
        <w:rPr>
          <w:rFonts w:ascii="Times New Roman" w:eastAsia="Calibri" w:hAnsi="Times New Roman" w:cs="Times New Roman"/>
          <w:sz w:val="24"/>
          <w:szCs w:val="24"/>
        </w:rPr>
        <w:t xml:space="preserve"> to others </w:t>
      </w:r>
      <w:r>
        <w:rPr>
          <w:rFonts w:ascii="Times New Roman" w:eastAsia="Times New Roman" w:hAnsi="Times New Roman" w:cs="Times New Roman"/>
          <w:color w:val="000000"/>
          <w:sz w:val="24"/>
          <w:szCs w:val="24"/>
        </w:rPr>
        <w:t xml:space="preserve">respectively. </w:t>
      </w:r>
    </w:p>
    <w:p w14:paraId="627734A9" w14:textId="77777777" w:rsidR="00B01D46" w:rsidRDefault="0067013E">
      <w:pPr>
        <w:shd w:val="clear" w:color="auto" w:fill="FFFFFF"/>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The results from interviews show that </w:t>
      </w:r>
      <w:r>
        <w:rPr>
          <w:rFonts w:ascii="Times New Roman" w:eastAsia="Times New Roman" w:hAnsi="Times New Roman" w:cs="Times New Roman"/>
          <w:color w:val="000000"/>
          <w:sz w:val="24"/>
          <w:szCs w:val="24"/>
        </w:rPr>
        <w:t xml:space="preserve">librarians play a critical role </w:t>
      </w:r>
      <w:r>
        <w:rPr>
          <w:rFonts w:ascii="Times New Roman" w:eastAsia="Calibri" w:hAnsi="Times New Roman" w:cs="Times New Roman"/>
          <w:sz w:val="24"/>
          <w:szCs w:val="24"/>
        </w:rPr>
        <w:t xml:space="preserve">as information providers cum facilitators in the access to and retrieval of information in a library. However, according to the responses of the heads of medical librarians interviewed, majority of the librarians require technical, digital, intellectual, and communicative capabilities that are meant to empower them to serve library patrons competently and satisfactorily. Equally, the heads of departments affirmed that librarians especially the aged ones have deficiency on the </w:t>
      </w:r>
      <w:r>
        <w:rPr>
          <w:rFonts w:ascii="Times New Roman" w:eastAsia="Calibri" w:hAnsi="Times New Roman" w:cs="Times New Roman"/>
          <w:sz w:val="24"/>
          <w:szCs w:val="24"/>
          <w:shd w:val="clear" w:color="auto" w:fill="FFFFFF"/>
        </w:rPr>
        <w:t xml:space="preserve">effective search strategies skills and require adequate skills on how to check the relevancy, currency, authenticity, and purpose of retrieved information materials. </w:t>
      </w:r>
    </w:p>
    <w:p w14:paraId="122C2385"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shd w:val="clear" w:color="auto" w:fill="FFFFFF"/>
        </w:rPr>
        <w:t xml:space="preserve">In addition, the heads of departments stated that majority of librarians are unable to help students understand the fair use of information regarding its security, permission, censorship, and plagiarism. </w:t>
      </w:r>
      <w:r>
        <w:rPr>
          <w:rFonts w:ascii="Times New Roman" w:eastAsia="Calibri" w:hAnsi="Times New Roman" w:cs="Times New Roman"/>
          <w:sz w:val="24"/>
          <w:szCs w:val="24"/>
        </w:rPr>
        <w:t>The sentiments of respondents interviewed were as follows</w:t>
      </w:r>
    </w:p>
    <w:p w14:paraId="425B5CEA" w14:textId="77777777" w:rsidR="00B01D46" w:rsidRDefault="0067013E">
      <w:pPr>
        <w:shd w:val="clear" w:color="auto" w:fill="FFFFFF"/>
        <w:spacing w:before="120"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One head of department (HD06) commented: </w:t>
      </w:r>
    </w:p>
    <w:p w14:paraId="46084E4E" w14:textId="77777777" w:rsidR="00B01D46" w:rsidRDefault="0067013E">
      <w:pPr>
        <w:spacing w:before="120" w:after="0" w:line="240" w:lineRule="auto"/>
        <w:ind w:left="720" w:right="785"/>
        <w:jc w:val="both"/>
        <w:rPr>
          <w:rFonts w:ascii="Times New Roman" w:eastAsia="Calibri" w:hAnsi="Times New Roman" w:cs="Times New Roman"/>
          <w:i/>
          <w:iCs/>
          <w:color w:val="000000"/>
          <w:sz w:val="24"/>
          <w:szCs w:val="24"/>
          <w:shd w:val="clear" w:color="auto" w:fill="FFFFFF"/>
        </w:rPr>
      </w:pPr>
      <w:r>
        <w:rPr>
          <w:rFonts w:ascii="Times New Roman" w:eastAsia="Calibri" w:hAnsi="Times New Roman" w:cs="Times New Roman"/>
          <w:i/>
          <w:iCs/>
          <w:color w:val="000000"/>
          <w:sz w:val="24"/>
          <w:szCs w:val="24"/>
          <w:shd w:val="clear" w:color="auto" w:fill="FFFFFF"/>
        </w:rPr>
        <w:t xml:space="preserve">“…. staff need reskilling on information literacy skills because what majority of them are doing is merely offering reference services to students. Whereas a well-grounded librarian has the skills to guide a student develop abilities </w:t>
      </w:r>
      <w:r>
        <w:rPr>
          <w:rFonts w:ascii="Times New Roman" w:hAnsi="Times New Roman" w:cs="Times New Roman"/>
          <w:i/>
          <w:iCs/>
          <w:sz w:val="24"/>
          <w:szCs w:val="24"/>
        </w:rPr>
        <w:t>to read and interpret information and be able (the student), to synthesize information from different sources</w:t>
      </w:r>
      <w:r>
        <w:rPr>
          <w:rFonts w:ascii="Times New Roman" w:hAnsi="Times New Roman" w:cs="Times New Roman"/>
          <w:sz w:val="24"/>
          <w:szCs w:val="24"/>
        </w:rPr>
        <w:t>…</w:t>
      </w:r>
      <w:r>
        <w:rPr>
          <w:rFonts w:ascii="Times New Roman" w:eastAsia="Calibri" w:hAnsi="Times New Roman" w:cs="Times New Roman"/>
          <w:i/>
          <w:iCs/>
          <w:color w:val="000000"/>
          <w:sz w:val="24"/>
          <w:szCs w:val="24"/>
          <w:shd w:val="clear" w:color="auto" w:fill="FFFFFF"/>
        </w:rPr>
        <w:t>sadly majority of our librarians lack these essential ILS abilities…”</w:t>
      </w:r>
    </w:p>
    <w:p w14:paraId="47B0E33F" w14:textId="77777777" w:rsidR="00B01D46" w:rsidRDefault="0067013E">
      <w:pPr>
        <w:shd w:val="clear" w:color="auto" w:fill="FFFFFF"/>
        <w:spacing w:before="120"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One head of medical librarians (ML01) alluded: </w:t>
      </w:r>
    </w:p>
    <w:p w14:paraId="680ACAB7" w14:textId="77777777" w:rsidR="00B01D46" w:rsidRDefault="0067013E">
      <w:pPr>
        <w:shd w:val="clear" w:color="auto" w:fill="FFFFFF"/>
        <w:spacing w:before="120" w:after="0" w:line="240" w:lineRule="auto"/>
        <w:ind w:left="720" w:right="785"/>
        <w:jc w:val="both"/>
        <w:rPr>
          <w:rFonts w:ascii="Times New Roman" w:eastAsia="Calibri" w:hAnsi="Times New Roman" w:cs="Times New Roman"/>
          <w:i/>
          <w:iCs/>
          <w:sz w:val="24"/>
          <w:szCs w:val="24"/>
          <w:shd w:val="clear" w:color="auto" w:fill="FFFFFF"/>
        </w:rPr>
      </w:pPr>
      <w:r>
        <w:rPr>
          <w:rFonts w:ascii="Times New Roman" w:eastAsia="Calibri" w:hAnsi="Times New Roman" w:cs="Times New Roman"/>
          <w:i/>
          <w:iCs/>
          <w:sz w:val="24"/>
          <w:szCs w:val="24"/>
          <w:shd w:val="clear" w:color="auto" w:fill="FFFFFF"/>
        </w:rPr>
        <w:t>“…</w:t>
      </w:r>
      <w:r>
        <w:rPr>
          <w:rFonts w:ascii="Times New Roman" w:eastAsia="Times New Roman" w:hAnsi="Times New Roman" w:cs="Times New Roman"/>
          <w:i/>
          <w:iCs/>
          <w:color w:val="000000"/>
          <w:sz w:val="24"/>
          <w:szCs w:val="24"/>
        </w:rPr>
        <w:t xml:space="preserve"> </w:t>
      </w:r>
      <w:r>
        <w:rPr>
          <w:rFonts w:ascii="Times New Roman" w:hAnsi="Times New Roman" w:cs="Times New Roman"/>
          <w:i/>
          <w:iCs/>
          <w:sz w:val="24"/>
          <w:szCs w:val="24"/>
        </w:rPr>
        <w:t>There are few lecturers and librarians who are well-informed about information literacy skills to enable train</w:t>
      </w:r>
      <w:r>
        <w:rPr>
          <w:rFonts w:ascii="Times New Roman" w:hAnsi="Times New Roman" w:cs="Times New Roman"/>
          <w:sz w:val="24"/>
          <w:szCs w:val="24"/>
        </w:rPr>
        <w:t xml:space="preserve"> students </w:t>
      </w:r>
      <w:r>
        <w:rPr>
          <w:rFonts w:ascii="Times New Roman" w:eastAsia="Times New Roman" w:hAnsi="Times New Roman" w:cs="Times New Roman"/>
          <w:i/>
          <w:iCs/>
          <w:color w:val="000000"/>
          <w:sz w:val="24"/>
          <w:szCs w:val="24"/>
        </w:rPr>
        <w:t>become independent and successful lifelong learners after graduation…</w:t>
      </w:r>
      <w:r>
        <w:rPr>
          <w:rFonts w:ascii="Times New Roman" w:eastAsia="Calibri" w:hAnsi="Times New Roman" w:cs="Times New Roman"/>
          <w:i/>
          <w:iCs/>
          <w:sz w:val="24"/>
          <w:szCs w:val="24"/>
          <w:shd w:val="clear" w:color="auto" w:fill="FFFFFF"/>
        </w:rPr>
        <w:t>”</w:t>
      </w:r>
    </w:p>
    <w:p w14:paraId="010FBEBA" w14:textId="77777777" w:rsidR="00B01D46" w:rsidRDefault="0067013E">
      <w:pPr>
        <w:shd w:val="clear" w:color="auto" w:fill="FFFFFF"/>
        <w:spacing w:before="120"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One University librarian (UL01) opined:</w:t>
      </w:r>
    </w:p>
    <w:p w14:paraId="54149CCB" w14:textId="77777777" w:rsidR="00B01D46" w:rsidRDefault="0067013E">
      <w:pPr>
        <w:spacing w:before="120" w:after="0" w:line="240" w:lineRule="auto"/>
        <w:ind w:left="720" w:right="785"/>
        <w:jc w:val="both"/>
        <w:rPr>
          <w:rFonts w:ascii="Times New Roman" w:eastAsia="Calibri" w:hAnsi="Times New Roman" w:cs="Times New Roman"/>
          <w:b/>
          <w:color w:val="000000"/>
          <w:sz w:val="24"/>
          <w:szCs w:val="24"/>
        </w:rPr>
      </w:pPr>
      <w:r>
        <w:rPr>
          <w:rFonts w:ascii="Times New Roman" w:eastAsia="Calibri" w:hAnsi="Times New Roman" w:cs="Times New Roman"/>
          <w:i/>
          <w:iCs/>
          <w:sz w:val="24"/>
          <w:szCs w:val="24"/>
        </w:rPr>
        <w:t>“…Majority of librarians possess traditional literacies or they are traditional librarians and as such lack modern information literacies like critical thinking skills, life-long learning skills, computer literacy skill among other hence they are unable to competently train students on ILS…”</w:t>
      </w:r>
    </w:p>
    <w:p w14:paraId="35CFEC91" w14:textId="77777777" w:rsidR="00B01D46" w:rsidRDefault="00B01D46">
      <w:pPr>
        <w:ind w:right="65"/>
        <w:rPr>
          <w:rFonts w:ascii="Times New Roman" w:hAnsi="Times New Roman" w:cs="Times New Roman"/>
          <w:sz w:val="24"/>
          <w:szCs w:val="24"/>
        </w:rPr>
      </w:pPr>
      <w:bookmarkStart w:id="1791" w:name="_Toc164664089"/>
    </w:p>
    <w:p w14:paraId="04B34D4C" w14:textId="77777777" w:rsidR="00B01D46" w:rsidRDefault="0067013E">
      <w:pPr>
        <w:pStyle w:val="Heading3"/>
        <w:rPr>
          <w:rFonts w:eastAsia="Calibri"/>
        </w:rPr>
      </w:pPr>
      <w:bookmarkStart w:id="1792" w:name="_Toc165975869"/>
      <w:bookmarkStart w:id="1793" w:name="_Toc165369302"/>
      <w:bookmarkStart w:id="1794" w:name="_Toc184272959"/>
      <w:bookmarkStart w:id="1795" w:name="_Toc165365273"/>
      <w:bookmarkStart w:id="1796" w:name="_Toc165368477"/>
      <w:bookmarkStart w:id="1797" w:name="_Toc165973148"/>
      <w:bookmarkStart w:id="1798" w:name="_Toc165363499"/>
      <w:r>
        <w:rPr>
          <w:rFonts w:eastAsia="Calibri"/>
        </w:rPr>
        <w:lastRenderedPageBreak/>
        <w:t>5.4.5 Role of ICT in Facilitating and Promoting Information Literacy Skills</w:t>
      </w:r>
      <w:bookmarkEnd w:id="1791"/>
      <w:bookmarkEnd w:id="1792"/>
      <w:bookmarkEnd w:id="1793"/>
      <w:bookmarkEnd w:id="1794"/>
      <w:bookmarkEnd w:id="1795"/>
      <w:bookmarkEnd w:id="1796"/>
      <w:bookmarkEnd w:id="1797"/>
      <w:bookmarkEnd w:id="1798"/>
      <w:r>
        <w:rPr>
          <w:rFonts w:eastAsia="Calibri"/>
        </w:rPr>
        <w:t xml:space="preserve">  </w:t>
      </w:r>
    </w:p>
    <w:p w14:paraId="6DA90F2F" w14:textId="77777777" w:rsidR="00B01D46" w:rsidRDefault="0067013E">
      <w:pPr>
        <w:shd w:val="clear" w:color="auto" w:fill="FFFFFF"/>
        <w:tabs>
          <w:tab w:val="left" w:pos="360"/>
        </w:tabs>
        <w:autoSpaceDE w:val="0"/>
        <w:autoSpaceDN w:val="0"/>
        <w:adjustRightInd w:val="0"/>
        <w:spacing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Sauce Model’s ICT integration variable was adopted to underpin ICTs that facilitate the application of various technologies for effective and quality ILS learning (Bond, 2001). The application of ICT in ILS teaching provides new avenues for transferring ILS to students. This facet informs the research on the ICT prowess of Information providers in the library and lecturers. According to Kumar (2009), literacy in ICT enables information professionals to identify, evaluate, organize and disseminate information as and when it’s required for resolving issues and making decisions thereby meeting the exact information requirements of their organization.  The research question being addressed is</w:t>
      </w:r>
      <w:r>
        <w:rPr>
          <w:rFonts w:ascii="Times New Roman" w:eastAsia="Times New Roman" w:hAnsi="Times New Roman" w:cs="Times New Roman"/>
          <w:i/>
          <w:sz w:val="24"/>
          <w:szCs w:val="24"/>
        </w:rPr>
        <w:t xml:space="preserve"> “What is the role of ICT in facilitating and promoting the learning of ILS among medical undergraduate students?”</w:t>
      </w:r>
      <w:r>
        <w:rPr>
          <w:rFonts w:ascii="Times New Roman" w:eastAsia="Times New Roman" w:hAnsi="Times New Roman" w:cs="Times New Roman"/>
          <w:sz w:val="24"/>
          <w:szCs w:val="24"/>
        </w:rPr>
        <w:t xml:space="preserve"> The Cronbach’s Alpha values for this question were 0.877 for items in the researcher’s questionnaire. This suggested a high internal validity of the test items.  Questions G (1-6) of the questionnaire for students (Appendix I), questions G (1-4) of the questionnaire for lecturers (Appendix II), and questions G (1-6) of the interview for heads of department (Appendix III), questions G (1-3) of the interview schedule for university librarians (Appendix IV) and questions G (1-4) of the interview schedule for heads of medical librarians (Appendix V) addressed this question. The results are presented in the following sub-titles.</w:t>
      </w:r>
    </w:p>
    <w:p w14:paraId="09B86F38" w14:textId="77777777" w:rsidR="00B01D46" w:rsidRDefault="0067013E">
      <w:pPr>
        <w:pStyle w:val="Heading4"/>
      </w:pPr>
      <w:bookmarkStart w:id="1799" w:name="_Toc165369303"/>
      <w:bookmarkStart w:id="1800" w:name="_Toc165975870"/>
      <w:bookmarkStart w:id="1801" w:name="_Toc184272960"/>
      <w:bookmarkStart w:id="1802" w:name="_Toc164664090"/>
      <w:bookmarkStart w:id="1803" w:name="_Toc165365274"/>
      <w:bookmarkStart w:id="1804" w:name="_Toc165973149"/>
      <w:bookmarkStart w:id="1805" w:name="_Toc165363500"/>
      <w:bookmarkStart w:id="1806" w:name="_Toc165368478"/>
      <w:r>
        <w:t>5.4.5.1 Integration of ICT Skills with ILS</w:t>
      </w:r>
      <w:bookmarkEnd w:id="1799"/>
      <w:bookmarkEnd w:id="1800"/>
      <w:bookmarkEnd w:id="1801"/>
      <w:bookmarkEnd w:id="1802"/>
      <w:bookmarkEnd w:id="1803"/>
      <w:bookmarkEnd w:id="1804"/>
      <w:bookmarkEnd w:id="1805"/>
      <w:bookmarkEnd w:id="1806"/>
      <w:r>
        <w:t xml:space="preserve"> </w:t>
      </w:r>
    </w:p>
    <w:p w14:paraId="038F759D" w14:textId="77777777" w:rsidR="00B01D46" w:rsidRDefault="0067013E">
      <w:pPr>
        <w:ind w:right="65"/>
        <w:rPr>
          <w:rFonts w:ascii="Times New Roman" w:hAnsi="Times New Roman" w:cs="Times New Roman"/>
          <w:b/>
          <w:sz w:val="24"/>
          <w:szCs w:val="24"/>
        </w:rPr>
      </w:pPr>
      <w:bookmarkStart w:id="1807" w:name="_Toc165365275"/>
      <w:bookmarkStart w:id="1808" w:name="_Toc164664091"/>
      <w:bookmarkStart w:id="1809" w:name="_Toc165368479"/>
      <w:bookmarkStart w:id="1810" w:name="_Toc165363501"/>
      <w:bookmarkStart w:id="1811" w:name="_Toc165369304"/>
      <w:r>
        <w:rPr>
          <w:rFonts w:ascii="Times New Roman" w:hAnsi="Times New Roman" w:cs="Times New Roman"/>
          <w:b/>
          <w:sz w:val="24"/>
          <w:szCs w:val="24"/>
        </w:rPr>
        <w:t>Students’ Integration of ICT Skills with ILS</w:t>
      </w:r>
      <w:bookmarkEnd w:id="1807"/>
      <w:bookmarkEnd w:id="1808"/>
      <w:bookmarkEnd w:id="1809"/>
      <w:bookmarkEnd w:id="1810"/>
      <w:bookmarkEnd w:id="1811"/>
      <w:r>
        <w:rPr>
          <w:rFonts w:ascii="Times New Roman" w:hAnsi="Times New Roman" w:cs="Times New Roman"/>
          <w:b/>
          <w:sz w:val="24"/>
          <w:szCs w:val="24"/>
        </w:rPr>
        <w:t xml:space="preserve"> </w:t>
      </w:r>
    </w:p>
    <w:p w14:paraId="319FB957" w14:textId="77777777" w:rsidR="00B01D46" w:rsidRDefault="0067013E">
      <w:pPr>
        <w:spacing w:before="120" w:after="0" w:line="480" w:lineRule="auto"/>
        <w:ind w:right="65"/>
        <w:rPr>
          <w:rFonts w:ascii="Times New Roman" w:eastAsia="Times New Roman" w:hAnsi="Times New Roman" w:cs="Times New Roman"/>
          <w:sz w:val="24"/>
          <w:szCs w:val="24"/>
        </w:rPr>
      </w:pPr>
      <w:r>
        <w:rPr>
          <w:rFonts w:ascii="Times New Roman" w:hAnsi="Times New Roman" w:cs="Times New Roman"/>
          <w:sz w:val="24"/>
          <w:szCs w:val="24"/>
        </w:rPr>
        <w:t>The study sought to find out how students are integrating ICT skills with ILS. The responses of students are presented in table 5.23.</w:t>
      </w:r>
    </w:p>
    <w:p w14:paraId="57960603" w14:textId="77777777" w:rsidR="00B01D46" w:rsidRDefault="0067013E">
      <w:pPr>
        <w:spacing w:after="0" w:line="240" w:lineRule="auto"/>
        <w:rPr>
          <w:rFonts w:ascii="Times New Roman" w:hAnsi="Times New Roman"/>
          <w:bCs/>
          <w:i/>
          <w:sz w:val="24"/>
          <w:szCs w:val="18"/>
        </w:rPr>
      </w:pPr>
      <w:bookmarkStart w:id="1812" w:name="_Toc165973150"/>
      <w:bookmarkStart w:id="1813" w:name="_Toc165975871"/>
      <w:bookmarkStart w:id="1814" w:name="_Hlk159794027"/>
      <w:bookmarkStart w:id="1815" w:name="_Hlk102295050"/>
      <w:r>
        <w:br w:type="page"/>
      </w:r>
    </w:p>
    <w:p w14:paraId="31717EE7" w14:textId="77777777" w:rsidR="00B01D46" w:rsidRDefault="0067013E">
      <w:pPr>
        <w:pStyle w:val="Caption"/>
      </w:pPr>
      <w:bookmarkStart w:id="1816" w:name="_Toc184272020"/>
      <w:bookmarkStart w:id="1817" w:name="_Toc184276930"/>
      <w:r>
        <w:lastRenderedPageBreak/>
        <w:t>Table 5.25: Students’ Integration of ICT skills with ILS (n=255)</w:t>
      </w:r>
      <w:bookmarkEnd w:id="1812"/>
      <w:bookmarkEnd w:id="1813"/>
      <w:bookmarkEnd w:id="1816"/>
      <w:bookmarkEnd w:id="1817"/>
    </w:p>
    <w:bookmarkEnd w:id="1814"/>
    <w:p w14:paraId="6A1E2747" w14:textId="77777777" w:rsidR="00B01D46" w:rsidRDefault="0067013E">
      <w:pPr>
        <w:spacing w:before="120" w:after="0" w:line="240" w:lineRule="auto"/>
        <w:ind w:right="65"/>
        <w:jc w:val="both"/>
        <w:rPr>
          <w:rFonts w:ascii="Times New Roman" w:eastAsia="Calibri" w:hAnsi="Times New Roman" w:cs="Times New Roman"/>
          <w:b/>
          <w:bCs/>
          <w:sz w:val="24"/>
          <w:szCs w:val="24"/>
        </w:rPr>
      </w:pPr>
      <w:r>
        <w:rPr>
          <w:rFonts w:ascii="Times New Roman" w:hAnsi="Times New Roman" w:cs="Times New Roman"/>
          <w:noProof/>
          <w:sz w:val="24"/>
          <w:szCs w:val="24"/>
        </w:rPr>
        <w:drawing>
          <wp:inline distT="0" distB="0" distL="0" distR="0" wp14:anchorId="4169B549" wp14:editId="0F5C80F2">
            <wp:extent cx="5106035" cy="1519555"/>
            <wp:effectExtent l="0" t="0" r="0" b="4445"/>
            <wp:docPr id="965312948" name="Picture 965312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312948" name="Picture 96531294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131820" cy="1527424"/>
                    </a:xfrm>
                    <a:prstGeom prst="rect">
                      <a:avLst/>
                    </a:prstGeom>
                    <a:noFill/>
                    <a:ln>
                      <a:noFill/>
                    </a:ln>
                  </pic:spPr>
                </pic:pic>
              </a:graphicData>
            </a:graphic>
          </wp:inline>
        </w:drawing>
      </w:r>
    </w:p>
    <w:p w14:paraId="21D5B3F3" w14:textId="77777777" w:rsidR="00B01D46" w:rsidRDefault="0067013E">
      <w:pPr>
        <w:spacing w:before="120" w:after="0" w:line="24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Source: Field data (2021)</w:t>
      </w:r>
    </w:p>
    <w:bookmarkEnd w:id="1815"/>
    <w:p w14:paraId="1E652CFF" w14:textId="77777777" w:rsidR="00B01D46" w:rsidRDefault="00B01D46">
      <w:pPr>
        <w:spacing w:before="120" w:after="0" w:line="240" w:lineRule="auto"/>
        <w:ind w:right="65"/>
        <w:jc w:val="both"/>
        <w:rPr>
          <w:rFonts w:ascii="Times New Roman" w:eastAsia="Calibri" w:hAnsi="Times New Roman" w:cs="Times New Roman"/>
          <w:sz w:val="24"/>
          <w:szCs w:val="24"/>
          <w:shd w:val="clear" w:color="auto" w:fill="FFFFFF"/>
        </w:rPr>
      </w:pPr>
    </w:p>
    <w:p w14:paraId="2A7C0390"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shd w:val="clear" w:color="auto" w:fill="FFFFFF"/>
        </w:rPr>
        <w:t>The findings of the study indicate that 230(90.20%)</w:t>
      </w:r>
      <w:r>
        <w:rPr>
          <w:rFonts w:ascii="Times New Roman" w:eastAsia="Times New Roman" w:hAnsi="Times New Roman" w:cs="Times New Roman"/>
          <w:color w:val="000000"/>
          <w:sz w:val="24"/>
          <w:szCs w:val="24"/>
        </w:rPr>
        <w:t xml:space="preserve">, 227(89.01%),  220(86.27%),  23(9.12%), 52(20.39%) and 88(34.50%)  </w:t>
      </w:r>
      <w:r>
        <w:rPr>
          <w:rFonts w:ascii="Times New Roman" w:eastAsia="Calibri" w:hAnsi="Times New Roman" w:cs="Times New Roman"/>
          <w:sz w:val="24"/>
          <w:szCs w:val="24"/>
          <w:shd w:val="clear" w:color="auto" w:fill="FFFFFF"/>
        </w:rPr>
        <w:t xml:space="preserve">of the respondents assented that they </w:t>
      </w:r>
      <w:r>
        <w:rPr>
          <w:rFonts w:ascii="Times New Roman" w:eastAsia="Times New Roman" w:hAnsi="Times New Roman" w:cs="Times New Roman"/>
          <w:color w:val="000000"/>
          <w:sz w:val="24"/>
          <w:szCs w:val="24"/>
        </w:rPr>
        <w:t>utilize computers to prepare reports and answers to term papers, use email or other online communication programs effectively, use the internet to search for course-related materials, they understood how to evaluate free information on the internet for validity, that electronic sources were their priority source of information when looking for information, and  can perform data analysis with computer packages in that order.</w:t>
      </w:r>
    </w:p>
    <w:p w14:paraId="72A16561"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 the other hand, 20(7.84%) 16(6.27%) , 16(6.27%), 213(83.52%),  223 (87.45%), 181(70.98%) and 133(52.16%) of the respondents dissented that they use computers to prepare reports and term papers, they use email or other online communication programs effectively,  they use the internet to search for course-related materials, use electronic databases with ease to get the needed information,  understood how to evaluate free information on the internet for validity, electronic sources were their priority source of information when looking for information and can perform data analysis with computer packages correspondingly  </w:t>
      </w:r>
    </w:p>
    <w:p w14:paraId="34BB31AD" w14:textId="77777777" w:rsidR="00B01D46" w:rsidRDefault="00B01D46">
      <w:pPr>
        <w:spacing w:after="0" w:line="240" w:lineRule="auto"/>
        <w:ind w:right="65"/>
        <w:jc w:val="both"/>
        <w:rPr>
          <w:rFonts w:ascii="Times New Roman" w:eastAsia="Times New Roman" w:hAnsi="Times New Roman" w:cs="Times New Roman"/>
          <w:color w:val="000000"/>
          <w:sz w:val="24"/>
          <w:szCs w:val="24"/>
        </w:rPr>
      </w:pPr>
    </w:p>
    <w:p w14:paraId="0C6D8202" w14:textId="77777777" w:rsidR="00B01D46" w:rsidRDefault="0067013E">
      <w:pPr>
        <w:spacing w:after="0" w:line="240" w:lineRule="auto"/>
        <w:rPr>
          <w:rFonts w:ascii="Times New Roman" w:hAnsi="Times New Roman" w:cs="Times New Roman"/>
          <w:b/>
          <w:sz w:val="24"/>
          <w:szCs w:val="24"/>
        </w:rPr>
      </w:pPr>
      <w:bookmarkStart w:id="1818" w:name="_Toc164664092"/>
      <w:bookmarkStart w:id="1819" w:name="_Toc165368480"/>
      <w:bookmarkStart w:id="1820" w:name="_Toc165363502"/>
      <w:bookmarkStart w:id="1821" w:name="_Toc165369306"/>
      <w:bookmarkStart w:id="1822" w:name="_Toc165365276"/>
      <w:r>
        <w:rPr>
          <w:rFonts w:ascii="Times New Roman" w:hAnsi="Times New Roman" w:cs="Times New Roman"/>
          <w:b/>
          <w:sz w:val="24"/>
          <w:szCs w:val="24"/>
        </w:rPr>
        <w:br w:type="page"/>
      </w:r>
    </w:p>
    <w:p w14:paraId="60213721" w14:textId="77777777" w:rsidR="00B01D46" w:rsidRDefault="0067013E">
      <w:pPr>
        <w:spacing w:after="0" w:line="480" w:lineRule="auto"/>
        <w:ind w:right="65"/>
        <w:rPr>
          <w:rFonts w:ascii="Times New Roman" w:hAnsi="Times New Roman" w:cs="Times New Roman"/>
          <w:b/>
          <w:sz w:val="24"/>
          <w:szCs w:val="24"/>
        </w:rPr>
      </w:pPr>
      <w:r>
        <w:rPr>
          <w:rFonts w:ascii="Times New Roman" w:hAnsi="Times New Roman" w:cs="Times New Roman"/>
          <w:b/>
          <w:sz w:val="24"/>
          <w:szCs w:val="24"/>
        </w:rPr>
        <w:lastRenderedPageBreak/>
        <w:t>The Lecturers’ Response on Students’ Integration of ICT Skills with ILS</w:t>
      </w:r>
      <w:bookmarkEnd w:id="1818"/>
      <w:bookmarkEnd w:id="1819"/>
      <w:bookmarkEnd w:id="1820"/>
      <w:bookmarkEnd w:id="1821"/>
      <w:bookmarkEnd w:id="1822"/>
      <w:r>
        <w:rPr>
          <w:rFonts w:ascii="Times New Roman" w:hAnsi="Times New Roman" w:cs="Times New Roman"/>
          <w:b/>
          <w:sz w:val="24"/>
          <w:szCs w:val="24"/>
        </w:rPr>
        <w:t xml:space="preserve"> </w:t>
      </w:r>
    </w:p>
    <w:p w14:paraId="754CD3DD" w14:textId="77777777" w:rsidR="00B01D46" w:rsidRDefault="0067013E">
      <w:pPr>
        <w:pStyle w:val="NoSpacing"/>
        <w:spacing w:line="480" w:lineRule="auto"/>
        <w:ind w:left="0" w:right="65" w:hanging="14"/>
        <w:rPr>
          <w:rFonts w:ascii="Times New Roman" w:hAnsi="Times New Roman" w:cs="Times New Roman"/>
          <w:sz w:val="24"/>
          <w:szCs w:val="24"/>
        </w:rPr>
      </w:pPr>
      <w:r>
        <w:rPr>
          <w:rFonts w:ascii="Times New Roman" w:hAnsi="Times New Roman" w:cs="Times New Roman"/>
          <w:sz w:val="24"/>
          <w:szCs w:val="24"/>
        </w:rPr>
        <w:t xml:space="preserve">The study aimed to discover </w:t>
      </w:r>
      <w:bookmarkStart w:id="1823" w:name="_Hlk154896504"/>
      <w:r>
        <w:rPr>
          <w:rFonts w:ascii="Times New Roman" w:hAnsi="Times New Roman" w:cs="Times New Roman"/>
          <w:sz w:val="24"/>
          <w:szCs w:val="24"/>
        </w:rPr>
        <w:t>how students integrate ICT skills with ILS</w:t>
      </w:r>
      <w:bookmarkEnd w:id="1823"/>
      <w:r>
        <w:rPr>
          <w:rFonts w:ascii="Times New Roman" w:hAnsi="Times New Roman" w:cs="Times New Roman"/>
          <w:sz w:val="24"/>
          <w:szCs w:val="24"/>
        </w:rPr>
        <w:t>. The reactions from lecturers are shown in Table 5.26.</w:t>
      </w:r>
    </w:p>
    <w:p w14:paraId="1F68AE30" w14:textId="77777777" w:rsidR="00B01D46" w:rsidRDefault="0067013E">
      <w:pPr>
        <w:pStyle w:val="Caption"/>
      </w:pPr>
      <w:bookmarkStart w:id="1824" w:name="_Toc184276931"/>
      <w:bookmarkStart w:id="1825" w:name="_Toc165363503"/>
      <w:bookmarkStart w:id="1826" w:name="_Toc184272021"/>
      <w:bookmarkStart w:id="1827" w:name="_Toc165973151"/>
      <w:bookmarkStart w:id="1828" w:name="_Toc165975872"/>
      <w:bookmarkStart w:id="1829" w:name="_Toc165365277"/>
      <w:bookmarkStart w:id="1830" w:name="_Hlk159794054"/>
      <w:r>
        <w:t>Table 5.26: The Lecturers’ Response on Students’ Integration of ICT Skills with ILS</w:t>
      </w:r>
      <w:bookmarkEnd w:id="1824"/>
      <w:bookmarkEnd w:id="1825"/>
      <w:bookmarkEnd w:id="1826"/>
      <w:bookmarkEnd w:id="1827"/>
      <w:bookmarkEnd w:id="1828"/>
      <w:bookmarkEnd w:id="1829"/>
      <w:r>
        <w:t xml:space="preserve"> </w:t>
      </w:r>
    </w:p>
    <w:bookmarkEnd w:id="1830"/>
    <w:p w14:paraId="0DEF264E" w14:textId="77777777" w:rsidR="00B01D46" w:rsidRDefault="0067013E">
      <w:pPr>
        <w:spacing w:before="120" w:after="0" w:line="240" w:lineRule="auto"/>
        <w:ind w:right="65"/>
        <w:jc w:val="both"/>
        <w:rPr>
          <w:rFonts w:ascii="Times New Roman" w:eastAsia="Calibri" w:hAnsi="Times New Roman" w:cs="Times New Roman"/>
          <w:b/>
          <w:bCs/>
          <w:sz w:val="24"/>
          <w:szCs w:val="24"/>
        </w:rPr>
      </w:pPr>
      <w:r>
        <w:rPr>
          <w:rFonts w:ascii="Times New Roman" w:hAnsi="Times New Roman" w:cs="Times New Roman"/>
          <w:noProof/>
          <w:sz w:val="24"/>
          <w:szCs w:val="24"/>
        </w:rPr>
        <w:drawing>
          <wp:inline distT="0" distB="0" distL="0" distR="0" wp14:anchorId="6ACB8C11" wp14:editId="1DC9654F">
            <wp:extent cx="5120640" cy="1624330"/>
            <wp:effectExtent l="0" t="0" r="3810" b="0"/>
            <wp:docPr id="1019884245" name="Picture 1019884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884245" name="Picture 101988424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139359" cy="1630758"/>
                    </a:xfrm>
                    <a:prstGeom prst="rect">
                      <a:avLst/>
                    </a:prstGeom>
                    <a:noFill/>
                    <a:ln>
                      <a:noFill/>
                    </a:ln>
                  </pic:spPr>
                </pic:pic>
              </a:graphicData>
            </a:graphic>
          </wp:inline>
        </w:drawing>
      </w:r>
    </w:p>
    <w:p w14:paraId="2A9D4106" w14:textId="77777777" w:rsidR="00B01D46" w:rsidRDefault="0067013E">
      <w:pPr>
        <w:spacing w:before="120" w:after="0" w:line="240" w:lineRule="auto"/>
        <w:ind w:right="65"/>
        <w:jc w:val="both"/>
        <w:rPr>
          <w:rFonts w:ascii="Times New Roman" w:eastAsia="Calibri" w:hAnsi="Times New Roman" w:cs="Times New Roman"/>
          <w:b/>
          <w:i/>
          <w:sz w:val="24"/>
          <w:szCs w:val="24"/>
        </w:rPr>
      </w:pPr>
      <w:r>
        <w:rPr>
          <w:rFonts w:ascii="Times New Roman" w:eastAsia="Calibri" w:hAnsi="Times New Roman" w:cs="Times New Roman"/>
          <w:b/>
          <w:bCs/>
          <w:i/>
          <w:sz w:val="24"/>
          <w:szCs w:val="24"/>
        </w:rPr>
        <w:t>Source:</w:t>
      </w:r>
      <w:r>
        <w:rPr>
          <w:rFonts w:ascii="Times New Roman" w:eastAsia="Calibri" w:hAnsi="Times New Roman" w:cs="Times New Roman"/>
          <w:b/>
          <w:i/>
          <w:sz w:val="24"/>
          <w:szCs w:val="24"/>
        </w:rPr>
        <w:t xml:space="preserve"> Field data (2021</w:t>
      </w:r>
    </w:p>
    <w:p w14:paraId="6DD44FFB" w14:textId="77777777" w:rsidR="00B01D46" w:rsidRDefault="00B01D46">
      <w:pPr>
        <w:spacing w:before="120" w:after="0" w:line="240" w:lineRule="auto"/>
        <w:ind w:right="65"/>
        <w:jc w:val="both"/>
        <w:rPr>
          <w:rFonts w:ascii="Times New Roman" w:eastAsia="Calibri" w:hAnsi="Times New Roman" w:cs="Times New Roman"/>
          <w:sz w:val="24"/>
          <w:szCs w:val="24"/>
          <w:shd w:val="clear" w:color="auto" w:fill="FFFFFF"/>
        </w:rPr>
      </w:pPr>
    </w:p>
    <w:p w14:paraId="050D30FF"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shd w:val="clear" w:color="auto" w:fill="FFFFFF"/>
        </w:rPr>
        <w:t xml:space="preserve">From the results presented in table 5.26, 47 (75.81%), </w:t>
      </w:r>
      <w:r>
        <w:rPr>
          <w:rFonts w:ascii="Times New Roman" w:eastAsia="Times New Roman" w:hAnsi="Times New Roman" w:cs="Times New Roman"/>
          <w:color w:val="000000"/>
          <w:sz w:val="24"/>
          <w:szCs w:val="24"/>
        </w:rPr>
        <w:t>46 (74.19%), 8 (12.90%)</w:t>
      </w:r>
      <w:r>
        <w:rPr>
          <w:rFonts w:ascii="Times New Roman" w:eastAsia="Calibri" w:hAnsi="Times New Roman" w:cs="Times New Roman"/>
          <w:b/>
          <w:bCs/>
          <w:sz w:val="24"/>
          <w:szCs w:val="24"/>
          <w:shd w:val="clear" w:color="auto" w:fill="FFFFFF"/>
        </w:rPr>
        <w:t xml:space="preserve">, </w:t>
      </w:r>
      <w:r>
        <w:rPr>
          <w:rFonts w:ascii="Times New Roman" w:eastAsia="Times New Roman" w:hAnsi="Times New Roman" w:cs="Times New Roman"/>
          <w:color w:val="000000"/>
          <w:sz w:val="24"/>
          <w:szCs w:val="24"/>
        </w:rPr>
        <w:t xml:space="preserve">20 (32.16%), 14 (22.58%), 13 (20.97%) and 12 (19.36%)    </w:t>
      </w:r>
      <w:r>
        <w:rPr>
          <w:rFonts w:ascii="Times New Roman" w:eastAsia="Calibri" w:hAnsi="Times New Roman" w:cs="Times New Roman"/>
          <w:sz w:val="24"/>
          <w:szCs w:val="24"/>
          <w:shd w:val="clear" w:color="auto" w:fill="FFFFFF"/>
        </w:rPr>
        <w:t>of the respondents agreed that students use</w:t>
      </w:r>
      <w:r>
        <w:rPr>
          <w:rFonts w:ascii="Times New Roman" w:eastAsia="Times New Roman" w:hAnsi="Times New Roman" w:cs="Times New Roman"/>
          <w:color w:val="000000"/>
          <w:sz w:val="24"/>
          <w:szCs w:val="24"/>
        </w:rPr>
        <w:t xml:space="preserve"> computers to prepare reports and answers to term papers assignments, use email or other online communication programs effectively, use the internet to search for course-related materials,  use electronic databases with ease to get the needed information, understand how to evaluate free information on the internet for validity, electronic sources were students’ priority source of information when looking for information and they can undertake analysis of data  with computer packages in that order.</w:t>
      </w:r>
    </w:p>
    <w:p w14:paraId="661D4DD2"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However, 11 (17.74%), 13 (20.97%), </w:t>
      </w:r>
      <w:bookmarkStart w:id="1831" w:name="_Hlk132356662"/>
      <w:r>
        <w:rPr>
          <w:rFonts w:ascii="Times New Roman" w:eastAsia="Times New Roman" w:hAnsi="Times New Roman" w:cs="Times New Roman"/>
          <w:color w:val="000000"/>
          <w:sz w:val="24"/>
          <w:szCs w:val="24"/>
        </w:rPr>
        <w:t xml:space="preserve">52 (83.87%), </w:t>
      </w:r>
      <w:bookmarkEnd w:id="1831"/>
      <w:r>
        <w:rPr>
          <w:rFonts w:ascii="Times New Roman" w:eastAsia="Times New Roman" w:hAnsi="Times New Roman" w:cs="Times New Roman"/>
          <w:color w:val="000000"/>
          <w:sz w:val="24"/>
          <w:szCs w:val="24"/>
        </w:rPr>
        <w:t>33 (53.3%), 45 (72.59%), 46 (74.19%) and 48 (77.41%) of the respondents disagreed that</w:t>
      </w:r>
      <w:r>
        <w:rPr>
          <w:rFonts w:ascii="Times New Roman" w:eastAsia="Calibri" w:hAnsi="Times New Roman" w:cs="Times New Roman"/>
          <w:sz w:val="24"/>
          <w:szCs w:val="24"/>
          <w:shd w:val="clear" w:color="auto" w:fill="FFFFFF"/>
        </w:rPr>
        <w:t xml:space="preserve"> students</w:t>
      </w:r>
      <w:r>
        <w:rPr>
          <w:rFonts w:ascii="Times New Roman" w:eastAsia="Times New Roman" w:hAnsi="Times New Roman" w:cs="Times New Roman"/>
          <w:color w:val="000000"/>
          <w:sz w:val="24"/>
          <w:szCs w:val="24"/>
        </w:rPr>
        <w:t xml:space="preserve"> use computers to prepare reports and term papers, use email or other online communication programs effectively, use the internet to search for course-related materials, use electronic databases with ease to get the needed information, understand how to evaluate free information on the internet for validity, use electronic sources as their </w:t>
      </w:r>
      <w:r>
        <w:rPr>
          <w:rFonts w:ascii="Times New Roman" w:eastAsia="Times New Roman" w:hAnsi="Times New Roman" w:cs="Times New Roman"/>
          <w:color w:val="000000"/>
          <w:sz w:val="24"/>
          <w:szCs w:val="24"/>
        </w:rPr>
        <w:lastRenderedPageBreak/>
        <w:t>priority source of information when looking for information, and can carry out analysis of data using computer packages correspondingly.</w:t>
      </w:r>
    </w:p>
    <w:p w14:paraId="0D3F716B" w14:textId="77777777" w:rsidR="00B01D46" w:rsidRDefault="0067013E">
      <w:pPr>
        <w:spacing w:before="120" w:after="0" w:line="480" w:lineRule="auto"/>
        <w:ind w:right="65"/>
        <w:jc w:val="both"/>
        <w:rPr>
          <w:rFonts w:ascii="Times New Roman" w:hAnsi="Times New Roman" w:cs="Times New Roman"/>
          <w:sz w:val="24"/>
          <w:szCs w:val="24"/>
        </w:rPr>
      </w:pPr>
      <w:bookmarkStart w:id="1832" w:name="_Hlk132356831"/>
      <w:r>
        <w:rPr>
          <w:rFonts w:ascii="Times New Roman" w:hAnsi="Times New Roman" w:cs="Times New Roman"/>
          <w:sz w:val="24"/>
          <w:szCs w:val="24"/>
        </w:rPr>
        <w:t>Results from interviews with university librarians, department directors, and heads of medical librarians demonstrated that students require appropriate ICT competencies to search and evaluate databases, as well as access legitimate information resources on the internet, employ various digital technologies, communication tools, and/or networks to identify information needs, evaluate information, and develop new information.</w:t>
      </w:r>
      <w:bookmarkEnd w:id="1832"/>
    </w:p>
    <w:p w14:paraId="55EEE093"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One head of department (HOD 06) held:</w:t>
      </w:r>
    </w:p>
    <w:p w14:paraId="482A44EA" w14:textId="77777777" w:rsidR="00B01D46" w:rsidRDefault="0067013E">
      <w:pPr>
        <w:spacing w:before="120" w:after="0" w:line="240" w:lineRule="auto"/>
        <w:ind w:left="720" w:right="78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“…majority of the students don’t possess adequate ICT skills. Many students think that copying information from Wikipedia constitute proficiency in ICTs but this is not the case. Many students don’t know how to conduct research through access to vast e-databases and how use ICT solutions like STATA, Webex among others to analyse their research data and hence generate new knowledge…”</w:t>
      </w:r>
    </w:p>
    <w:p w14:paraId="18A292DC" w14:textId="77777777" w:rsidR="00B01D46" w:rsidRDefault="0067013E">
      <w:pPr>
        <w:spacing w:before="120" w:after="0" w:line="24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One university librarian (UL01) said:</w:t>
      </w:r>
    </w:p>
    <w:p w14:paraId="2FE8D133" w14:textId="77777777" w:rsidR="00B01D46" w:rsidRDefault="00B01D46">
      <w:pPr>
        <w:spacing w:before="120" w:after="0" w:line="240" w:lineRule="auto"/>
        <w:ind w:right="65"/>
        <w:jc w:val="both"/>
        <w:rPr>
          <w:rFonts w:ascii="Times New Roman" w:eastAsia="Calibri" w:hAnsi="Times New Roman" w:cs="Times New Roman"/>
          <w:color w:val="000000"/>
          <w:sz w:val="24"/>
          <w:szCs w:val="24"/>
        </w:rPr>
      </w:pPr>
    </w:p>
    <w:p w14:paraId="11AE4BC0" w14:textId="77777777" w:rsidR="00B01D46" w:rsidRDefault="0067013E">
      <w:pPr>
        <w:spacing w:before="120" w:after="0" w:line="240" w:lineRule="auto"/>
        <w:ind w:left="720" w:right="785"/>
        <w:jc w:val="both"/>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“…whereas </w:t>
      </w:r>
      <w:r>
        <w:rPr>
          <w:rFonts w:ascii="Times New Roman" w:eastAsia="Calibri" w:hAnsi="Times New Roman" w:cs="Times New Roman"/>
          <w:i/>
          <w:iCs/>
          <w:sz w:val="24"/>
          <w:szCs w:val="24"/>
        </w:rPr>
        <w:t>ICT support various types of interactions in the learning environment that is student – content, student-student, student-lecturer, and student-system interface, many students don’t possess sufficient ICT skills hence restricted in their quest to retrieve and use relevant information…”</w:t>
      </w:r>
    </w:p>
    <w:p w14:paraId="669CBD65" w14:textId="77777777" w:rsidR="00B01D46" w:rsidRDefault="00B01D46">
      <w:pPr>
        <w:spacing w:before="120" w:after="0" w:line="240" w:lineRule="auto"/>
        <w:ind w:right="65"/>
        <w:jc w:val="both"/>
        <w:rPr>
          <w:rFonts w:ascii="Times New Roman" w:eastAsia="Calibri" w:hAnsi="Times New Roman" w:cs="Times New Roman"/>
          <w:i/>
          <w:iCs/>
          <w:sz w:val="24"/>
          <w:szCs w:val="24"/>
        </w:rPr>
      </w:pPr>
    </w:p>
    <w:p w14:paraId="261AB1D2" w14:textId="77777777" w:rsidR="00B01D46" w:rsidRDefault="0067013E">
      <w:pPr>
        <w:pStyle w:val="Heading4"/>
      </w:pPr>
      <w:bookmarkStart w:id="1833" w:name="_Toc165973152"/>
      <w:bookmarkStart w:id="1834" w:name="_Toc165369308"/>
      <w:bookmarkStart w:id="1835" w:name="_Toc165365278"/>
      <w:bookmarkStart w:id="1836" w:name="_Toc184272961"/>
      <w:bookmarkStart w:id="1837" w:name="_Toc164664093"/>
      <w:bookmarkStart w:id="1838" w:name="_Toc165975873"/>
      <w:bookmarkStart w:id="1839" w:name="_Toc165363504"/>
      <w:r>
        <w:t>5.4.5.2 Integration of ICT Skills in ILS Training</w:t>
      </w:r>
      <w:bookmarkEnd w:id="1833"/>
      <w:bookmarkEnd w:id="1834"/>
      <w:bookmarkEnd w:id="1835"/>
      <w:bookmarkEnd w:id="1836"/>
      <w:bookmarkEnd w:id="1837"/>
      <w:bookmarkEnd w:id="1838"/>
      <w:bookmarkEnd w:id="1839"/>
    </w:p>
    <w:p w14:paraId="69248EDE" w14:textId="77777777" w:rsidR="00B01D46" w:rsidRDefault="0067013E">
      <w:pPr>
        <w:spacing w:after="0" w:line="48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The lecturers’ integration of ICT skills in ILS training </w:t>
      </w:r>
    </w:p>
    <w:p w14:paraId="3A89C2B9"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lecturers were requested to explain how they used ICT to teach ILS. Table 5.24 summarizes the findings.</w:t>
      </w:r>
    </w:p>
    <w:p w14:paraId="52001882" w14:textId="77777777" w:rsidR="00B01D46" w:rsidRDefault="0067013E">
      <w:pPr>
        <w:pStyle w:val="Caption"/>
        <w:rPr>
          <w:rFonts w:eastAsia="Calibri"/>
        </w:rPr>
      </w:pPr>
      <w:bookmarkStart w:id="1840" w:name="_Toc165975874"/>
      <w:bookmarkStart w:id="1841" w:name="_Toc165973153"/>
      <w:bookmarkStart w:id="1842" w:name="_Hlk159794094"/>
      <w:bookmarkStart w:id="1843" w:name="_Toc184272022"/>
      <w:bookmarkStart w:id="1844" w:name="_Toc184276932"/>
      <w:r>
        <w:lastRenderedPageBreak/>
        <w:t>Table 5.27: The Lecturers’ Response on ICT Skills Integration in ILS Training</w:t>
      </w:r>
      <w:bookmarkEnd w:id="1840"/>
      <w:bookmarkEnd w:id="1841"/>
      <w:r>
        <w:t xml:space="preserve"> </w:t>
      </w:r>
      <w:bookmarkEnd w:id="1842"/>
      <w:r>
        <w:rPr>
          <w:noProof/>
        </w:rPr>
        <w:drawing>
          <wp:inline distT="0" distB="0" distL="0" distR="0" wp14:anchorId="5240485D" wp14:editId="0724E843">
            <wp:extent cx="5092700" cy="1068705"/>
            <wp:effectExtent l="0" t="0" r="0" b="0"/>
            <wp:docPr id="1670393956" name="Picture 1670393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93956" name="Picture 167039395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5162890" cy="1083876"/>
                    </a:xfrm>
                    <a:prstGeom prst="rect">
                      <a:avLst/>
                    </a:prstGeom>
                    <a:noFill/>
                    <a:ln>
                      <a:noFill/>
                    </a:ln>
                  </pic:spPr>
                </pic:pic>
              </a:graphicData>
            </a:graphic>
          </wp:inline>
        </w:drawing>
      </w:r>
      <w:bookmarkStart w:id="1845" w:name="_Hlk103710769"/>
      <w:r>
        <w:rPr>
          <w:rFonts w:eastAsia="Calibri"/>
        </w:rPr>
        <w:t>Source: Field data (2021)</w:t>
      </w:r>
      <w:bookmarkEnd w:id="1843"/>
      <w:bookmarkEnd w:id="1844"/>
    </w:p>
    <w:bookmarkEnd w:id="1845"/>
    <w:p w14:paraId="68B9233E"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results of the findings indicate that 59 (95.16%), 59 (95.16%), 41 (66.13%), 57 (91.93%) and 57(91.93%) of the respondents assented that they use ICT resources for the preparation of lecture notes, deploy ICT resources during lecture delivery, utilize ICT when conducting assessments, use ICT to prepare assignments and term papers, and use ICT to support the ILS learning of students with special needs and different learning styles respectively.</w:t>
      </w:r>
    </w:p>
    <w:p w14:paraId="2189F092"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On the contrary 2 (3.23%), 2 (3.23%), 12 (20.35%), 3 (4.94%), and 3 (4.94%) of the respondents disagreed that they use ICT resources for the preparation of lecture notes, deploy ICT resources during lecture delivery, utilize ICT when conducting assessments, use ICT to prepare assignments and term papers, and use ICT to support the ILS learning of students with special needs and different learning styles correspondingly. </w:t>
      </w:r>
    </w:p>
    <w:p w14:paraId="43DECBDC"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interviews conducted with university librarians, heads of departments, and heads of medical librarians revealed that lecturers apply ICTs in the delivery of ILS through the preparation, of course, teaching materials, communication with students for example use of email and WhatsApp; online teaching/content delivery for example use of Microsoft Teams, MUSOMI, M-Elimu and Zoom solutions; preparation and of Power-point Presentation slides during lecturing, checking similarity indexes of submitted clinical and term papers.</w:t>
      </w:r>
    </w:p>
    <w:p w14:paraId="553F80F3" w14:textId="77777777" w:rsidR="00B01D46" w:rsidRDefault="0067013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0042D5CE"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One head of department (HD06) held that:</w:t>
      </w:r>
    </w:p>
    <w:p w14:paraId="1F10E60D" w14:textId="77777777" w:rsidR="00B01D46" w:rsidRDefault="0067013E">
      <w:pPr>
        <w:spacing w:before="120" w:after="0" w:line="240" w:lineRule="auto"/>
        <w:ind w:left="720" w:right="9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“…with the availability of smartboards and mounting of LCD projectors in our lecture rooms and clinical rooms, lecturers in my department use PowerPoint slides to deliver their lectures to undergraduate students. Because we are having a blended teaching model of utilizing online teaching and physical teaching because of COVID-19 Pandemic our lecturers are exploiting online solutions like Zoom, Microsoft Teams, MUSOMI, M-Elimu…”</w:t>
      </w:r>
    </w:p>
    <w:p w14:paraId="66564CA0" w14:textId="77777777" w:rsidR="00B01D46" w:rsidRDefault="00B01D46">
      <w:pPr>
        <w:spacing w:before="120" w:after="0" w:line="240" w:lineRule="auto"/>
        <w:ind w:right="65"/>
        <w:jc w:val="both"/>
        <w:rPr>
          <w:rFonts w:ascii="Times New Roman" w:eastAsia="Calibri" w:hAnsi="Times New Roman" w:cs="Times New Roman"/>
          <w:sz w:val="24"/>
          <w:szCs w:val="24"/>
        </w:rPr>
      </w:pPr>
    </w:p>
    <w:p w14:paraId="17C67E6E"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One head medical librarian (ML02) remarked:</w:t>
      </w:r>
    </w:p>
    <w:p w14:paraId="34ECEF72" w14:textId="77777777" w:rsidR="00B01D46" w:rsidRDefault="0067013E">
      <w:pPr>
        <w:spacing w:before="120" w:after="0" w:line="240" w:lineRule="auto"/>
        <w:ind w:left="720" w:right="9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“…to ensure independent learning lecturers have been taken through training and seminars on how to check for similarity index of assignments submitted by students. Consequently, lecturers have been allocated user accounts in the similarity index checker solution to facilitate them in this task...”</w:t>
      </w:r>
    </w:p>
    <w:p w14:paraId="00AAA5B6" w14:textId="77777777" w:rsidR="00B01D46" w:rsidRDefault="00B01D46">
      <w:pPr>
        <w:spacing w:before="120" w:after="0" w:line="240" w:lineRule="auto"/>
        <w:ind w:left="567" w:right="65"/>
        <w:jc w:val="both"/>
        <w:rPr>
          <w:rFonts w:ascii="Times New Roman" w:eastAsia="Calibri" w:hAnsi="Times New Roman" w:cs="Times New Roman"/>
          <w:i/>
          <w:iCs/>
          <w:sz w:val="24"/>
          <w:szCs w:val="24"/>
        </w:rPr>
      </w:pPr>
    </w:p>
    <w:p w14:paraId="2DA3DA8F" w14:textId="77777777" w:rsidR="00B01D46" w:rsidRDefault="0067013E">
      <w:pPr>
        <w:pStyle w:val="Heading4"/>
        <w:ind w:left="720" w:hanging="720"/>
      </w:pPr>
      <w:bookmarkStart w:id="1846" w:name="_Toc165973154"/>
      <w:bookmarkStart w:id="1847" w:name="_Toc165975875"/>
      <w:bookmarkStart w:id="1848" w:name="_Toc164664094"/>
      <w:bookmarkStart w:id="1849" w:name="_Toc165363505"/>
      <w:bookmarkStart w:id="1850" w:name="_Toc184272962"/>
      <w:bookmarkStart w:id="1851" w:name="_Toc165365279"/>
      <w:bookmarkStart w:id="1852" w:name="_Toc165369310"/>
      <w:r>
        <w:rPr>
          <w:rStyle w:val="Heading3Char"/>
          <w:rFonts w:eastAsia="Calibri"/>
          <w:b/>
          <w:bCs w:val="0"/>
          <w:szCs w:val="24"/>
        </w:rPr>
        <w:t>5.4.5.3</w:t>
      </w:r>
      <w:bookmarkStart w:id="1853" w:name="_Hlk133408123"/>
      <w:r>
        <w:rPr>
          <w:rStyle w:val="Heading3Char"/>
          <w:rFonts w:eastAsia="Calibri"/>
          <w:b/>
          <w:bCs w:val="0"/>
          <w:szCs w:val="24"/>
        </w:rPr>
        <w:t xml:space="preserve"> Types of ICT Tools and Devices used for ILS Learning and Training to Medical</w:t>
      </w:r>
      <w:r>
        <w:t xml:space="preserve"> Undergraduate Students</w:t>
      </w:r>
      <w:bookmarkEnd w:id="1846"/>
      <w:bookmarkEnd w:id="1847"/>
      <w:bookmarkEnd w:id="1848"/>
      <w:bookmarkEnd w:id="1849"/>
      <w:bookmarkEnd w:id="1850"/>
      <w:bookmarkEnd w:id="1851"/>
      <w:bookmarkEnd w:id="1852"/>
      <w:r>
        <w:t xml:space="preserve"> </w:t>
      </w:r>
      <w:bookmarkEnd w:id="1853"/>
    </w:p>
    <w:p w14:paraId="02047692" w14:textId="77777777" w:rsidR="00B01D46" w:rsidRDefault="0067013E">
      <w:pPr>
        <w:spacing w:before="120" w:after="0" w:line="480" w:lineRule="auto"/>
        <w:ind w:right="65"/>
        <w:jc w:val="both"/>
        <w:rPr>
          <w:rFonts w:ascii="Times New Roman" w:hAnsi="Times New Roman" w:cs="Times New Roman"/>
          <w:b/>
          <w:sz w:val="24"/>
          <w:szCs w:val="24"/>
        </w:rPr>
      </w:pPr>
      <w:r>
        <w:rPr>
          <w:rFonts w:ascii="Times New Roman" w:hAnsi="Times New Roman" w:cs="Times New Roman"/>
          <w:bCs/>
          <w:sz w:val="24"/>
          <w:szCs w:val="24"/>
        </w:rPr>
        <w:t>Table 5.28,</w:t>
      </w:r>
      <w:r>
        <w:rPr>
          <w:rFonts w:ascii="Times New Roman" w:hAnsi="Times New Roman" w:cs="Times New Roman"/>
          <w:b/>
          <w:sz w:val="24"/>
          <w:szCs w:val="24"/>
        </w:rPr>
        <w:t xml:space="preserve"> </w:t>
      </w:r>
      <w:r>
        <w:rPr>
          <w:rFonts w:ascii="Times New Roman" w:eastAsia="Calibri" w:hAnsi="Times New Roman" w:cs="Times New Roman"/>
          <w:sz w:val="24"/>
          <w:szCs w:val="24"/>
        </w:rPr>
        <w:t xml:space="preserve">shows the various </w:t>
      </w:r>
      <w:r>
        <w:rPr>
          <w:rFonts w:ascii="Times New Roman" w:hAnsi="Times New Roman" w:cs="Times New Roman"/>
          <w:sz w:val="24"/>
          <w:szCs w:val="24"/>
        </w:rPr>
        <w:t>ICT tools and devices used for teaching ILS to medical undergraduate students according to the student respondents.</w:t>
      </w:r>
      <w:r>
        <w:rPr>
          <w:rFonts w:ascii="Times New Roman" w:hAnsi="Times New Roman" w:cs="Times New Roman"/>
          <w:b/>
          <w:sz w:val="24"/>
          <w:szCs w:val="24"/>
        </w:rPr>
        <w:t xml:space="preserve"> </w:t>
      </w:r>
    </w:p>
    <w:p w14:paraId="00457D1F" w14:textId="77777777" w:rsidR="00B01D46" w:rsidRDefault="0067013E">
      <w:pPr>
        <w:pStyle w:val="Caption"/>
      </w:pPr>
      <w:bookmarkStart w:id="1854" w:name="_Toc184272023"/>
      <w:bookmarkStart w:id="1855" w:name="_Toc165973155"/>
      <w:bookmarkStart w:id="1856" w:name="_Toc165363506"/>
      <w:bookmarkStart w:id="1857" w:name="_Toc184276933"/>
      <w:bookmarkStart w:id="1858" w:name="_Toc165975876"/>
      <w:bookmarkStart w:id="1859" w:name="_Toc165365280"/>
      <w:bookmarkStart w:id="1860" w:name="_Hlk159794115"/>
      <w:r>
        <w:t>Table 5.28: Students’ Response on the ICT(S) Tools and Devices used for ILS Learning and Training (N=225)</w:t>
      </w:r>
      <w:bookmarkEnd w:id="1854"/>
      <w:bookmarkEnd w:id="1855"/>
      <w:bookmarkEnd w:id="1856"/>
      <w:bookmarkEnd w:id="1857"/>
      <w:bookmarkEnd w:id="1858"/>
      <w:bookmarkEnd w:id="1859"/>
    </w:p>
    <w:tbl>
      <w:tblPr>
        <w:tblStyle w:val="TableGrid0"/>
        <w:tblpPr w:leftFromText="180" w:rightFromText="180" w:vertAnchor="text" w:horzAnchor="margin" w:tblpY="239"/>
        <w:tblW w:w="8152" w:type="dxa"/>
        <w:tblInd w:w="0" w:type="dxa"/>
        <w:tblBorders>
          <w:top w:val="single" w:sz="6" w:space="0" w:color="000000"/>
          <w:bottom w:val="single" w:sz="6" w:space="0" w:color="000000"/>
          <w:insideH w:val="single" w:sz="6" w:space="0" w:color="000000"/>
        </w:tblBorders>
        <w:tblLook w:val="04A0" w:firstRow="1" w:lastRow="0" w:firstColumn="1" w:lastColumn="0" w:noHBand="0" w:noVBand="1"/>
      </w:tblPr>
      <w:tblGrid>
        <w:gridCol w:w="6591"/>
        <w:gridCol w:w="674"/>
        <w:gridCol w:w="887"/>
      </w:tblGrid>
      <w:tr w:rsidR="00B01D46" w14:paraId="41EC2E8E" w14:textId="77777777">
        <w:trPr>
          <w:trHeight w:val="363"/>
        </w:trPr>
        <w:tc>
          <w:tcPr>
            <w:tcW w:w="6591" w:type="dxa"/>
            <w:tcBorders>
              <w:top w:val="single" w:sz="6" w:space="0" w:color="000000"/>
              <w:left w:val="nil"/>
              <w:bottom w:val="single" w:sz="6" w:space="0" w:color="000000"/>
              <w:right w:val="nil"/>
            </w:tcBorders>
            <w:vAlign w:val="bottom"/>
          </w:tcPr>
          <w:bookmarkEnd w:id="1860"/>
          <w:p w14:paraId="04DDC155"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ICT tools and devices </w:t>
            </w:r>
          </w:p>
        </w:tc>
        <w:tc>
          <w:tcPr>
            <w:tcW w:w="1561" w:type="dxa"/>
            <w:gridSpan w:val="2"/>
            <w:tcBorders>
              <w:top w:val="single" w:sz="6" w:space="0" w:color="000000"/>
              <w:left w:val="nil"/>
              <w:bottom w:val="single" w:sz="6" w:space="0" w:color="000000"/>
              <w:right w:val="nil"/>
            </w:tcBorders>
            <w:vAlign w:val="bottom"/>
          </w:tcPr>
          <w:p w14:paraId="4A4E890A"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Used </w:t>
            </w:r>
          </w:p>
        </w:tc>
      </w:tr>
      <w:tr w:rsidR="00B01D46" w14:paraId="27654C3F" w14:textId="77777777">
        <w:trPr>
          <w:trHeight w:val="323"/>
        </w:trPr>
        <w:tc>
          <w:tcPr>
            <w:tcW w:w="6591" w:type="dxa"/>
            <w:tcBorders>
              <w:top w:val="single" w:sz="6" w:space="0" w:color="000000"/>
              <w:left w:val="nil"/>
              <w:bottom w:val="single" w:sz="6" w:space="0" w:color="000000"/>
              <w:right w:val="nil"/>
            </w:tcBorders>
          </w:tcPr>
          <w:p w14:paraId="1CC2C9DE" w14:textId="77777777" w:rsidR="00B01D46" w:rsidRDefault="00B01D46">
            <w:pPr>
              <w:spacing w:after="0"/>
              <w:ind w:right="65"/>
              <w:rPr>
                <w:rFonts w:ascii="Times New Roman" w:eastAsia="Times New Roman" w:hAnsi="Times New Roman" w:cs="Times New Roman"/>
                <w:sz w:val="24"/>
                <w:szCs w:val="24"/>
              </w:rPr>
            </w:pPr>
          </w:p>
        </w:tc>
        <w:tc>
          <w:tcPr>
            <w:tcW w:w="1561" w:type="dxa"/>
            <w:gridSpan w:val="2"/>
            <w:tcBorders>
              <w:top w:val="single" w:sz="6" w:space="0" w:color="000000"/>
              <w:left w:val="nil"/>
              <w:bottom w:val="single" w:sz="6" w:space="0" w:color="000000"/>
              <w:right w:val="nil"/>
            </w:tcBorders>
          </w:tcPr>
          <w:p w14:paraId="77C6F9AD"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Freq.      % </w:t>
            </w:r>
          </w:p>
        </w:tc>
      </w:tr>
      <w:tr w:rsidR="00B01D46" w14:paraId="0BDD85AE" w14:textId="77777777">
        <w:trPr>
          <w:trHeight w:val="306"/>
        </w:trPr>
        <w:tc>
          <w:tcPr>
            <w:tcW w:w="6591" w:type="dxa"/>
            <w:tcBorders>
              <w:top w:val="single" w:sz="6" w:space="0" w:color="000000"/>
              <w:left w:val="nil"/>
              <w:bottom w:val="single" w:sz="6" w:space="0" w:color="000000"/>
              <w:right w:val="nil"/>
            </w:tcBorders>
          </w:tcPr>
          <w:p w14:paraId="742AE407"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Mobile phones </w:t>
            </w:r>
          </w:p>
        </w:tc>
        <w:tc>
          <w:tcPr>
            <w:tcW w:w="674" w:type="dxa"/>
            <w:tcBorders>
              <w:top w:val="single" w:sz="6" w:space="0" w:color="000000"/>
              <w:left w:val="nil"/>
              <w:bottom w:val="single" w:sz="6" w:space="0" w:color="000000"/>
              <w:right w:val="nil"/>
            </w:tcBorders>
          </w:tcPr>
          <w:p w14:paraId="2C7AC3E6"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86       </w:t>
            </w:r>
          </w:p>
        </w:tc>
        <w:tc>
          <w:tcPr>
            <w:tcW w:w="886" w:type="dxa"/>
            <w:tcBorders>
              <w:top w:val="single" w:sz="6" w:space="0" w:color="000000"/>
              <w:left w:val="nil"/>
              <w:bottom w:val="single" w:sz="6" w:space="0" w:color="000000"/>
              <w:right w:val="nil"/>
            </w:tcBorders>
          </w:tcPr>
          <w:p w14:paraId="7CBA22FF"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33.73</w:t>
            </w:r>
          </w:p>
        </w:tc>
      </w:tr>
      <w:tr w:rsidR="00B01D46" w14:paraId="4ED955A6" w14:textId="77777777">
        <w:trPr>
          <w:trHeight w:val="306"/>
        </w:trPr>
        <w:tc>
          <w:tcPr>
            <w:tcW w:w="6591" w:type="dxa"/>
            <w:tcBorders>
              <w:top w:val="single" w:sz="6" w:space="0" w:color="000000"/>
              <w:left w:val="nil"/>
              <w:bottom w:val="single" w:sz="6" w:space="0" w:color="000000"/>
              <w:right w:val="nil"/>
            </w:tcBorders>
          </w:tcPr>
          <w:p w14:paraId="4C5E0D32"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iPad and tablets </w:t>
            </w:r>
          </w:p>
        </w:tc>
        <w:tc>
          <w:tcPr>
            <w:tcW w:w="674" w:type="dxa"/>
            <w:tcBorders>
              <w:top w:val="single" w:sz="6" w:space="0" w:color="000000"/>
              <w:left w:val="nil"/>
              <w:bottom w:val="single" w:sz="6" w:space="0" w:color="000000"/>
              <w:right w:val="nil"/>
            </w:tcBorders>
          </w:tcPr>
          <w:p w14:paraId="4F2D1EB7"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186         </w:t>
            </w:r>
          </w:p>
        </w:tc>
        <w:tc>
          <w:tcPr>
            <w:tcW w:w="886" w:type="dxa"/>
            <w:tcBorders>
              <w:top w:val="single" w:sz="6" w:space="0" w:color="000000"/>
              <w:left w:val="nil"/>
              <w:bottom w:val="single" w:sz="6" w:space="0" w:color="000000"/>
              <w:right w:val="nil"/>
            </w:tcBorders>
          </w:tcPr>
          <w:p w14:paraId="11002D5F"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82.67</w:t>
            </w:r>
          </w:p>
        </w:tc>
      </w:tr>
      <w:tr w:rsidR="00B01D46" w14:paraId="2264F49D" w14:textId="77777777">
        <w:trPr>
          <w:trHeight w:val="306"/>
        </w:trPr>
        <w:tc>
          <w:tcPr>
            <w:tcW w:w="6591" w:type="dxa"/>
            <w:tcBorders>
              <w:top w:val="single" w:sz="6" w:space="0" w:color="000000"/>
              <w:left w:val="nil"/>
              <w:bottom w:val="single" w:sz="6" w:space="0" w:color="000000"/>
              <w:right w:val="nil"/>
            </w:tcBorders>
          </w:tcPr>
          <w:p w14:paraId="02B7ADBB"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Projectors </w:t>
            </w:r>
          </w:p>
        </w:tc>
        <w:tc>
          <w:tcPr>
            <w:tcW w:w="674" w:type="dxa"/>
            <w:tcBorders>
              <w:top w:val="single" w:sz="6" w:space="0" w:color="000000"/>
              <w:left w:val="nil"/>
              <w:bottom w:val="single" w:sz="6" w:space="0" w:color="000000"/>
              <w:right w:val="nil"/>
            </w:tcBorders>
          </w:tcPr>
          <w:p w14:paraId="5B908C0A"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215        </w:t>
            </w:r>
          </w:p>
        </w:tc>
        <w:tc>
          <w:tcPr>
            <w:tcW w:w="886" w:type="dxa"/>
            <w:tcBorders>
              <w:top w:val="single" w:sz="6" w:space="0" w:color="000000"/>
              <w:left w:val="nil"/>
              <w:bottom w:val="single" w:sz="6" w:space="0" w:color="000000"/>
              <w:right w:val="nil"/>
            </w:tcBorders>
          </w:tcPr>
          <w:p w14:paraId="535942D0"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84.31</w:t>
            </w:r>
          </w:p>
        </w:tc>
      </w:tr>
      <w:tr w:rsidR="00B01D46" w14:paraId="65721DA6" w14:textId="77777777">
        <w:trPr>
          <w:trHeight w:val="306"/>
        </w:trPr>
        <w:tc>
          <w:tcPr>
            <w:tcW w:w="6591" w:type="dxa"/>
            <w:tcBorders>
              <w:top w:val="single" w:sz="6" w:space="0" w:color="000000"/>
              <w:left w:val="nil"/>
              <w:bottom w:val="single" w:sz="6" w:space="0" w:color="000000"/>
              <w:right w:val="nil"/>
            </w:tcBorders>
          </w:tcPr>
          <w:p w14:paraId="1608F6B7"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Cameras </w:t>
            </w:r>
          </w:p>
        </w:tc>
        <w:tc>
          <w:tcPr>
            <w:tcW w:w="674" w:type="dxa"/>
            <w:tcBorders>
              <w:top w:val="single" w:sz="6" w:space="0" w:color="000000"/>
              <w:left w:val="nil"/>
              <w:bottom w:val="single" w:sz="6" w:space="0" w:color="000000"/>
              <w:right w:val="nil"/>
            </w:tcBorders>
          </w:tcPr>
          <w:p w14:paraId="70ED8F7D"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70         </w:t>
            </w:r>
          </w:p>
        </w:tc>
        <w:tc>
          <w:tcPr>
            <w:tcW w:w="886" w:type="dxa"/>
            <w:tcBorders>
              <w:top w:val="single" w:sz="6" w:space="0" w:color="000000"/>
              <w:left w:val="nil"/>
              <w:bottom w:val="single" w:sz="6" w:space="0" w:color="000000"/>
              <w:right w:val="nil"/>
            </w:tcBorders>
          </w:tcPr>
          <w:p w14:paraId="64A69369"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31.11</w:t>
            </w:r>
          </w:p>
        </w:tc>
      </w:tr>
      <w:tr w:rsidR="00B01D46" w14:paraId="569C0950" w14:textId="77777777">
        <w:trPr>
          <w:trHeight w:val="306"/>
        </w:trPr>
        <w:tc>
          <w:tcPr>
            <w:tcW w:w="6591" w:type="dxa"/>
            <w:tcBorders>
              <w:top w:val="single" w:sz="6" w:space="0" w:color="000000"/>
              <w:left w:val="nil"/>
              <w:bottom w:val="single" w:sz="6" w:space="0" w:color="000000"/>
              <w:right w:val="nil"/>
            </w:tcBorders>
          </w:tcPr>
          <w:p w14:paraId="65E868D5"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Scanners </w:t>
            </w:r>
          </w:p>
        </w:tc>
        <w:tc>
          <w:tcPr>
            <w:tcW w:w="674" w:type="dxa"/>
            <w:tcBorders>
              <w:top w:val="single" w:sz="6" w:space="0" w:color="000000"/>
              <w:left w:val="nil"/>
              <w:bottom w:val="single" w:sz="6" w:space="0" w:color="000000"/>
              <w:right w:val="nil"/>
            </w:tcBorders>
          </w:tcPr>
          <w:p w14:paraId="200A9311"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w:t>
            </w:r>
          </w:p>
        </w:tc>
        <w:tc>
          <w:tcPr>
            <w:tcW w:w="886" w:type="dxa"/>
            <w:tcBorders>
              <w:top w:val="single" w:sz="6" w:space="0" w:color="000000"/>
              <w:left w:val="nil"/>
              <w:bottom w:val="single" w:sz="6" w:space="0" w:color="000000"/>
              <w:right w:val="nil"/>
            </w:tcBorders>
          </w:tcPr>
          <w:p w14:paraId="50B8A4ED"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9.78</w:t>
            </w:r>
          </w:p>
        </w:tc>
      </w:tr>
      <w:tr w:rsidR="00B01D46" w14:paraId="5E02DEC3" w14:textId="77777777">
        <w:trPr>
          <w:trHeight w:val="306"/>
        </w:trPr>
        <w:tc>
          <w:tcPr>
            <w:tcW w:w="6591" w:type="dxa"/>
            <w:tcBorders>
              <w:top w:val="single" w:sz="6" w:space="0" w:color="000000"/>
              <w:left w:val="nil"/>
              <w:bottom w:val="single" w:sz="6" w:space="0" w:color="000000"/>
              <w:right w:val="nil"/>
            </w:tcBorders>
          </w:tcPr>
          <w:p w14:paraId="3B1E2D83"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Internet </w:t>
            </w:r>
          </w:p>
        </w:tc>
        <w:tc>
          <w:tcPr>
            <w:tcW w:w="674" w:type="dxa"/>
            <w:tcBorders>
              <w:top w:val="single" w:sz="6" w:space="0" w:color="000000"/>
              <w:left w:val="nil"/>
              <w:bottom w:val="single" w:sz="6" w:space="0" w:color="000000"/>
              <w:right w:val="nil"/>
            </w:tcBorders>
          </w:tcPr>
          <w:p w14:paraId="0FC4C034"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218       </w:t>
            </w:r>
          </w:p>
        </w:tc>
        <w:tc>
          <w:tcPr>
            <w:tcW w:w="886" w:type="dxa"/>
            <w:tcBorders>
              <w:top w:val="single" w:sz="6" w:space="0" w:color="000000"/>
              <w:left w:val="nil"/>
              <w:bottom w:val="single" w:sz="6" w:space="0" w:color="000000"/>
              <w:right w:val="nil"/>
            </w:tcBorders>
          </w:tcPr>
          <w:p w14:paraId="0A0E348E" w14:textId="77777777" w:rsidR="00B01D46" w:rsidRDefault="0067013E">
            <w:pPr>
              <w:spacing w:after="0"/>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96.89</w:t>
            </w:r>
          </w:p>
        </w:tc>
      </w:tr>
      <w:tr w:rsidR="00B01D46" w14:paraId="57E87D49" w14:textId="77777777">
        <w:trPr>
          <w:trHeight w:val="306"/>
        </w:trPr>
        <w:tc>
          <w:tcPr>
            <w:tcW w:w="6591" w:type="dxa"/>
            <w:tcBorders>
              <w:top w:val="single" w:sz="6" w:space="0" w:color="000000"/>
              <w:left w:val="nil"/>
              <w:bottom w:val="single" w:sz="6" w:space="0" w:color="000000"/>
              <w:right w:val="nil"/>
            </w:tcBorders>
          </w:tcPr>
          <w:p w14:paraId="2F28BB01"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Computers/laptops </w:t>
            </w:r>
          </w:p>
        </w:tc>
        <w:tc>
          <w:tcPr>
            <w:tcW w:w="674" w:type="dxa"/>
            <w:tcBorders>
              <w:top w:val="single" w:sz="6" w:space="0" w:color="000000"/>
              <w:left w:val="nil"/>
              <w:bottom w:val="single" w:sz="6" w:space="0" w:color="000000"/>
              <w:right w:val="nil"/>
            </w:tcBorders>
          </w:tcPr>
          <w:p w14:paraId="489AD8E0"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220      </w:t>
            </w:r>
          </w:p>
        </w:tc>
        <w:tc>
          <w:tcPr>
            <w:tcW w:w="886" w:type="dxa"/>
            <w:tcBorders>
              <w:top w:val="single" w:sz="6" w:space="0" w:color="000000"/>
              <w:left w:val="nil"/>
              <w:bottom w:val="single" w:sz="6" w:space="0" w:color="000000"/>
              <w:right w:val="nil"/>
            </w:tcBorders>
          </w:tcPr>
          <w:p w14:paraId="777ED619"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97.78</w:t>
            </w:r>
          </w:p>
        </w:tc>
      </w:tr>
      <w:tr w:rsidR="00B01D46" w14:paraId="18774680" w14:textId="77777777">
        <w:trPr>
          <w:trHeight w:val="306"/>
        </w:trPr>
        <w:tc>
          <w:tcPr>
            <w:tcW w:w="6591" w:type="dxa"/>
            <w:tcBorders>
              <w:top w:val="single" w:sz="6" w:space="0" w:color="000000"/>
              <w:left w:val="nil"/>
              <w:bottom w:val="single" w:sz="6" w:space="0" w:color="000000"/>
              <w:right w:val="nil"/>
            </w:tcBorders>
          </w:tcPr>
          <w:p w14:paraId="0D1B2B45"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Printers </w:t>
            </w:r>
          </w:p>
        </w:tc>
        <w:tc>
          <w:tcPr>
            <w:tcW w:w="674" w:type="dxa"/>
            <w:tcBorders>
              <w:top w:val="single" w:sz="6" w:space="0" w:color="000000"/>
              <w:left w:val="nil"/>
              <w:bottom w:val="single" w:sz="6" w:space="0" w:color="000000"/>
              <w:right w:val="nil"/>
            </w:tcBorders>
          </w:tcPr>
          <w:p w14:paraId="6657B00F"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58      </w:t>
            </w:r>
          </w:p>
        </w:tc>
        <w:tc>
          <w:tcPr>
            <w:tcW w:w="886" w:type="dxa"/>
            <w:tcBorders>
              <w:top w:val="single" w:sz="6" w:space="0" w:color="000000"/>
              <w:left w:val="nil"/>
              <w:bottom w:val="single" w:sz="6" w:space="0" w:color="000000"/>
              <w:right w:val="nil"/>
            </w:tcBorders>
          </w:tcPr>
          <w:p w14:paraId="4D0A1FEB"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25.78</w:t>
            </w:r>
          </w:p>
        </w:tc>
      </w:tr>
      <w:tr w:rsidR="00B01D46" w14:paraId="1167D443" w14:textId="77777777">
        <w:trPr>
          <w:trHeight w:val="306"/>
        </w:trPr>
        <w:tc>
          <w:tcPr>
            <w:tcW w:w="6591" w:type="dxa"/>
            <w:tcBorders>
              <w:top w:val="single" w:sz="6" w:space="0" w:color="000000"/>
              <w:left w:val="nil"/>
              <w:bottom w:val="single" w:sz="6" w:space="0" w:color="000000"/>
              <w:right w:val="nil"/>
            </w:tcBorders>
          </w:tcPr>
          <w:p w14:paraId="32D864F5" w14:textId="77777777" w:rsidR="00B01D46" w:rsidRDefault="0067013E">
            <w:pPr>
              <w:spacing w:after="0"/>
              <w:ind w:right="65"/>
              <w:jc w:val="both"/>
              <w:rPr>
                <w:rFonts w:ascii="Times New Roman" w:eastAsia="Times New Roman" w:hAnsi="Times New Roman" w:cs="Times New Roman"/>
                <w:sz w:val="24"/>
                <w:szCs w:val="24"/>
              </w:rPr>
            </w:pPr>
            <w:bookmarkStart w:id="1861" w:name="_Hlk102148174"/>
            <w:r>
              <w:rPr>
                <w:rFonts w:ascii="Times New Roman" w:eastAsia="Times New Roman" w:hAnsi="Times New Roman" w:cs="Times New Roman"/>
                <w:sz w:val="24"/>
                <w:szCs w:val="24"/>
              </w:rPr>
              <w:t xml:space="preserve">Television/VCD/DVD player </w:t>
            </w:r>
            <w:bookmarkEnd w:id="1861"/>
          </w:p>
        </w:tc>
        <w:tc>
          <w:tcPr>
            <w:tcW w:w="674" w:type="dxa"/>
            <w:tcBorders>
              <w:top w:val="single" w:sz="6" w:space="0" w:color="000000"/>
              <w:left w:val="nil"/>
              <w:bottom w:val="single" w:sz="6" w:space="0" w:color="000000"/>
              <w:right w:val="nil"/>
            </w:tcBorders>
          </w:tcPr>
          <w:p w14:paraId="32A5D748"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w:t>
            </w:r>
          </w:p>
        </w:tc>
        <w:tc>
          <w:tcPr>
            <w:tcW w:w="886" w:type="dxa"/>
            <w:tcBorders>
              <w:top w:val="single" w:sz="6" w:space="0" w:color="000000"/>
              <w:left w:val="nil"/>
              <w:bottom w:val="single" w:sz="6" w:space="0" w:color="000000"/>
              <w:right w:val="nil"/>
            </w:tcBorders>
          </w:tcPr>
          <w:p w14:paraId="1F40BB8D"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18.67</w:t>
            </w:r>
          </w:p>
        </w:tc>
      </w:tr>
      <w:tr w:rsidR="00B01D46" w14:paraId="66820561" w14:textId="77777777">
        <w:trPr>
          <w:trHeight w:val="306"/>
        </w:trPr>
        <w:tc>
          <w:tcPr>
            <w:tcW w:w="6591" w:type="dxa"/>
            <w:tcBorders>
              <w:top w:val="single" w:sz="6" w:space="0" w:color="000000"/>
              <w:left w:val="nil"/>
              <w:bottom w:val="single" w:sz="6" w:space="0" w:color="000000"/>
              <w:right w:val="nil"/>
            </w:tcBorders>
          </w:tcPr>
          <w:p w14:paraId="5746BF1E"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Radio </w:t>
            </w:r>
          </w:p>
        </w:tc>
        <w:tc>
          <w:tcPr>
            <w:tcW w:w="674" w:type="dxa"/>
            <w:tcBorders>
              <w:top w:val="single" w:sz="6" w:space="0" w:color="000000"/>
              <w:left w:val="nil"/>
              <w:bottom w:val="single" w:sz="6" w:space="0" w:color="000000"/>
              <w:right w:val="nil"/>
            </w:tcBorders>
          </w:tcPr>
          <w:p w14:paraId="501EC541"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p>
        </w:tc>
        <w:tc>
          <w:tcPr>
            <w:tcW w:w="886" w:type="dxa"/>
            <w:tcBorders>
              <w:top w:val="single" w:sz="6" w:space="0" w:color="000000"/>
              <w:left w:val="nil"/>
              <w:bottom w:val="single" w:sz="6" w:space="0" w:color="000000"/>
              <w:right w:val="nil"/>
            </w:tcBorders>
          </w:tcPr>
          <w:p w14:paraId="478222E8"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4.89</w:t>
            </w:r>
          </w:p>
        </w:tc>
      </w:tr>
      <w:tr w:rsidR="00B01D46" w14:paraId="2BD94152" w14:textId="77777777">
        <w:trPr>
          <w:trHeight w:val="338"/>
        </w:trPr>
        <w:tc>
          <w:tcPr>
            <w:tcW w:w="6591" w:type="dxa"/>
            <w:tcBorders>
              <w:top w:val="single" w:sz="6" w:space="0" w:color="000000"/>
              <w:left w:val="nil"/>
              <w:bottom w:val="single" w:sz="6" w:space="0" w:color="000000"/>
              <w:right w:val="nil"/>
            </w:tcBorders>
          </w:tcPr>
          <w:p w14:paraId="2515580B"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Smart-board </w:t>
            </w:r>
          </w:p>
        </w:tc>
        <w:tc>
          <w:tcPr>
            <w:tcW w:w="674" w:type="dxa"/>
            <w:tcBorders>
              <w:top w:val="single" w:sz="6" w:space="0" w:color="000000"/>
              <w:left w:val="nil"/>
              <w:bottom w:val="single" w:sz="6" w:space="0" w:color="000000"/>
              <w:right w:val="nil"/>
            </w:tcBorders>
          </w:tcPr>
          <w:p w14:paraId="3EDF76DD"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         </w:t>
            </w:r>
          </w:p>
        </w:tc>
        <w:tc>
          <w:tcPr>
            <w:tcW w:w="886" w:type="dxa"/>
            <w:tcBorders>
              <w:top w:val="single" w:sz="6" w:space="0" w:color="000000"/>
              <w:left w:val="nil"/>
              <w:bottom w:val="single" w:sz="6" w:space="0" w:color="000000"/>
              <w:right w:val="nil"/>
            </w:tcBorders>
          </w:tcPr>
          <w:p w14:paraId="1DDFC019" w14:textId="77777777" w:rsidR="00B01D46" w:rsidRDefault="0067013E">
            <w:pPr>
              <w:spacing w:after="0"/>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40.89</w:t>
            </w:r>
          </w:p>
        </w:tc>
      </w:tr>
    </w:tbl>
    <w:p w14:paraId="48ABB025"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b/>
          <w:bCs/>
          <w:sz w:val="24"/>
          <w:szCs w:val="24"/>
        </w:rPr>
        <w:t>Source:</w:t>
      </w:r>
      <w:r>
        <w:rPr>
          <w:rFonts w:ascii="Times New Roman" w:eastAsia="Calibri" w:hAnsi="Times New Roman" w:cs="Times New Roman"/>
          <w:sz w:val="24"/>
          <w:szCs w:val="24"/>
        </w:rPr>
        <w:t xml:space="preserve"> Field data (2021)</w:t>
      </w:r>
    </w:p>
    <w:p w14:paraId="7D914E9C"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The results presented in Table 5.28 show that 215 (84.31%), 220 (97.78%), and 218 (87.5%) of the students ranked projectors, computers/laptops, and the internet respectively as the most ICT tools and devices used for ILS learning and training. Similarly, 92 (40.89%), 86(33.73%), and 186 (82.67%) of the students stated that smartboards, mobile phones, iPad/tablets, and cameras in that order, were other ICT tools and devices used for ILS learning and training.  On the other hand, the least used ICT tools and devices as indicated by students are: scanners, printers, Television/VCD/DVD players, and radio as noted by 22(9.78%), 58 (25.78%), 42 (18.67%) and 11 (4.89%) correspondingly. </w:t>
      </w:r>
    </w:p>
    <w:p w14:paraId="4A81A856" w14:textId="77777777" w:rsidR="00B01D46" w:rsidRDefault="0067013E">
      <w:pPr>
        <w:spacing w:after="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Similarly, interview responses from heads of departments, head medical librarians and university librarians revealed that iPad, laptops, software programs, public address systems, smartboards, projectors, internet, smartphones, printers</w:t>
      </w:r>
      <w:r>
        <w:rPr>
          <w:rFonts w:ascii="Times New Roman" w:eastAsia="Calibri" w:hAnsi="Times New Roman" w:cs="Times New Roman"/>
          <w:color w:val="333333"/>
          <w:sz w:val="24"/>
          <w:szCs w:val="24"/>
          <w:shd w:val="clear" w:color="auto" w:fill="FFFFFF"/>
        </w:rPr>
        <w:t xml:space="preserve">, </w:t>
      </w:r>
      <w:r>
        <w:rPr>
          <w:rFonts w:ascii="Times New Roman" w:eastAsia="Calibri" w:hAnsi="Times New Roman" w:cs="Times New Roman"/>
          <w:sz w:val="24"/>
          <w:szCs w:val="24"/>
        </w:rPr>
        <w:t xml:space="preserve">WI FI, and cameras were the ICT tools and devices that are used to impart ILS to undergraduate medical students. One head medical librarian (ML01) interviewed said: </w:t>
      </w:r>
    </w:p>
    <w:p w14:paraId="6B23DA35" w14:textId="77777777" w:rsidR="00B01D46" w:rsidRDefault="0067013E">
      <w:pPr>
        <w:spacing w:after="120" w:line="240" w:lineRule="auto"/>
        <w:ind w:left="720" w:right="965"/>
        <w:jc w:val="both"/>
        <w:rPr>
          <w:rFonts w:ascii="Times New Roman" w:eastAsia="Calibri" w:hAnsi="Times New Roman" w:cs="Times New Roman"/>
          <w:i/>
          <w:iCs/>
          <w:sz w:val="24"/>
          <w:szCs w:val="24"/>
        </w:rPr>
      </w:pPr>
      <w:r>
        <w:rPr>
          <w:rFonts w:ascii="Times New Roman" w:eastAsia="Calibri" w:hAnsi="Times New Roman" w:cs="Times New Roman"/>
          <w:sz w:val="24"/>
          <w:szCs w:val="24"/>
        </w:rPr>
        <w:t>“…</w:t>
      </w:r>
      <w:r>
        <w:rPr>
          <w:rFonts w:ascii="Times New Roman" w:eastAsia="Calibri" w:hAnsi="Times New Roman" w:cs="Times New Roman"/>
          <w:i/>
          <w:iCs/>
          <w:sz w:val="24"/>
          <w:szCs w:val="24"/>
        </w:rPr>
        <w:t>the library provides computers that are connected to the internet, an instruction room within the library that has a smartboard and an overhead mounted LCD projector to enable lecturers to teach ILS with a lot of ease …”</w:t>
      </w:r>
    </w:p>
    <w:p w14:paraId="597723D4" w14:textId="77777777" w:rsidR="00B01D46" w:rsidRDefault="0067013E">
      <w:pPr>
        <w:spacing w:after="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One head of department (HD03) interviewed stated: </w:t>
      </w:r>
    </w:p>
    <w:p w14:paraId="4AA67087" w14:textId="77777777" w:rsidR="00B01D46" w:rsidRDefault="0067013E">
      <w:pPr>
        <w:spacing w:after="120" w:line="240" w:lineRule="auto"/>
        <w:ind w:left="720" w:right="965"/>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w:t>
      </w:r>
      <w:r>
        <w:rPr>
          <w:rFonts w:ascii="Times New Roman" w:eastAsia="Calibri" w:hAnsi="Times New Roman" w:cs="Times New Roman"/>
          <w:i/>
          <w:iCs/>
          <w:color w:val="202124"/>
          <w:sz w:val="24"/>
          <w:szCs w:val="24"/>
          <w:shd w:val="clear" w:color="auto" w:fill="FFFFFF"/>
        </w:rPr>
        <w:t>. …. Simply put, ICT tools are digital infrastructures like computers, laptops, printers, scanners, software programs, data projectors, interactive teaching boxes,</w:t>
      </w:r>
      <w:r>
        <w:rPr>
          <w:rFonts w:ascii="Times New Roman" w:eastAsia="Calibri" w:hAnsi="Times New Roman" w:cs="Times New Roman"/>
          <w:color w:val="333333"/>
          <w:sz w:val="24"/>
          <w:szCs w:val="24"/>
          <w:shd w:val="clear" w:color="auto" w:fill="FFFFFF"/>
        </w:rPr>
        <w:t xml:space="preserve"> clicker devices, mobile applications</w:t>
      </w:r>
      <w:r>
        <w:rPr>
          <w:rFonts w:ascii="Times New Roman" w:eastAsia="Calibri" w:hAnsi="Times New Roman" w:cs="Times New Roman"/>
          <w:i/>
          <w:iCs/>
          <w:color w:val="202124"/>
          <w:sz w:val="24"/>
          <w:szCs w:val="24"/>
          <w:shd w:val="clear" w:color="auto" w:fill="FFFFFF"/>
        </w:rPr>
        <w:t xml:space="preserve"> public address systems that amplify a message and subsequently assist lecturers and trainers deliver ILS perfectly well...</w:t>
      </w:r>
      <w:r>
        <w:rPr>
          <w:rFonts w:ascii="Times New Roman" w:eastAsia="Calibri" w:hAnsi="Times New Roman" w:cs="Times New Roman"/>
          <w:i/>
          <w:iCs/>
          <w:sz w:val="24"/>
          <w:szCs w:val="24"/>
        </w:rPr>
        <w:t>”</w:t>
      </w:r>
    </w:p>
    <w:p w14:paraId="6E37D630" w14:textId="77777777" w:rsidR="00B01D46" w:rsidRDefault="00B01D46">
      <w:pPr>
        <w:spacing w:after="120" w:line="240" w:lineRule="auto"/>
        <w:ind w:left="567" w:right="65"/>
        <w:jc w:val="both"/>
        <w:rPr>
          <w:rFonts w:ascii="Times New Roman" w:eastAsia="Calibri" w:hAnsi="Times New Roman" w:cs="Times New Roman"/>
          <w:i/>
          <w:iCs/>
          <w:sz w:val="24"/>
          <w:szCs w:val="24"/>
        </w:rPr>
      </w:pPr>
    </w:p>
    <w:p w14:paraId="6F20E5E6" w14:textId="77777777" w:rsidR="00B01D46" w:rsidRDefault="0067013E">
      <w:pPr>
        <w:pStyle w:val="Heading4"/>
        <w:ind w:left="720" w:hanging="720"/>
      </w:pPr>
      <w:bookmarkStart w:id="1862" w:name="_Toc164664095"/>
      <w:bookmarkStart w:id="1863" w:name="_Toc165363507"/>
      <w:bookmarkStart w:id="1864" w:name="_Toc165369312"/>
      <w:bookmarkStart w:id="1865" w:name="_Toc165975877"/>
      <w:bookmarkStart w:id="1866" w:name="_Toc165973156"/>
      <w:bookmarkStart w:id="1867" w:name="_Toc165365281"/>
      <w:bookmarkStart w:id="1868" w:name="_Toc184272963"/>
      <w:bookmarkStart w:id="1869" w:name="_Hlk132374481"/>
      <w:r>
        <w:lastRenderedPageBreak/>
        <w:t>5.4.5.4 Adequacy of the ICT Infrastructure in Moi University and University of Nairobi Universities</w:t>
      </w:r>
      <w:bookmarkEnd w:id="1862"/>
      <w:bookmarkEnd w:id="1863"/>
      <w:bookmarkEnd w:id="1864"/>
      <w:bookmarkEnd w:id="1865"/>
      <w:bookmarkEnd w:id="1866"/>
      <w:bookmarkEnd w:id="1867"/>
      <w:bookmarkEnd w:id="1868"/>
    </w:p>
    <w:p w14:paraId="5C208923" w14:textId="77777777" w:rsidR="00B01D46" w:rsidRDefault="0067013E">
      <w:pPr>
        <w:shd w:val="clear" w:color="auto" w:fill="FFFFFF"/>
        <w:spacing w:after="15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sought to find out the adequacy of the various ICTs that were available in the selected universities. This was achieved through interviews with university librarians, heads of departments, and heads of medical librarians.</w:t>
      </w:r>
    </w:p>
    <w:p w14:paraId="6739E2CC" w14:textId="77777777" w:rsidR="00B01D46" w:rsidRDefault="0067013E">
      <w:pPr>
        <w:shd w:val="clear" w:color="auto" w:fill="FFFFFF"/>
        <w:spacing w:after="15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interviews conducted with university librarians, heads of departments, and heads of medical librarians revealed that institutions had unstable internet connectivity, outdated computers, inadequate computer laboratories with limited internet connection, projectors were available but not in good working conditions, outdated Microsoft application, available Wi-FI networks all-round the universities compound were very weak, subscription fee meant for internet and e-resource providers had not been paid. </w:t>
      </w:r>
    </w:p>
    <w:p w14:paraId="32BE9935" w14:textId="77777777" w:rsidR="00B01D46" w:rsidRDefault="0067013E">
      <w:pPr>
        <w:shd w:val="clear" w:color="auto" w:fill="FFFFFF"/>
        <w:spacing w:after="15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Quoting one head of department (HD03)</w:t>
      </w:r>
    </w:p>
    <w:p w14:paraId="55084BB6" w14:textId="77777777" w:rsidR="00B01D46" w:rsidRDefault="0067013E">
      <w:pPr>
        <w:shd w:val="clear" w:color="auto" w:fill="FFFFFF"/>
        <w:spacing w:after="150" w:line="240" w:lineRule="auto"/>
        <w:ind w:left="720" w:right="785"/>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“……we have got a lot of challenges with our ICT infrastructure for example weak internet connectivity, absence of sufficient IT qualified personnel, WI FI access points are not functioning, outdated computers and software, power fluctuations in the laboratories, inadequate computers in our computer laboratory</w:t>
      </w:r>
      <w:r>
        <w:rPr>
          <w:rFonts w:ascii="Times New Roman" w:eastAsia="Times New Roman" w:hAnsi="Times New Roman" w:cs="Times New Roman"/>
          <w:sz w:val="24"/>
          <w:szCs w:val="24"/>
        </w:rPr>
        <w:t xml:space="preserve"> ...”</w:t>
      </w:r>
    </w:p>
    <w:p w14:paraId="3A4D6D91" w14:textId="77777777" w:rsidR="00B01D46" w:rsidRDefault="0067013E">
      <w:pPr>
        <w:shd w:val="clear" w:color="auto" w:fill="FFFFFF"/>
        <w:spacing w:after="15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university librarian (UL02) commented:</w:t>
      </w:r>
    </w:p>
    <w:p w14:paraId="47713575" w14:textId="77777777" w:rsidR="00B01D46" w:rsidRDefault="0067013E">
      <w:pPr>
        <w:shd w:val="clear" w:color="auto" w:fill="FFFFFF"/>
        <w:spacing w:after="150" w:line="240" w:lineRule="auto"/>
        <w:ind w:left="720" w:right="785"/>
        <w:jc w:val="both"/>
        <w:rPr>
          <w:rFonts w:ascii="Times New Roman" w:hAnsi="Times New Roman" w:cs="Times New Roman"/>
          <w:sz w:val="24"/>
          <w:szCs w:val="24"/>
        </w:rPr>
      </w:pPr>
      <w:r>
        <w:rPr>
          <w:rFonts w:ascii="Times New Roman" w:eastAsia="Times New Roman" w:hAnsi="Times New Roman" w:cs="Times New Roman"/>
          <w:i/>
          <w:iCs/>
          <w:sz w:val="24"/>
          <w:szCs w:val="24"/>
        </w:rPr>
        <w:t>“…</w:t>
      </w:r>
      <w:r>
        <w:rPr>
          <w:rFonts w:ascii="Times New Roman" w:hAnsi="Times New Roman" w:cs="Times New Roman"/>
          <w:i/>
          <w:iCs/>
          <w:sz w:val="24"/>
          <w:szCs w:val="24"/>
        </w:rPr>
        <w:t>the computers in the library’s ICT centre are not working at all, the internet connectivity is not there hence the ICT tools may not be available and accessible to students for practical exercises. In addition, the university has not paid subscription fee to our software and e-resource suppliers, hence the e-databases are not available ……. There are never-ending power supply issues…the power is constantly off</w:t>
      </w:r>
      <w:r>
        <w:rPr>
          <w:rFonts w:ascii="Times New Roman" w:hAnsi="Times New Roman" w:cs="Times New Roman"/>
          <w:sz w:val="24"/>
          <w:szCs w:val="24"/>
        </w:rPr>
        <w:t>…</w:t>
      </w:r>
    </w:p>
    <w:p w14:paraId="5D1CA4EA" w14:textId="77777777" w:rsidR="00B01D46" w:rsidRDefault="0067013E">
      <w:pPr>
        <w:shd w:val="clear" w:color="auto" w:fill="FFFFFF"/>
        <w:spacing w:after="150" w:line="240" w:lineRule="auto"/>
        <w:ind w:left="567" w:right="65"/>
        <w:jc w:val="both"/>
        <w:rPr>
          <w:rFonts w:ascii="Times New Roman" w:eastAsia="Times New Roman" w:hAnsi="Times New Roman" w:cs="Times New Roman"/>
          <w:i/>
          <w:iCs/>
          <w:sz w:val="24"/>
          <w:szCs w:val="24"/>
        </w:rPr>
      </w:pPr>
      <w:r>
        <w:rPr>
          <w:rFonts w:ascii="Times New Roman" w:hAnsi="Times New Roman" w:cs="Times New Roman"/>
          <w:sz w:val="24"/>
          <w:szCs w:val="24"/>
        </w:rPr>
        <w:t>”</w:t>
      </w:r>
      <w:bookmarkEnd w:id="1869"/>
    </w:p>
    <w:p w14:paraId="2EEF95ED" w14:textId="77777777" w:rsidR="00B01D46" w:rsidRDefault="0067013E">
      <w:pPr>
        <w:pStyle w:val="Heading4"/>
      </w:pPr>
      <w:bookmarkStart w:id="1870" w:name="_Toc165369313"/>
      <w:bookmarkStart w:id="1871" w:name="_Toc165365282"/>
      <w:bookmarkStart w:id="1872" w:name="_Toc165975878"/>
      <w:bookmarkStart w:id="1873" w:name="_Toc164664096"/>
      <w:bookmarkStart w:id="1874" w:name="_Toc165973157"/>
      <w:bookmarkStart w:id="1875" w:name="_Toc184272964"/>
      <w:bookmarkStart w:id="1876" w:name="_Toc165363508"/>
      <w:r>
        <w:t>5.4.5.5 ICT Challenges Hindering Effective ILS Training</w:t>
      </w:r>
      <w:bookmarkEnd w:id="1870"/>
      <w:bookmarkEnd w:id="1871"/>
      <w:bookmarkEnd w:id="1872"/>
      <w:bookmarkEnd w:id="1873"/>
      <w:bookmarkEnd w:id="1874"/>
      <w:bookmarkEnd w:id="1875"/>
      <w:bookmarkEnd w:id="1876"/>
      <w:r>
        <w:t xml:space="preserve"> </w:t>
      </w:r>
    </w:p>
    <w:p w14:paraId="385774AC"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Further the study sought to find out the ICT challenges that were hindering utilization ILS training and learning. The responses are classed as follows;</w:t>
      </w:r>
    </w:p>
    <w:p w14:paraId="0E23C095" w14:textId="77777777" w:rsidR="00B01D46" w:rsidRDefault="0067013E">
      <w:pPr>
        <w:spacing w:before="120" w:after="0" w:line="480" w:lineRule="auto"/>
        <w:ind w:right="65"/>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Students’ responses to challenges hindering effective utilization of ICT tools and devices facilitating ILS</w:t>
      </w:r>
    </w:p>
    <w:p w14:paraId="0C9FBC4B"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study sought to know the various challenges that hinder the effective utilization of ICTs in ILS learning among medical undergraduate students.</w:t>
      </w:r>
      <w:bookmarkStart w:id="1877" w:name="_Toc165973158"/>
      <w:bookmarkStart w:id="1878" w:name="_Toc165975879"/>
      <w:bookmarkStart w:id="1879" w:name="_Hlk159794211"/>
    </w:p>
    <w:p w14:paraId="67074A82" w14:textId="77777777" w:rsidR="00B01D46" w:rsidRDefault="0067013E">
      <w:pPr>
        <w:pStyle w:val="Caption"/>
      </w:pPr>
      <w:bookmarkStart w:id="1880" w:name="_Toc184272564"/>
      <w:bookmarkStart w:id="1881" w:name="_Toc184272965"/>
      <w:bookmarkStart w:id="1882" w:name="_Toc184276934"/>
      <w:bookmarkStart w:id="1883" w:name="_Toc184272024"/>
      <w:r>
        <w:rPr>
          <w:rStyle w:val="Heading2Char"/>
          <w:rFonts w:eastAsia="SimSun" w:cstheme="minorBidi"/>
          <w:b w:val="0"/>
          <w:szCs w:val="18"/>
        </w:rPr>
        <w:t>Table 5.29: Students’ Response to Challenges Hindering Effective Utilization of ICT</w:t>
      </w:r>
      <w:bookmarkEnd w:id="1880"/>
      <w:bookmarkEnd w:id="1881"/>
      <w:r>
        <w:t xml:space="preserve"> Tools and Devices Facilitating ILS (n=255)</w:t>
      </w:r>
      <w:bookmarkEnd w:id="1877"/>
      <w:bookmarkEnd w:id="1878"/>
      <w:bookmarkEnd w:id="1882"/>
      <w:bookmarkEnd w:id="1883"/>
      <w:r>
        <w:t xml:space="preserve"> </w:t>
      </w:r>
    </w:p>
    <w:bookmarkEnd w:id="1879"/>
    <w:p w14:paraId="1DC23F16" w14:textId="77777777" w:rsidR="00B01D46" w:rsidRDefault="0067013E">
      <w:pPr>
        <w:spacing w:before="120" w:after="0" w:line="480" w:lineRule="auto"/>
        <w:ind w:right="65"/>
        <w:jc w:val="both"/>
        <w:rPr>
          <w:rFonts w:ascii="Times New Roman" w:eastAsia="Calibri" w:hAnsi="Times New Roman" w:cs="Times New Roman"/>
          <w:b/>
          <w:bCs/>
          <w:sz w:val="24"/>
          <w:szCs w:val="24"/>
        </w:rPr>
      </w:pPr>
      <w:r>
        <w:rPr>
          <w:rFonts w:ascii="Times New Roman" w:hAnsi="Times New Roman" w:cs="Times New Roman"/>
          <w:noProof/>
          <w:sz w:val="24"/>
          <w:szCs w:val="24"/>
        </w:rPr>
        <w:drawing>
          <wp:inline distT="0" distB="0" distL="0" distR="0" wp14:anchorId="2DEF08F7" wp14:editId="4637AF2A">
            <wp:extent cx="5120640" cy="1287780"/>
            <wp:effectExtent l="0" t="0" r="3810" b="7620"/>
            <wp:docPr id="419402971" name="Picture 419402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402971" name="Picture 41940297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125968" cy="1289707"/>
                    </a:xfrm>
                    <a:prstGeom prst="rect">
                      <a:avLst/>
                    </a:prstGeom>
                    <a:noFill/>
                    <a:ln>
                      <a:noFill/>
                    </a:ln>
                  </pic:spPr>
                </pic:pic>
              </a:graphicData>
            </a:graphic>
          </wp:inline>
        </w:drawing>
      </w:r>
      <w:r>
        <w:rPr>
          <w:rFonts w:ascii="Times New Roman" w:eastAsia="Calibri" w:hAnsi="Times New Roman" w:cs="Times New Roman"/>
          <w:b/>
          <w:bCs/>
          <w:i/>
          <w:sz w:val="24"/>
          <w:szCs w:val="24"/>
        </w:rPr>
        <w:t>Source: Field data (2021</w:t>
      </w:r>
    </w:p>
    <w:p w14:paraId="3FFAEB03"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 on Table 5.29, indicate that 207 (92.00%), 206 (91.56%), 207 (92.00%), 211 (83.45%) and 205 (93.78%) and 213 (94.67%) of the students affirmed that unreliable internet connectivity and limited accessibility, limited ICT tools and infrastructure, absence of effectual tutelage (training), limited ICT training time, trainers’ ICT incompetency and lack of interest among lecturers in using ICT technologies were factors contributing to the underutilization of ICT in ILS learning respectively. </w:t>
      </w:r>
    </w:p>
    <w:p w14:paraId="18169886"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On the contrary, 12 (5.33%), 8 (3.56%), 10 (4.44%), 10 (4.44%), 14 (6.22%) and 8 (3.56%) of the respondents gainsaid that unreliable internet connectivity and limited accessibility, limited ICT tools and infrastructure, absence of effectual tutelage (training), limited ICT training time, trainers’ ICT incompetency and lack of interest among lecturers in using ICT technologies were factors contributing to the underutilization of ICT in ILS learning correspondingly. </w:t>
      </w:r>
    </w:p>
    <w:p w14:paraId="35E61CA1" w14:textId="77777777" w:rsidR="00B01D46" w:rsidRDefault="0067013E">
      <w:pPr>
        <w:spacing w:before="120" w:after="0" w:line="480" w:lineRule="auto"/>
        <w:ind w:right="65"/>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Lecturers’ Responses to </w:t>
      </w:r>
      <w:bookmarkStart w:id="1884" w:name="_Hlk154896949"/>
      <w:r>
        <w:rPr>
          <w:rFonts w:ascii="Times New Roman" w:eastAsia="Calibri" w:hAnsi="Times New Roman" w:cs="Times New Roman"/>
          <w:b/>
          <w:bCs/>
          <w:sz w:val="24"/>
          <w:szCs w:val="24"/>
        </w:rPr>
        <w:t xml:space="preserve">Challenges Hindering Effective Utilization of ICT Tools and Devices Facilitating ILS </w:t>
      </w:r>
    </w:p>
    <w:bookmarkEnd w:id="1884"/>
    <w:p w14:paraId="57E51F0F"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intended to identify the numerous issues that impede the successful use of ICTs in the teaching and learning of ILS medical students from lecturer replies. The results are shown in Table 5.30 below. </w:t>
      </w:r>
    </w:p>
    <w:p w14:paraId="0BE562BC" w14:textId="77777777" w:rsidR="00B01D46" w:rsidRDefault="0067013E">
      <w:pPr>
        <w:pStyle w:val="Caption"/>
      </w:pPr>
      <w:bookmarkStart w:id="1885" w:name="_Toc165973159"/>
      <w:bookmarkStart w:id="1886" w:name="_Toc165975880"/>
      <w:bookmarkStart w:id="1887" w:name="_Toc184272025"/>
      <w:bookmarkStart w:id="1888" w:name="_Toc184276935"/>
      <w:bookmarkStart w:id="1889" w:name="_Hlk159794232"/>
      <w:r>
        <w:t>Table 5.30: Lecturers’ Response to Challenges Hindering Effective Utilization of ICT Tools and Devices Facilitating ILS (N=62)</w:t>
      </w:r>
      <w:bookmarkStart w:id="1890" w:name="_Hlk102653167"/>
      <w:bookmarkEnd w:id="1885"/>
      <w:bookmarkEnd w:id="1886"/>
      <w:bookmarkEnd w:id="1887"/>
      <w:bookmarkEnd w:id="1888"/>
      <w:r>
        <w:t xml:space="preserve"> </w:t>
      </w:r>
    </w:p>
    <w:bookmarkEnd w:id="1889"/>
    <w:p w14:paraId="7A09896E" w14:textId="77777777" w:rsidR="00B01D46" w:rsidRDefault="0067013E">
      <w:pPr>
        <w:spacing w:before="120" w:after="0" w:line="240" w:lineRule="auto"/>
        <w:ind w:right="65"/>
        <w:rPr>
          <w:rFonts w:ascii="Times New Roman" w:eastAsia="Calibri" w:hAnsi="Times New Roman" w:cs="Times New Roman"/>
          <w:b/>
          <w:bCs/>
          <w:sz w:val="24"/>
          <w:szCs w:val="24"/>
        </w:rPr>
      </w:pPr>
      <w:r>
        <w:rPr>
          <w:rFonts w:ascii="Times New Roman" w:hAnsi="Times New Roman" w:cs="Times New Roman"/>
          <w:noProof/>
          <w:sz w:val="24"/>
          <w:szCs w:val="24"/>
        </w:rPr>
        <w:drawing>
          <wp:inline distT="0" distB="0" distL="0" distR="0" wp14:anchorId="6147CA61" wp14:editId="1A2BC933">
            <wp:extent cx="5106035" cy="968375"/>
            <wp:effectExtent l="0" t="0" r="0" b="3175"/>
            <wp:docPr id="114033512" name="Picture 114033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3512" name="Picture 11403351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127810" cy="972422"/>
                    </a:xfrm>
                    <a:prstGeom prst="rect">
                      <a:avLst/>
                    </a:prstGeom>
                    <a:noFill/>
                    <a:ln>
                      <a:noFill/>
                    </a:ln>
                  </pic:spPr>
                </pic:pic>
              </a:graphicData>
            </a:graphic>
          </wp:inline>
        </w:drawing>
      </w:r>
    </w:p>
    <w:bookmarkEnd w:id="1890"/>
    <w:p w14:paraId="5AEA3792" w14:textId="77777777" w:rsidR="00B01D46" w:rsidRDefault="0067013E">
      <w:pPr>
        <w:spacing w:before="120" w:after="0" w:line="240" w:lineRule="auto"/>
        <w:ind w:right="65"/>
        <w:rPr>
          <w:rFonts w:ascii="Times New Roman" w:hAnsi="Times New Roman" w:cs="Times New Roman"/>
          <w:sz w:val="24"/>
          <w:szCs w:val="24"/>
        </w:rPr>
      </w:pPr>
      <w:r>
        <w:rPr>
          <w:rFonts w:ascii="Times New Roman" w:eastAsia="Calibri" w:hAnsi="Times New Roman" w:cs="Times New Roman"/>
          <w:b/>
          <w:bCs/>
          <w:sz w:val="24"/>
          <w:szCs w:val="24"/>
        </w:rPr>
        <w:t>Source: Field data (2021)</w:t>
      </w:r>
      <w:r>
        <w:rPr>
          <w:rFonts w:ascii="Times New Roman" w:hAnsi="Times New Roman" w:cs="Times New Roman"/>
          <w:sz w:val="24"/>
          <w:szCs w:val="24"/>
        </w:rPr>
        <w:t xml:space="preserve"> </w:t>
      </w:r>
    </w:p>
    <w:p w14:paraId="6662CA8E" w14:textId="77777777" w:rsidR="00B01D46" w:rsidRDefault="0067013E">
      <w:pPr>
        <w:spacing w:before="120" w:after="0" w:line="48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findings disclosed that 58 (93.74%), 59 (97.64%), 57 (92.96%), 59 (95.21%) 57 (92.96%) and 59 (97.64%) of the respondents agreed that unreliable internet connection and accessibility, insufficient technical assistance, lack of effectual tutelage (training) on how to apply various ICT technologies in their teaching, limited ICT tools and  infrastructure for ICT training, lack of lecturers’ competency and absence of interest in ICT usage among lecturers were the reasons for the low utilization of ICT in ILS instruction respectively.</w:t>
      </w:r>
    </w:p>
    <w:p w14:paraId="7701A6B7" w14:textId="77777777" w:rsidR="00B01D46" w:rsidRDefault="0067013E">
      <w:pPr>
        <w:spacing w:before="120" w:after="0" w:line="48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However, 3(4.72%), 2(3.23%), 2(3.23%), 2(3.23%), 3(4.84%) and 1(1.56%) of the respondents disputed that unreliable internet connection and accessibility, insufficient technical assistance, lack of effectual tutelage (training) on how to apply various ICT technologies in their teaching, limited training time, lack of lecturers’ competency and absence of interest in ICT usage among lecturers were reasons for limited ICT utilization in teaching ILS. </w:t>
      </w:r>
    </w:p>
    <w:p w14:paraId="1565A15C" w14:textId="77777777" w:rsidR="00B01D46" w:rsidRDefault="0067013E">
      <w:pPr>
        <w:spacing w:before="120" w:after="0" w:line="48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 xml:space="preserve">During the interview with </w:t>
      </w:r>
      <w:r>
        <w:rPr>
          <w:rFonts w:ascii="Times New Roman" w:eastAsia="Times New Roman" w:hAnsi="Times New Roman" w:cs="Times New Roman"/>
          <w:color w:val="000000"/>
          <w:sz w:val="24"/>
          <w:szCs w:val="24"/>
        </w:rPr>
        <w:t xml:space="preserve">university librarians, heads of departments, and heads of medical librarians, </w:t>
      </w:r>
      <w:r>
        <w:rPr>
          <w:rFonts w:ascii="Times New Roman" w:eastAsia="Calibri" w:hAnsi="Times New Roman" w:cs="Times New Roman"/>
          <w:color w:val="000000"/>
          <w:sz w:val="24"/>
          <w:szCs w:val="24"/>
        </w:rPr>
        <w:t xml:space="preserve">it was established that </w:t>
      </w:r>
      <w:r>
        <w:rPr>
          <w:rFonts w:ascii="Times New Roman" w:eastAsia="Times New Roman" w:hAnsi="Times New Roman" w:cs="Times New Roman"/>
          <w:color w:val="000000"/>
          <w:sz w:val="24"/>
          <w:szCs w:val="24"/>
        </w:rPr>
        <w:t xml:space="preserve">the challenges hindering effective use of ICT tools and devices facilitating ILS among students as </w:t>
      </w:r>
      <w:r>
        <w:rPr>
          <w:rFonts w:ascii="Times New Roman" w:eastAsia="Calibri" w:hAnsi="Times New Roman" w:cs="Times New Roman"/>
          <w:color w:val="000000"/>
          <w:sz w:val="24"/>
          <w:szCs w:val="24"/>
        </w:rPr>
        <w:t xml:space="preserve">low internet access, WI-FI not operational, phobia of some staff members and students to embrace ICT technologies, outdated/ obsolete ICT technology in use, inadequate computers, unstable power supply, absence of management support, slow speed of computers, insufficient training time, insufficient ICT systems personnel, absence of effectual tutelage (training), and poor ICT literacy among students. </w:t>
      </w:r>
    </w:p>
    <w:p w14:paraId="76EC0908" w14:textId="77777777" w:rsidR="00B01D46" w:rsidRDefault="0067013E">
      <w:pPr>
        <w:spacing w:before="120" w:after="0" w:line="48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One of the heads of departments (HD 05) asserted:</w:t>
      </w:r>
    </w:p>
    <w:p w14:paraId="5823641A" w14:textId="77777777" w:rsidR="00B01D46" w:rsidRDefault="0067013E">
      <w:pPr>
        <w:spacing w:before="120" w:after="0" w:line="240" w:lineRule="auto"/>
        <w:ind w:left="720" w:right="785"/>
        <w:jc w:val="both"/>
        <w:rPr>
          <w:rFonts w:ascii="Times New Roman" w:eastAsia="Calibri" w:hAnsi="Times New Roman" w:cs="Times New Roman"/>
          <w:i/>
          <w:iCs/>
          <w:color w:val="000000"/>
          <w:sz w:val="24"/>
          <w:szCs w:val="24"/>
        </w:rPr>
      </w:pPr>
      <w:r>
        <w:rPr>
          <w:rFonts w:ascii="Times New Roman" w:hAnsi="Times New Roman" w:cs="Times New Roman"/>
          <w:i/>
          <w:iCs/>
          <w:sz w:val="24"/>
          <w:szCs w:val="24"/>
        </w:rPr>
        <w:t xml:space="preserve">"...for active use of ICT in institutions of higher learning, appropriately trained personnel with appropriate ICT skills and knowledge should be present…. However, there is a dearth of robust internet access; there is not enough time dedicated to ICT skill training; </w:t>
      </w:r>
      <w:r>
        <w:rPr>
          <w:rFonts w:ascii="Times New Roman" w:eastAsia="Calibri" w:hAnsi="Times New Roman" w:cs="Times New Roman"/>
          <w:i/>
          <w:iCs/>
          <w:color w:val="000000"/>
          <w:sz w:val="24"/>
          <w:szCs w:val="24"/>
        </w:rPr>
        <w:t xml:space="preserve">inadequate infrastructure; students lack the zeal to learn and acquire the ICT skills; absence of a comprehensive pre-service course on ICT that ought to equip lecturer trainees with the right   ICT skills   and knowledge… “ </w:t>
      </w:r>
    </w:p>
    <w:p w14:paraId="60C41E5F" w14:textId="77777777" w:rsidR="00B01D46" w:rsidRDefault="00B01D46">
      <w:pPr>
        <w:spacing w:before="120" w:after="0" w:line="240" w:lineRule="auto"/>
        <w:ind w:right="65"/>
        <w:jc w:val="both"/>
        <w:rPr>
          <w:rFonts w:ascii="Times New Roman" w:eastAsia="Calibri" w:hAnsi="Times New Roman" w:cs="Times New Roman"/>
          <w:color w:val="000000"/>
          <w:sz w:val="24"/>
          <w:szCs w:val="24"/>
        </w:rPr>
      </w:pPr>
    </w:p>
    <w:p w14:paraId="5ECE160D" w14:textId="77777777" w:rsidR="00B01D46" w:rsidRDefault="0067013E">
      <w:pPr>
        <w:spacing w:before="120" w:after="0" w:line="48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One university librarian (UL02) observed that </w:t>
      </w:r>
    </w:p>
    <w:p w14:paraId="2330CE03" w14:textId="77777777" w:rsidR="00B01D46" w:rsidRDefault="0067013E">
      <w:pPr>
        <w:spacing w:before="120" w:after="0" w:line="240" w:lineRule="auto"/>
        <w:ind w:left="720" w:right="785"/>
        <w:jc w:val="both"/>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"...the inability of lecturers to understand why and how to implement ICT in teaching impedes its effective use; renewal of subscriptions to ICT solution providers; lack of university management support on ICT infrastructure set-up; misplaced priorities of our university management; frequent power outages; unwillingness to change on the part of lecturers and students...”</w:t>
      </w:r>
    </w:p>
    <w:p w14:paraId="225C020A" w14:textId="77777777" w:rsidR="00B01D46" w:rsidRDefault="00B01D46">
      <w:pPr>
        <w:spacing w:before="120" w:after="0" w:line="240" w:lineRule="auto"/>
        <w:ind w:left="567" w:right="65"/>
        <w:jc w:val="both"/>
        <w:rPr>
          <w:rFonts w:ascii="Times New Roman" w:eastAsia="Calibri" w:hAnsi="Times New Roman" w:cs="Times New Roman"/>
          <w:i/>
          <w:iCs/>
          <w:color w:val="000000"/>
          <w:sz w:val="24"/>
          <w:szCs w:val="24"/>
        </w:rPr>
      </w:pPr>
    </w:p>
    <w:p w14:paraId="3EC6EEE8" w14:textId="77777777" w:rsidR="00B01D46" w:rsidRDefault="0067013E">
      <w:pPr>
        <w:pStyle w:val="Heading3"/>
        <w:rPr>
          <w:rFonts w:eastAsia="Calibri"/>
        </w:rPr>
      </w:pPr>
      <w:bookmarkStart w:id="1891" w:name="_Toc165973160"/>
      <w:bookmarkStart w:id="1892" w:name="_Toc165975881"/>
      <w:bookmarkStart w:id="1893" w:name="_Toc164664097"/>
      <w:bookmarkStart w:id="1894" w:name="_Toc165369316"/>
      <w:bookmarkStart w:id="1895" w:name="_Toc184272966"/>
      <w:bookmarkStart w:id="1896" w:name="_Toc165363509"/>
      <w:bookmarkStart w:id="1897" w:name="_Toc165365283"/>
      <w:r>
        <w:rPr>
          <w:rFonts w:eastAsia="Calibri"/>
        </w:rPr>
        <w:t>5.4.6 Challenges Hindering ILS Delivery to Medical Undergraduate Students</w:t>
      </w:r>
      <w:bookmarkEnd w:id="1891"/>
      <w:bookmarkEnd w:id="1892"/>
      <w:bookmarkEnd w:id="1893"/>
      <w:bookmarkEnd w:id="1894"/>
      <w:bookmarkEnd w:id="1895"/>
      <w:bookmarkEnd w:id="1896"/>
      <w:bookmarkEnd w:id="1897"/>
      <w:r>
        <w:rPr>
          <w:rFonts w:eastAsia="Calibri"/>
        </w:rPr>
        <w:t xml:space="preserve"> </w:t>
      </w:r>
    </w:p>
    <w:p w14:paraId="70C819BD" w14:textId="77777777" w:rsidR="00B01D46" w:rsidRDefault="0067013E">
      <w:pPr>
        <w:spacing w:after="0" w:line="48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final research question investigated challenges that respondents felt were impeding the ILS delivery in the two public universities. The responses are as follows;</w:t>
      </w:r>
    </w:p>
    <w:p w14:paraId="4790513C" w14:textId="77777777" w:rsidR="00B01D46" w:rsidRDefault="0067013E">
      <w:pPr>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br w:type="page"/>
      </w:r>
    </w:p>
    <w:p w14:paraId="06894218" w14:textId="77777777" w:rsidR="00B01D46" w:rsidRDefault="0067013E">
      <w:pPr>
        <w:spacing w:before="120" w:after="0" w:line="480" w:lineRule="auto"/>
        <w:ind w:right="65"/>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 xml:space="preserve">Students’ responses to challenges hindering ILS delivery to </w:t>
      </w:r>
      <w:r>
        <w:rPr>
          <w:rFonts w:ascii="Times New Roman" w:eastAsia="Times New Roman" w:hAnsi="Times New Roman" w:cs="Times New Roman"/>
          <w:b/>
          <w:color w:val="000000"/>
          <w:sz w:val="24"/>
          <w:szCs w:val="24"/>
        </w:rPr>
        <w:t>medical undergraduate students</w:t>
      </w:r>
      <w:r>
        <w:rPr>
          <w:rFonts w:ascii="Times New Roman" w:eastAsia="Calibri" w:hAnsi="Times New Roman" w:cs="Times New Roman"/>
          <w:b/>
          <w:bCs/>
          <w:color w:val="000000"/>
          <w:sz w:val="24"/>
          <w:szCs w:val="24"/>
        </w:rPr>
        <w:t xml:space="preserve"> </w:t>
      </w:r>
    </w:p>
    <w:p w14:paraId="5AB93748" w14:textId="77777777" w:rsidR="00B01D46" w:rsidRDefault="0067013E">
      <w:pPr>
        <w:pStyle w:val="Caption"/>
        <w:rPr>
          <w:rStyle w:val="Heading2Char"/>
          <w:rFonts w:eastAsia="SimSun" w:cstheme="minorBidi"/>
          <w:b w:val="0"/>
          <w:szCs w:val="18"/>
        </w:rPr>
      </w:pPr>
      <w:bookmarkStart w:id="1898" w:name="_Toc165975882"/>
      <w:bookmarkStart w:id="1899" w:name="_Toc184272026"/>
      <w:bookmarkStart w:id="1900" w:name="_Toc165973161"/>
      <w:bookmarkStart w:id="1901" w:name="_Toc184276936"/>
      <w:bookmarkStart w:id="1902" w:name="_Hlk159794271"/>
      <w:r>
        <w:t>Table 5.31: Students’ R</w:t>
      </w:r>
      <w:r>
        <w:rPr>
          <w:rStyle w:val="Heading2Char"/>
          <w:rFonts w:eastAsia="SimSun" w:cstheme="minorBidi"/>
          <w:b w:val="0"/>
          <w:szCs w:val="18"/>
        </w:rPr>
        <w:t>esponses to Challenges Hindering ILS Delivery to Medical Undergraduate Students</w:t>
      </w:r>
      <w:bookmarkEnd w:id="1898"/>
      <w:bookmarkEnd w:id="1899"/>
      <w:bookmarkEnd w:id="1900"/>
      <w:bookmarkEnd w:id="1901"/>
      <w:r>
        <w:rPr>
          <w:rStyle w:val="Heading2Char"/>
          <w:rFonts w:eastAsia="SimSun" w:cstheme="minorBidi"/>
          <w:b w:val="0"/>
          <w:szCs w:val="18"/>
        </w:rPr>
        <w:t xml:space="preserve"> </w:t>
      </w:r>
      <w:bookmarkEnd w:id="1902"/>
    </w:p>
    <w:tbl>
      <w:tblPr>
        <w:tblStyle w:val="TableGrid"/>
        <w:tblW w:w="7987" w:type="dxa"/>
        <w:tblInd w:w="108" w:type="dxa"/>
        <w:tblLook w:val="04A0" w:firstRow="1" w:lastRow="0" w:firstColumn="1" w:lastColumn="0" w:noHBand="0" w:noVBand="1"/>
      </w:tblPr>
      <w:tblGrid>
        <w:gridCol w:w="1777"/>
        <w:gridCol w:w="6210"/>
      </w:tblGrid>
      <w:tr w:rsidR="00B01D46" w14:paraId="7D865239" w14:textId="77777777">
        <w:tc>
          <w:tcPr>
            <w:tcW w:w="1777" w:type="dxa"/>
            <w:tcBorders>
              <w:top w:val="single" w:sz="4" w:space="0" w:color="auto"/>
              <w:left w:val="single" w:sz="4" w:space="0" w:color="auto"/>
              <w:bottom w:val="single" w:sz="4" w:space="0" w:color="auto"/>
              <w:right w:val="single" w:sz="4" w:space="0" w:color="auto"/>
            </w:tcBorders>
          </w:tcPr>
          <w:p w14:paraId="0E8AB793"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Respondents </w:t>
            </w:r>
          </w:p>
        </w:tc>
        <w:tc>
          <w:tcPr>
            <w:tcW w:w="6210" w:type="dxa"/>
            <w:tcBorders>
              <w:top w:val="single" w:sz="4" w:space="0" w:color="auto"/>
              <w:left w:val="single" w:sz="4" w:space="0" w:color="auto"/>
              <w:bottom w:val="single" w:sz="4" w:space="0" w:color="auto"/>
              <w:right w:val="single" w:sz="4" w:space="0" w:color="auto"/>
            </w:tcBorders>
          </w:tcPr>
          <w:p w14:paraId="7AB143E3"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Responses to questionnaire </w:t>
            </w:r>
          </w:p>
        </w:tc>
      </w:tr>
      <w:tr w:rsidR="00B01D46" w14:paraId="22156E28" w14:textId="77777777">
        <w:tc>
          <w:tcPr>
            <w:tcW w:w="1777" w:type="dxa"/>
            <w:tcBorders>
              <w:top w:val="single" w:sz="4" w:space="0" w:color="auto"/>
              <w:left w:val="single" w:sz="4" w:space="0" w:color="auto"/>
              <w:bottom w:val="single" w:sz="4" w:space="0" w:color="auto"/>
              <w:right w:val="single" w:sz="4" w:space="0" w:color="auto"/>
            </w:tcBorders>
          </w:tcPr>
          <w:p w14:paraId="250D512A"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ST02</w:t>
            </w:r>
          </w:p>
        </w:tc>
        <w:tc>
          <w:tcPr>
            <w:tcW w:w="6210" w:type="dxa"/>
            <w:tcBorders>
              <w:top w:val="single" w:sz="4" w:space="0" w:color="auto"/>
              <w:left w:val="single" w:sz="4" w:space="0" w:color="auto"/>
              <w:bottom w:val="single" w:sz="4" w:space="0" w:color="auto"/>
              <w:right w:val="single" w:sz="4" w:space="0" w:color="auto"/>
            </w:tcBorders>
          </w:tcPr>
          <w:p w14:paraId="0AEF86DC"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absence of well-trained lecturers to impart information literacy knowledge and skills to students</w:t>
            </w:r>
          </w:p>
        </w:tc>
      </w:tr>
      <w:tr w:rsidR="00B01D46" w14:paraId="371472C2" w14:textId="77777777">
        <w:tc>
          <w:tcPr>
            <w:tcW w:w="1777" w:type="dxa"/>
            <w:tcBorders>
              <w:top w:val="single" w:sz="4" w:space="0" w:color="auto"/>
              <w:left w:val="single" w:sz="4" w:space="0" w:color="auto"/>
              <w:bottom w:val="single" w:sz="4" w:space="0" w:color="auto"/>
              <w:right w:val="single" w:sz="4" w:space="0" w:color="auto"/>
            </w:tcBorders>
          </w:tcPr>
          <w:p w14:paraId="2B2FABE8"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ST09</w:t>
            </w:r>
          </w:p>
        </w:tc>
        <w:tc>
          <w:tcPr>
            <w:tcW w:w="6210" w:type="dxa"/>
            <w:tcBorders>
              <w:top w:val="single" w:sz="4" w:space="0" w:color="auto"/>
              <w:left w:val="single" w:sz="4" w:space="0" w:color="auto"/>
              <w:bottom w:val="single" w:sz="4" w:space="0" w:color="auto"/>
              <w:right w:val="single" w:sz="4" w:space="0" w:color="auto"/>
            </w:tcBorders>
          </w:tcPr>
          <w:p w14:paraId="5EE29FAC"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Large class size hence there is no personalized learning</w:t>
            </w:r>
          </w:p>
        </w:tc>
      </w:tr>
      <w:tr w:rsidR="00B01D46" w14:paraId="3FFD8DFE" w14:textId="77777777">
        <w:tc>
          <w:tcPr>
            <w:tcW w:w="1777" w:type="dxa"/>
            <w:tcBorders>
              <w:top w:val="single" w:sz="4" w:space="0" w:color="auto"/>
              <w:left w:val="single" w:sz="4" w:space="0" w:color="auto"/>
              <w:bottom w:val="single" w:sz="4" w:space="0" w:color="auto"/>
              <w:right w:val="single" w:sz="4" w:space="0" w:color="auto"/>
            </w:tcBorders>
          </w:tcPr>
          <w:p w14:paraId="26835E2F"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ST16</w:t>
            </w:r>
          </w:p>
        </w:tc>
        <w:tc>
          <w:tcPr>
            <w:tcW w:w="6210" w:type="dxa"/>
            <w:tcBorders>
              <w:top w:val="single" w:sz="4" w:space="0" w:color="auto"/>
              <w:left w:val="single" w:sz="4" w:space="0" w:color="auto"/>
              <w:bottom w:val="single" w:sz="4" w:space="0" w:color="auto"/>
              <w:right w:val="single" w:sz="4" w:space="0" w:color="auto"/>
            </w:tcBorders>
          </w:tcPr>
          <w:p w14:paraId="18C10585" w14:textId="77777777" w:rsidR="00B01D46" w:rsidRDefault="0067013E">
            <w:pPr>
              <w:spacing w:after="0" w:line="240" w:lineRule="auto"/>
              <w:ind w:right="65" w:hanging="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Unstable power supply</w:t>
            </w:r>
          </w:p>
        </w:tc>
      </w:tr>
      <w:tr w:rsidR="00B01D46" w14:paraId="6655CB2B" w14:textId="77777777">
        <w:tc>
          <w:tcPr>
            <w:tcW w:w="1777" w:type="dxa"/>
            <w:tcBorders>
              <w:top w:val="single" w:sz="4" w:space="0" w:color="auto"/>
              <w:left w:val="single" w:sz="4" w:space="0" w:color="auto"/>
              <w:bottom w:val="single" w:sz="4" w:space="0" w:color="auto"/>
              <w:right w:val="single" w:sz="4" w:space="0" w:color="auto"/>
            </w:tcBorders>
          </w:tcPr>
          <w:p w14:paraId="7D3D1878"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ST23</w:t>
            </w:r>
          </w:p>
        </w:tc>
        <w:tc>
          <w:tcPr>
            <w:tcW w:w="6210" w:type="dxa"/>
            <w:tcBorders>
              <w:top w:val="single" w:sz="4" w:space="0" w:color="auto"/>
              <w:left w:val="single" w:sz="4" w:space="0" w:color="auto"/>
              <w:bottom w:val="single" w:sz="4" w:space="0" w:color="auto"/>
              <w:right w:val="single" w:sz="4" w:space="0" w:color="auto"/>
            </w:tcBorders>
          </w:tcPr>
          <w:p w14:paraId="2BE0B393"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Computer skills are low  </w:t>
            </w:r>
          </w:p>
        </w:tc>
      </w:tr>
      <w:tr w:rsidR="00B01D46" w14:paraId="46BBA623" w14:textId="77777777">
        <w:tc>
          <w:tcPr>
            <w:tcW w:w="1777" w:type="dxa"/>
            <w:tcBorders>
              <w:top w:val="single" w:sz="4" w:space="0" w:color="auto"/>
              <w:left w:val="single" w:sz="4" w:space="0" w:color="auto"/>
              <w:bottom w:val="single" w:sz="4" w:space="0" w:color="auto"/>
              <w:right w:val="single" w:sz="4" w:space="0" w:color="auto"/>
            </w:tcBorders>
          </w:tcPr>
          <w:p w14:paraId="04601661"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ST45</w:t>
            </w:r>
          </w:p>
        </w:tc>
        <w:tc>
          <w:tcPr>
            <w:tcW w:w="6210" w:type="dxa"/>
            <w:tcBorders>
              <w:top w:val="single" w:sz="4" w:space="0" w:color="auto"/>
              <w:left w:val="single" w:sz="4" w:space="0" w:color="auto"/>
              <w:bottom w:val="single" w:sz="4" w:space="0" w:color="auto"/>
              <w:right w:val="single" w:sz="4" w:space="0" w:color="auto"/>
            </w:tcBorders>
          </w:tcPr>
          <w:p w14:paraId="75472DF9"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Some facilitators are rude and not accommodative   </w:t>
            </w:r>
          </w:p>
        </w:tc>
      </w:tr>
      <w:tr w:rsidR="00B01D46" w14:paraId="7BABDA5E" w14:textId="77777777">
        <w:tc>
          <w:tcPr>
            <w:tcW w:w="1777" w:type="dxa"/>
            <w:tcBorders>
              <w:top w:val="single" w:sz="4" w:space="0" w:color="auto"/>
              <w:left w:val="single" w:sz="4" w:space="0" w:color="auto"/>
              <w:bottom w:val="single" w:sz="4" w:space="0" w:color="auto"/>
              <w:right w:val="single" w:sz="4" w:space="0" w:color="auto"/>
            </w:tcBorders>
          </w:tcPr>
          <w:p w14:paraId="27E17025"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ST56</w:t>
            </w:r>
          </w:p>
        </w:tc>
        <w:tc>
          <w:tcPr>
            <w:tcW w:w="6210" w:type="dxa"/>
            <w:tcBorders>
              <w:top w:val="single" w:sz="4" w:space="0" w:color="auto"/>
              <w:left w:val="single" w:sz="4" w:space="0" w:color="auto"/>
              <w:bottom w:val="single" w:sz="4" w:space="0" w:color="auto"/>
              <w:right w:val="single" w:sz="4" w:space="0" w:color="auto"/>
            </w:tcBorders>
          </w:tcPr>
          <w:p w14:paraId="0E9816B5" w14:textId="77777777" w:rsidR="00B01D46" w:rsidRDefault="0067013E">
            <w:pPr>
              <w:spacing w:after="0" w:line="240" w:lineRule="auto"/>
              <w:ind w:right="65" w:hanging="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feedback from facilitators on their ILS skills level</w:t>
            </w:r>
          </w:p>
        </w:tc>
      </w:tr>
      <w:tr w:rsidR="00B01D46" w14:paraId="45FDA27D" w14:textId="77777777">
        <w:tc>
          <w:tcPr>
            <w:tcW w:w="1777" w:type="dxa"/>
            <w:tcBorders>
              <w:top w:val="single" w:sz="4" w:space="0" w:color="auto"/>
              <w:left w:val="single" w:sz="4" w:space="0" w:color="auto"/>
              <w:bottom w:val="single" w:sz="4" w:space="0" w:color="auto"/>
              <w:right w:val="single" w:sz="4" w:space="0" w:color="auto"/>
            </w:tcBorders>
          </w:tcPr>
          <w:p w14:paraId="0AE54655"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 87</w:t>
            </w:r>
          </w:p>
        </w:tc>
        <w:tc>
          <w:tcPr>
            <w:tcW w:w="6210" w:type="dxa"/>
            <w:tcBorders>
              <w:top w:val="single" w:sz="4" w:space="0" w:color="auto"/>
              <w:left w:val="single" w:sz="4" w:space="0" w:color="auto"/>
              <w:bottom w:val="single" w:sz="4" w:space="0" w:color="auto"/>
              <w:right w:val="single" w:sz="4" w:space="0" w:color="auto"/>
            </w:tcBorders>
          </w:tcPr>
          <w:p w14:paraId="18C7D9DD" w14:textId="77777777" w:rsidR="00B01D46" w:rsidRDefault="0067013E">
            <w:pPr>
              <w:spacing w:after="0" w:line="240" w:lineRule="auto"/>
              <w:ind w:right="65" w:hanging="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Inadequate support from the lecturers and librarians</w:t>
            </w:r>
          </w:p>
        </w:tc>
      </w:tr>
      <w:tr w:rsidR="00B01D46" w14:paraId="3924F9DA" w14:textId="77777777">
        <w:tc>
          <w:tcPr>
            <w:tcW w:w="1777" w:type="dxa"/>
            <w:tcBorders>
              <w:top w:val="single" w:sz="4" w:space="0" w:color="auto"/>
              <w:left w:val="single" w:sz="4" w:space="0" w:color="auto"/>
              <w:bottom w:val="single" w:sz="4" w:space="0" w:color="auto"/>
              <w:right w:val="single" w:sz="4" w:space="0" w:color="auto"/>
            </w:tcBorders>
          </w:tcPr>
          <w:p w14:paraId="2E4F7FE2"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 93</w:t>
            </w:r>
          </w:p>
        </w:tc>
        <w:tc>
          <w:tcPr>
            <w:tcW w:w="6210" w:type="dxa"/>
            <w:tcBorders>
              <w:top w:val="single" w:sz="4" w:space="0" w:color="auto"/>
              <w:left w:val="single" w:sz="4" w:space="0" w:color="auto"/>
              <w:bottom w:val="single" w:sz="4" w:space="0" w:color="auto"/>
              <w:right w:val="single" w:sz="4" w:space="0" w:color="auto"/>
            </w:tcBorders>
          </w:tcPr>
          <w:p w14:paraId="3AE9DF36" w14:textId="77777777" w:rsidR="00B01D46" w:rsidRDefault="0067013E">
            <w:pPr>
              <w:spacing w:after="0" w:line="240" w:lineRule="auto"/>
              <w:ind w:right="65" w:hanging="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Smartphones are very expensive to purchase</w:t>
            </w:r>
          </w:p>
        </w:tc>
      </w:tr>
      <w:tr w:rsidR="00B01D46" w14:paraId="38C6F87C" w14:textId="77777777">
        <w:tc>
          <w:tcPr>
            <w:tcW w:w="1777" w:type="dxa"/>
            <w:tcBorders>
              <w:top w:val="single" w:sz="4" w:space="0" w:color="auto"/>
              <w:left w:val="single" w:sz="4" w:space="0" w:color="auto"/>
              <w:bottom w:val="single" w:sz="4" w:space="0" w:color="auto"/>
              <w:right w:val="single" w:sz="4" w:space="0" w:color="auto"/>
            </w:tcBorders>
          </w:tcPr>
          <w:p w14:paraId="5A91F4DD"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ST135</w:t>
            </w:r>
          </w:p>
        </w:tc>
        <w:tc>
          <w:tcPr>
            <w:tcW w:w="6210" w:type="dxa"/>
            <w:tcBorders>
              <w:top w:val="single" w:sz="4" w:space="0" w:color="auto"/>
              <w:left w:val="single" w:sz="4" w:space="0" w:color="auto"/>
              <w:bottom w:val="single" w:sz="4" w:space="0" w:color="auto"/>
              <w:right w:val="single" w:sz="4" w:space="0" w:color="auto"/>
            </w:tcBorders>
          </w:tcPr>
          <w:p w14:paraId="2C6BA5DE" w14:textId="77777777" w:rsidR="00B01D46" w:rsidRDefault="0067013E">
            <w:pPr>
              <w:spacing w:after="0" w:line="240" w:lineRule="auto"/>
              <w:ind w:right="65" w:hanging="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Inadequate information resources</w:t>
            </w:r>
          </w:p>
        </w:tc>
      </w:tr>
      <w:tr w:rsidR="00B01D46" w14:paraId="21AD02CB" w14:textId="77777777">
        <w:tc>
          <w:tcPr>
            <w:tcW w:w="1777" w:type="dxa"/>
            <w:tcBorders>
              <w:top w:val="single" w:sz="4" w:space="0" w:color="auto"/>
              <w:left w:val="single" w:sz="4" w:space="0" w:color="auto"/>
              <w:bottom w:val="single" w:sz="4" w:space="0" w:color="auto"/>
              <w:right w:val="single" w:sz="4" w:space="0" w:color="auto"/>
            </w:tcBorders>
          </w:tcPr>
          <w:p w14:paraId="443787C9"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ST190</w:t>
            </w:r>
          </w:p>
        </w:tc>
        <w:tc>
          <w:tcPr>
            <w:tcW w:w="6210" w:type="dxa"/>
            <w:tcBorders>
              <w:top w:val="single" w:sz="4" w:space="0" w:color="auto"/>
              <w:left w:val="single" w:sz="4" w:space="0" w:color="auto"/>
              <w:bottom w:val="single" w:sz="4" w:space="0" w:color="auto"/>
              <w:right w:val="single" w:sz="4" w:space="0" w:color="auto"/>
            </w:tcBorders>
          </w:tcPr>
          <w:p w14:paraId="21610296" w14:textId="77777777" w:rsidR="00B01D46" w:rsidRDefault="0067013E">
            <w:pPr>
              <w:spacing w:after="0" w:line="240" w:lineRule="auto"/>
              <w:ind w:right="65" w:hanging="11"/>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Poor internet connectivity with low bandwidth </w:t>
            </w:r>
          </w:p>
        </w:tc>
      </w:tr>
      <w:tr w:rsidR="00B01D46" w14:paraId="01E7AC0A" w14:textId="77777777">
        <w:tc>
          <w:tcPr>
            <w:tcW w:w="1777" w:type="dxa"/>
            <w:tcBorders>
              <w:top w:val="single" w:sz="4" w:space="0" w:color="auto"/>
              <w:left w:val="single" w:sz="4" w:space="0" w:color="auto"/>
              <w:bottom w:val="single" w:sz="4" w:space="0" w:color="auto"/>
              <w:right w:val="single" w:sz="4" w:space="0" w:color="auto"/>
            </w:tcBorders>
          </w:tcPr>
          <w:p w14:paraId="0550F879"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ST210</w:t>
            </w:r>
          </w:p>
        </w:tc>
        <w:tc>
          <w:tcPr>
            <w:tcW w:w="6210" w:type="dxa"/>
            <w:tcBorders>
              <w:top w:val="single" w:sz="4" w:space="0" w:color="auto"/>
              <w:left w:val="single" w:sz="4" w:space="0" w:color="auto"/>
              <w:bottom w:val="single" w:sz="4" w:space="0" w:color="auto"/>
              <w:right w:val="single" w:sz="4" w:space="0" w:color="auto"/>
            </w:tcBorders>
          </w:tcPr>
          <w:p w14:paraId="0E58DB74"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Students generally lack basic knowledge of information literacy skills.</w:t>
            </w:r>
          </w:p>
        </w:tc>
      </w:tr>
      <w:tr w:rsidR="00B01D46" w14:paraId="350BFDC4" w14:textId="77777777">
        <w:tc>
          <w:tcPr>
            <w:tcW w:w="1777" w:type="dxa"/>
            <w:tcBorders>
              <w:top w:val="single" w:sz="4" w:space="0" w:color="auto"/>
              <w:left w:val="single" w:sz="4" w:space="0" w:color="auto"/>
              <w:bottom w:val="single" w:sz="4" w:space="0" w:color="auto"/>
              <w:right w:val="single" w:sz="4" w:space="0" w:color="auto"/>
            </w:tcBorders>
          </w:tcPr>
          <w:p w14:paraId="2FBFA645" w14:textId="77777777" w:rsidR="00B01D46" w:rsidRDefault="0067013E">
            <w:pPr>
              <w:spacing w:after="0" w:line="240" w:lineRule="auto"/>
              <w:ind w:right="65" w:hanging="1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ST231</w:t>
            </w:r>
          </w:p>
        </w:tc>
        <w:tc>
          <w:tcPr>
            <w:tcW w:w="6210" w:type="dxa"/>
            <w:tcBorders>
              <w:top w:val="single" w:sz="4" w:space="0" w:color="auto"/>
              <w:left w:val="single" w:sz="4" w:space="0" w:color="auto"/>
              <w:bottom w:val="single" w:sz="4" w:space="0" w:color="auto"/>
              <w:right w:val="single" w:sz="4" w:space="0" w:color="auto"/>
            </w:tcBorders>
          </w:tcPr>
          <w:p w14:paraId="665A661B" w14:textId="77777777" w:rsidR="00B01D46" w:rsidRDefault="0067013E">
            <w:pPr>
              <w:spacing w:after="0" w:line="240" w:lineRule="auto"/>
              <w:ind w:right="65" w:hanging="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Lack of training on how to upload an assignment to the enterprise resource management system</w:t>
            </w:r>
          </w:p>
        </w:tc>
      </w:tr>
    </w:tbl>
    <w:p w14:paraId="28130785" w14:textId="77777777" w:rsidR="00B01D46" w:rsidRDefault="0067013E">
      <w:pPr>
        <w:spacing w:line="240" w:lineRule="auto"/>
        <w:ind w:right="65" w:hanging="10"/>
        <w:jc w:val="both"/>
        <w:rPr>
          <w:rFonts w:ascii="Times New Roman" w:eastAsia="Calibri" w:hAnsi="Times New Roman" w:cs="Times New Roman"/>
          <w:color w:val="000000"/>
          <w:sz w:val="24"/>
          <w:szCs w:val="24"/>
        </w:rPr>
      </w:pPr>
      <w:r>
        <w:rPr>
          <w:rFonts w:ascii="Times New Roman" w:eastAsia="Calibri" w:hAnsi="Times New Roman" w:cs="Times New Roman"/>
          <w:b/>
          <w:bCs/>
          <w:i/>
          <w:color w:val="000000"/>
          <w:sz w:val="24"/>
          <w:szCs w:val="24"/>
        </w:rPr>
        <w:t>Source:</w:t>
      </w:r>
      <w:r>
        <w:rPr>
          <w:rFonts w:ascii="Times New Roman" w:eastAsia="Calibri" w:hAnsi="Times New Roman" w:cs="Times New Roman"/>
          <w:b/>
          <w:i/>
          <w:color w:val="000000"/>
          <w:sz w:val="24"/>
          <w:szCs w:val="24"/>
        </w:rPr>
        <w:t xml:space="preserve"> Field data (2021): Key [ST-Student]</w:t>
      </w:r>
    </w:p>
    <w:p w14:paraId="7D143F72" w14:textId="77777777" w:rsidR="00B01D46" w:rsidRDefault="0067013E">
      <w:pPr>
        <w:spacing w:before="120" w:after="0" w:line="480" w:lineRule="auto"/>
        <w:ind w:right="65"/>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Lecturers’ responses to challenges hindering ILS delivery to </w:t>
      </w:r>
      <w:r>
        <w:rPr>
          <w:rFonts w:ascii="Times New Roman" w:eastAsia="Times New Roman" w:hAnsi="Times New Roman" w:cs="Times New Roman"/>
          <w:b/>
          <w:color w:val="000000"/>
          <w:sz w:val="24"/>
          <w:szCs w:val="24"/>
        </w:rPr>
        <w:t>medical undergraduate students</w:t>
      </w:r>
      <w:r>
        <w:rPr>
          <w:rFonts w:ascii="Times New Roman" w:eastAsia="Calibri" w:hAnsi="Times New Roman" w:cs="Times New Roman"/>
          <w:b/>
          <w:bCs/>
          <w:color w:val="000000"/>
          <w:sz w:val="24"/>
          <w:szCs w:val="24"/>
        </w:rPr>
        <w:t xml:space="preserve"> </w:t>
      </w:r>
    </w:p>
    <w:p w14:paraId="0CD2F938" w14:textId="77777777" w:rsidR="00B01D46" w:rsidRDefault="0067013E">
      <w:pPr>
        <w:pStyle w:val="Caption"/>
      </w:pPr>
      <w:bookmarkStart w:id="1903" w:name="_Toc165975883"/>
      <w:bookmarkStart w:id="1904" w:name="_Toc165973162"/>
      <w:bookmarkStart w:id="1905" w:name="_Toc165365284"/>
      <w:bookmarkStart w:id="1906" w:name="_Toc165363510"/>
      <w:bookmarkStart w:id="1907" w:name="_Toc184276937"/>
      <w:bookmarkStart w:id="1908" w:name="_Toc184272027"/>
      <w:bookmarkStart w:id="1909" w:name="_Hlk159794300"/>
      <w:r>
        <w:t xml:space="preserve">Table 5.32: Lecturers’ Responses to Challenges Hindering ILS Delivery to </w:t>
      </w:r>
      <w:r>
        <w:rPr>
          <w:rFonts w:eastAsia="Times New Roman"/>
        </w:rPr>
        <w:t>Medical Undergraduate Students</w:t>
      </w:r>
      <w:bookmarkEnd w:id="1903"/>
      <w:bookmarkEnd w:id="1904"/>
      <w:bookmarkEnd w:id="1905"/>
      <w:bookmarkEnd w:id="1906"/>
      <w:bookmarkEnd w:id="1907"/>
      <w:bookmarkEnd w:id="1908"/>
      <w:r>
        <w:t xml:space="preserve"> </w:t>
      </w:r>
      <w:bookmarkEnd w:id="1909"/>
    </w:p>
    <w:tbl>
      <w:tblPr>
        <w:tblStyle w:val="TableGrid"/>
        <w:tblW w:w="7987" w:type="dxa"/>
        <w:tblInd w:w="108" w:type="dxa"/>
        <w:tblLook w:val="04A0" w:firstRow="1" w:lastRow="0" w:firstColumn="1" w:lastColumn="0" w:noHBand="0" w:noVBand="1"/>
      </w:tblPr>
      <w:tblGrid>
        <w:gridCol w:w="1777"/>
        <w:gridCol w:w="6210"/>
      </w:tblGrid>
      <w:tr w:rsidR="00B01D46" w14:paraId="436A7233" w14:textId="77777777">
        <w:tc>
          <w:tcPr>
            <w:tcW w:w="1777" w:type="dxa"/>
            <w:tcBorders>
              <w:top w:val="single" w:sz="4" w:space="0" w:color="auto"/>
              <w:left w:val="single" w:sz="4" w:space="0" w:color="auto"/>
              <w:bottom w:val="single" w:sz="4" w:space="0" w:color="auto"/>
              <w:right w:val="single" w:sz="4" w:space="0" w:color="auto"/>
            </w:tcBorders>
          </w:tcPr>
          <w:p w14:paraId="14AF961D"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Respondents </w:t>
            </w:r>
          </w:p>
        </w:tc>
        <w:tc>
          <w:tcPr>
            <w:tcW w:w="6210" w:type="dxa"/>
            <w:tcBorders>
              <w:top w:val="single" w:sz="4" w:space="0" w:color="auto"/>
              <w:left w:val="single" w:sz="4" w:space="0" w:color="auto"/>
              <w:bottom w:val="single" w:sz="4" w:space="0" w:color="auto"/>
              <w:right w:val="single" w:sz="4" w:space="0" w:color="auto"/>
            </w:tcBorders>
          </w:tcPr>
          <w:p w14:paraId="2F1E95ED"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Responses </w:t>
            </w:r>
          </w:p>
        </w:tc>
      </w:tr>
      <w:tr w:rsidR="00B01D46" w14:paraId="098FF3D2" w14:textId="77777777">
        <w:tc>
          <w:tcPr>
            <w:tcW w:w="1777" w:type="dxa"/>
            <w:tcBorders>
              <w:top w:val="single" w:sz="4" w:space="0" w:color="auto"/>
              <w:left w:val="single" w:sz="4" w:space="0" w:color="auto"/>
              <w:bottom w:val="single" w:sz="4" w:space="0" w:color="auto"/>
              <w:right w:val="single" w:sz="4" w:space="0" w:color="auto"/>
            </w:tcBorders>
          </w:tcPr>
          <w:p w14:paraId="65ABE4D8"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LT09</w:t>
            </w:r>
          </w:p>
        </w:tc>
        <w:tc>
          <w:tcPr>
            <w:tcW w:w="6210" w:type="dxa"/>
            <w:tcBorders>
              <w:top w:val="single" w:sz="4" w:space="0" w:color="auto"/>
              <w:left w:val="single" w:sz="4" w:space="0" w:color="auto"/>
              <w:bottom w:val="single" w:sz="4" w:space="0" w:color="auto"/>
              <w:right w:val="single" w:sz="4" w:space="0" w:color="auto"/>
            </w:tcBorders>
          </w:tcPr>
          <w:p w14:paraId="0E7715E7"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Calibri" w:hAnsi="Times New Roman" w:cs="Times New Roman"/>
                <w:color w:val="333333"/>
                <w:sz w:val="24"/>
                <w:szCs w:val="24"/>
              </w:rPr>
              <w:t>Reluctance by faculty staff to adopt an information literacy skills approach in their teaching</w:t>
            </w:r>
          </w:p>
        </w:tc>
      </w:tr>
      <w:tr w:rsidR="00B01D46" w14:paraId="3F44D36D" w14:textId="77777777">
        <w:tc>
          <w:tcPr>
            <w:tcW w:w="1777" w:type="dxa"/>
            <w:tcBorders>
              <w:top w:val="single" w:sz="4" w:space="0" w:color="auto"/>
              <w:left w:val="single" w:sz="4" w:space="0" w:color="auto"/>
              <w:bottom w:val="single" w:sz="4" w:space="0" w:color="auto"/>
              <w:right w:val="single" w:sz="4" w:space="0" w:color="auto"/>
            </w:tcBorders>
          </w:tcPr>
          <w:p w14:paraId="72897BE7"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LT14</w:t>
            </w:r>
          </w:p>
        </w:tc>
        <w:tc>
          <w:tcPr>
            <w:tcW w:w="6210" w:type="dxa"/>
            <w:tcBorders>
              <w:top w:val="single" w:sz="4" w:space="0" w:color="auto"/>
              <w:left w:val="single" w:sz="4" w:space="0" w:color="auto"/>
              <w:bottom w:val="single" w:sz="4" w:space="0" w:color="auto"/>
              <w:right w:val="single" w:sz="4" w:space="0" w:color="auto"/>
            </w:tcBorders>
          </w:tcPr>
          <w:p w14:paraId="1F634B19" w14:textId="77777777" w:rsidR="00B01D46" w:rsidRDefault="0067013E">
            <w:pPr>
              <w:spacing w:after="0" w:line="240" w:lineRule="auto"/>
              <w:ind w:right="65" w:hanging="10"/>
              <w:jc w:val="both"/>
              <w:rPr>
                <w:rFonts w:ascii="Times New Roman" w:eastAsia="Calibri" w:hAnsi="Times New Roman" w:cs="Times New Roman"/>
                <w:color w:val="333333"/>
                <w:sz w:val="24"/>
                <w:szCs w:val="24"/>
              </w:rPr>
            </w:pPr>
            <w:r>
              <w:rPr>
                <w:rFonts w:ascii="Times New Roman" w:eastAsia="Calibri" w:hAnsi="Times New Roman" w:cs="Times New Roman"/>
                <w:color w:val="333333"/>
                <w:sz w:val="24"/>
                <w:szCs w:val="24"/>
              </w:rPr>
              <w:t xml:space="preserve">At times it is difficult to assess </w:t>
            </w:r>
            <w:r>
              <w:rPr>
                <w:rFonts w:ascii="Times New Roman" w:eastAsia="Calibri" w:hAnsi="Times New Roman" w:cs="Times New Roman"/>
                <w:color w:val="000000"/>
                <w:sz w:val="24"/>
                <w:szCs w:val="24"/>
              </w:rPr>
              <w:t xml:space="preserve">information literacy programs’ skills </w:t>
            </w:r>
          </w:p>
        </w:tc>
      </w:tr>
      <w:tr w:rsidR="00B01D46" w14:paraId="1CD7070C" w14:textId="77777777">
        <w:tc>
          <w:tcPr>
            <w:tcW w:w="1777" w:type="dxa"/>
            <w:tcBorders>
              <w:top w:val="single" w:sz="4" w:space="0" w:color="auto"/>
              <w:left w:val="single" w:sz="4" w:space="0" w:color="auto"/>
              <w:bottom w:val="single" w:sz="4" w:space="0" w:color="auto"/>
              <w:right w:val="single" w:sz="4" w:space="0" w:color="auto"/>
            </w:tcBorders>
          </w:tcPr>
          <w:p w14:paraId="4E6FD22A"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LT19</w:t>
            </w:r>
          </w:p>
        </w:tc>
        <w:tc>
          <w:tcPr>
            <w:tcW w:w="6210" w:type="dxa"/>
            <w:tcBorders>
              <w:top w:val="single" w:sz="4" w:space="0" w:color="auto"/>
              <w:left w:val="single" w:sz="4" w:space="0" w:color="auto"/>
              <w:bottom w:val="single" w:sz="4" w:space="0" w:color="auto"/>
              <w:right w:val="single" w:sz="4" w:space="0" w:color="auto"/>
            </w:tcBorders>
          </w:tcPr>
          <w:p w14:paraId="32DE7FBB" w14:textId="77777777" w:rsidR="00B01D46" w:rsidRDefault="0067013E">
            <w:pPr>
              <w:spacing w:after="0" w:line="240" w:lineRule="auto"/>
              <w:ind w:right="65" w:hanging="10"/>
              <w:jc w:val="both"/>
              <w:rPr>
                <w:rFonts w:ascii="Times New Roman" w:eastAsia="Calibri" w:hAnsi="Times New Roman" w:cs="Times New Roman"/>
                <w:color w:val="333333"/>
                <w:sz w:val="24"/>
                <w:szCs w:val="24"/>
              </w:rPr>
            </w:pPr>
            <w:r>
              <w:rPr>
                <w:rFonts w:ascii="Times New Roman" w:eastAsia="Calibri" w:hAnsi="Times New Roman" w:cs="Times New Roman"/>
                <w:color w:val="333333"/>
                <w:sz w:val="24"/>
                <w:szCs w:val="24"/>
              </w:rPr>
              <w:t>Misconceptions among students in their perception that they already have ILS competences.</w:t>
            </w:r>
          </w:p>
        </w:tc>
      </w:tr>
      <w:tr w:rsidR="00B01D46" w14:paraId="2DBAD507" w14:textId="77777777">
        <w:tc>
          <w:tcPr>
            <w:tcW w:w="1777" w:type="dxa"/>
            <w:tcBorders>
              <w:top w:val="single" w:sz="4" w:space="0" w:color="auto"/>
              <w:left w:val="single" w:sz="4" w:space="0" w:color="auto"/>
              <w:bottom w:val="single" w:sz="4" w:space="0" w:color="auto"/>
              <w:right w:val="single" w:sz="4" w:space="0" w:color="auto"/>
            </w:tcBorders>
          </w:tcPr>
          <w:p w14:paraId="0036103C"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LT23</w:t>
            </w:r>
          </w:p>
        </w:tc>
        <w:tc>
          <w:tcPr>
            <w:tcW w:w="6210" w:type="dxa"/>
            <w:tcBorders>
              <w:top w:val="single" w:sz="4" w:space="0" w:color="auto"/>
              <w:left w:val="single" w:sz="4" w:space="0" w:color="auto"/>
              <w:bottom w:val="single" w:sz="4" w:space="0" w:color="auto"/>
              <w:right w:val="single" w:sz="4" w:space="0" w:color="auto"/>
            </w:tcBorders>
          </w:tcPr>
          <w:p w14:paraId="35197C1B" w14:textId="77777777" w:rsidR="00B01D46" w:rsidRDefault="0067013E">
            <w:pPr>
              <w:spacing w:after="0" w:line="240" w:lineRule="auto"/>
              <w:ind w:right="65" w:hanging="10"/>
              <w:jc w:val="both"/>
              <w:rPr>
                <w:rFonts w:ascii="Times New Roman" w:eastAsia="Calibri" w:hAnsi="Times New Roman" w:cs="Times New Roman"/>
                <w:color w:val="333333"/>
                <w:sz w:val="24"/>
                <w:szCs w:val="24"/>
              </w:rPr>
            </w:pPr>
            <w:r>
              <w:rPr>
                <w:rFonts w:ascii="Times New Roman" w:eastAsia="Calibri" w:hAnsi="Times New Roman" w:cs="Times New Roman"/>
                <w:color w:val="000000"/>
                <w:sz w:val="24"/>
                <w:szCs w:val="24"/>
              </w:rPr>
              <w:t>absence of collaboration between librarians and faculty</w:t>
            </w:r>
          </w:p>
        </w:tc>
      </w:tr>
      <w:tr w:rsidR="00B01D46" w14:paraId="045F6179" w14:textId="77777777">
        <w:tc>
          <w:tcPr>
            <w:tcW w:w="1777" w:type="dxa"/>
            <w:tcBorders>
              <w:top w:val="single" w:sz="4" w:space="0" w:color="auto"/>
              <w:left w:val="single" w:sz="4" w:space="0" w:color="auto"/>
              <w:bottom w:val="single" w:sz="4" w:space="0" w:color="auto"/>
              <w:right w:val="single" w:sz="4" w:space="0" w:color="auto"/>
            </w:tcBorders>
          </w:tcPr>
          <w:p w14:paraId="738B3EC3"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LT28</w:t>
            </w:r>
          </w:p>
        </w:tc>
        <w:tc>
          <w:tcPr>
            <w:tcW w:w="6210" w:type="dxa"/>
            <w:tcBorders>
              <w:top w:val="single" w:sz="4" w:space="0" w:color="auto"/>
              <w:left w:val="single" w:sz="4" w:space="0" w:color="auto"/>
              <w:bottom w:val="single" w:sz="4" w:space="0" w:color="auto"/>
              <w:right w:val="single" w:sz="4" w:space="0" w:color="auto"/>
            </w:tcBorders>
          </w:tcPr>
          <w:p w14:paraId="3FF3BB25" w14:textId="77777777" w:rsidR="00B01D46" w:rsidRDefault="0067013E">
            <w:pPr>
              <w:spacing w:after="0" w:line="240" w:lineRule="auto"/>
              <w:ind w:right="65" w:hanging="10"/>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Inadequate support from university management</w:t>
            </w:r>
          </w:p>
        </w:tc>
      </w:tr>
      <w:tr w:rsidR="00B01D46" w14:paraId="01B144B3" w14:textId="77777777">
        <w:tc>
          <w:tcPr>
            <w:tcW w:w="1777" w:type="dxa"/>
            <w:tcBorders>
              <w:top w:val="single" w:sz="4" w:space="0" w:color="auto"/>
              <w:left w:val="single" w:sz="4" w:space="0" w:color="auto"/>
              <w:bottom w:val="single" w:sz="4" w:space="0" w:color="auto"/>
              <w:right w:val="single" w:sz="4" w:space="0" w:color="auto"/>
            </w:tcBorders>
          </w:tcPr>
          <w:p w14:paraId="5A2B0911"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 35</w:t>
            </w:r>
          </w:p>
        </w:tc>
        <w:tc>
          <w:tcPr>
            <w:tcW w:w="6210" w:type="dxa"/>
            <w:tcBorders>
              <w:top w:val="single" w:sz="4" w:space="0" w:color="auto"/>
              <w:left w:val="single" w:sz="4" w:space="0" w:color="auto"/>
              <w:bottom w:val="single" w:sz="4" w:space="0" w:color="auto"/>
              <w:right w:val="single" w:sz="4" w:space="0" w:color="auto"/>
            </w:tcBorders>
          </w:tcPr>
          <w:p w14:paraId="4007AE2A" w14:textId="77777777" w:rsidR="00B01D46" w:rsidRDefault="0067013E">
            <w:pPr>
              <w:spacing w:after="0" w:line="240" w:lineRule="auto"/>
              <w:ind w:right="65" w:hanging="10"/>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Some students don’t have smartphones/laptops</w:t>
            </w:r>
          </w:p>
        </w:tc>
      </w:tr>
      <w:tr w:rsidR="00B01D46" w14:paraId="5548F574" w14:textId="77777777">
        <w:tc>
          <w:tcPr>
            <w:tcW w:w="1777" w:type="dxa"/>
            <w:tcBorders>
              <w:top w:val="single" w:sz="4" w:space="0" w:color="auto"/>
              <w:left w:val="single" w:sz="4" w:space="0" w:color="auto"/>
              <w:bottom w:val="single" w:sz="4" w:space="0" w:color="auto"/>
              <w:right w:val="single" w:sz="4" w:space="0" w:color="auto"/>
            </w:tcBorders>
          </w:tcPr>
          <w:p w14:paraId="08A5266D"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LT38</w:t>
            </w:r>
          </w:p>
        </w:tc>
        <w:tc>
          <w:tcPr>
            <w:tcW w:w="6210" w:type="dxa"/>
            <w:tcBorders>
              <w:top w:val="single" w:sz="4" w:space="0" w:color="auto"/>
              <w:left w:val="single" w:sz="4" w:space="0" w:color="auto"/>
              <w:bottom w:val="single" w:sz="4" w:space="0" w:color="auto"/>
              <w:right w:val="single" w:sz="4" w:space="0" w:color="auto"/>
            </w:tcBorders>
          </w:tcPr>
          <w:p w14:paraId="42BFDB32" w14:textId="77777777" w:rsidR="00B01D46" w:rsidRDefault="0067013E">
            <w:pPr>
              <w:spacing w:after="0" w:line="240" w:lineRule="auto"/>
              <w:ind w:right="65" w:hanging="10"/>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Inadequate support, limited/poor internet connectivity</w:t>
            </w:r>
          </w:p>
        </w:tc>
      </w:tr>
      <w:tr w:rsidR="00B01D46" w14:paraId="69AA0C2B" w14:textId="77777777">
        <w:tc>
          <w:tcPr>
            <w:tcW w:w="1777" w:type="dxa"/>
            <w:tcBorders>
              <w:top w:val="single" w:sz="4" w:space="0" w:color="auto"/>
              <w:left w:val="single" w:sz="4" w:space="0" w:color="auto"/>
              <w:bottom w:val="single" w:sz="4" w:space="0" w:color="auto"/>
              <w:right w:val="single" w:sz="4" w:space="0" w:color="auto"/>
            </w:tcBorders>
          </w:tcPr>
          <w:p w14:paraId="6AFD4E10"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LT39</w:t>
            </w:r>
          </w:p>
        </w:tc>
        <w:tc>
          <w:tcPr>
            <w:tcW w:w="6210" w:type="dxa"/>
            <w:tcBorders>
              <w:top w:val="single" w:sz="4" w:space="0" w:color="auto"/>
              <w:left w:val="single" w:sz="4" w:space="0" w:color="auto"/>
              <w:bottom w:val="single" w:sz="4" w:space="0" w:color="auto"/>
              <w:right w:val="single" w:sz="4" w:space="0" w:color="auto"/>
            </w:tcBorders>
          </w:tcPr>
          <w:p w14:paraId="12A89D5F" w14:textId="77777777" w:rsidR="00B01D46" w:rsidRDefault="0067013E">
            <w:pPr>
              <w:spacing w:after="0" w:line="240" w:lineRule="auto"/>
              <w:ind w:right="65" w:hanging="10"/>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Some lecturers lack pedagogical skills because some are experts in their areas of study and not trained lecturers/teachers </w:t>
            </w:r>
          </w:p>
        </w:tc>
      </w:tr>
      <w:tr w:rsidR="00B01D46" w14:paraId="11DBF474" w14:textId="77777777">
        <w:tc>
          <w:tcPr>
            <w:tcW w:w="1777" w:type="dxa"/>
            <w:tcBorders>
              <w:top w:val="single" w:sz="4" w:space="0" w:color="auto"/>
              <w:left w:val="single" w:sz="4" w:space="0" w:color="auto"/>
              <w:bottom w:val="single" w:sz="4" w:space="0" w:color="auto"/>
              <w:right w:val="single" w:sz="4" w:space="0" w:color="auto"/>
            </w:tcBorders>
          </w:tcPr>
          <w:p w14:paraId="3BA1B27A"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LT43</w:t>
            </w:r>
          </w:p>
        </w:tc>
        <w:tc>
          <w:tcPr>
            <w:tcW w:w="6210" w:type="dxa"/>
            <w:tcBorders>
              <w:top w:val="single" w:sz="4" w:space="0" w:color="auto"/>
              <w:left w:val="single" w:sz="4" w:space="0" w:color="auto"/>
              <w:bottom w:val="single" w:sz="4" w:space="0" w:color="auto"/>
              <w:right w:val="single" w:sz="4" w:space="0" w:color="auto"/>
            </w:tcBorders>
          </w:tcPr>
          <w:p w14:paraId="4548B887" w14:textId="77777777" w:rsidR="00B01D46" w:rsidRDefault="0067013E">
            <w:pPr>
              <w:spacing w:after="0" w:line="240" w:lineRule="auto"/>
              <w:ind w:right="65" w:hanging="1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Large class size for example in the communication skills I &amp; II unit</w:t>
            </w:r>
          </w:p>
        </w:tc>
      </w:tr>
      <w:tr w:rsidR="00B01D46" w14:paraId="23EB107F" w14:textId="77777777">
        <w:tc>
          <w:tcPr>
            <w:tcW w:w="1777" w:type="dxa"/>
            <w:tcBorders>
              <w:top w:val="single" w:sz="4" w:space="0" w:color="auto"/>
              <w:left w:val="single" w:sz="4" w:space="0" w:color="auto"/>
              <w:bottom w:val="single" w:sz="4" w:space="0" w:color="auto"/>
              <w:right w:val="single" w:sz="4" w:space="0" w:color="auto"/>
            </w:tcBorders>
          </w:tcPr>
          <w:p w14:paraId="3E3DBEB6"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LT46</w:t>
            </w:r>
          </w:p>
        </w:tc>
        <w:tc>
          <w:tcPr>
            <w:tcW w:w="6210" w:type="dxa"/>
            <w:tcBorders>
              <w:top w:val="single" w:sz="4" w:space="0" w:color="auto"/>
              <w:left w:val="single" w:sz="4" w:space="0" w:color="auto"/>
              <w:bottom w:val="single" w:sz="4" w:space="0" w:color="auto"/>
              <w:right w:val="single" w:sz="4" w:space="0" w:color="auto"/>
            </w:tcBorders>
          </w:tcPr>
          <w:p w14:paraId="61CA2B46"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ICT skill of students is low, and this affects their internet search skills.  </w:t>
            </w:r>
          </w:p>
        </w:tc>
      </w:tr>
      <w:tr w:rsidR="00B01D46" w14:paraId="535E99EA" w14:textId="77777777">
        <w:tc>
          <w:tcPr>
            <w:tcW w:w="1777" w:type="dxa"/>
            <w:tcBorders>
              <w:top w:val="single" w:sz="4" w:space="0" w:color="auto"/>
              <w:left w:val="single" w:sz="4" w:space="0" w:color="auto"/>
              <w:bottom w:val="single" w:sz="4" w:space="0" w:color="auto"/>
              <w:right w:val="single" w:sz="4" w:space="0" w:color="auto"/>
            </w:tcBorders>
          </w:tcPr>
          <w:p w14:paraId="0BE4997A"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LT52</w:t>
            </w:r>
          </w:p>
        </w:tc>
        <w:tc>
          <w:tcPr>
            <w:tcW w:w="6210" w:type="dxa"/>
            <w:tcBorders>
              <w:top w:val="single" w:sz="4" w:space="0" w:color="auto"/>
              <w:left w:val="single" w:sz="4" w:space="0" w:color="auto"/>
              <w:bottom w:val="single" w:sz="4" w:space="0" w:color="auto"/>
              <w:right w:val="single" w:sz="4" w:space="0" w:color="auto"/>
            </w:tcBorders>
          </w:tcPr>
          <w:p w14:paraId="5BE09FC8" w14:textId="77777777" w:rsidR="00B01D46" w:rsidRDefault="0067013E">
            <w:pPr>
              <w:spacing w:after="0" w:line="240" w:lineRule="auto"/>
              <w:ind w:right="65" w:hanging="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ILS policy guidelines not adopted fully</w:t>
            </w:r>
          </w:p>
        </w:tc>
      </w:tr>
      <w:tr w:rsidR="00B01D46" w14:paraId="4A14DB0B" w14:textId="77777777">
        <w:tc>
          <w:tcPr>
            <w:tcW w:w="1777" w:type="dxa"/>
            <w:tcBorders>
              <w:top w:val="single" w:sz="4" w:space="0" w:color="auto"/>
              <w:left w:val="single" w:sz="4" w:space="0" w:color="auto"/>
              <w:bottom w:val="single" w:sz="4" w:space="0" w:color="auto"/>
              <w:right w:val="single" w:sz="4" w:space="0" w:color="auto"/>
            </w:tcBorders>
          </w:tcPr>
          <w:p w14:paraId="6F43932D"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LT56</w:t>
            </w:r>
          </w:p>
        </w:tc>
        <w:tc>
          <w:tcPr>
            <w:tcW w:w="6210" w:type="dxa"/>
            <w:tcBorders>
              <w:top w:val="single" w:sz="4" w:space="0" w:color="auto"/>
              <w:left w:val="single" w:sz="4" w:space="0" w:color="auto"/>
              <w:bottom w:val="single" w:sz="4" w:space="0" w:color="auto"/>
              <w:right w:val="single" w:sz="4" w:space="0" w:color="auto"/>
            </w:tcBorders>
          </w:tcPr>
          <w:p w14:paraId="0E721824"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ILS are not well-integrated or embedded in the University’s curriculum.   </w:t>
            </w:r>
          </w:p>
        </w:tc>
      </w:tr>
      <w:tr w:rsidR="00B01D46" w14:paraId="664A1AC2" w14:textId="77777777">
        <w:tc>
          <w:tcPr>
            <w:tcW w:w="1777" w:type="dxa"/>
            <w:tcBorders>
              <w:top w:val="single" w:sz="4" w:space="0" w:color="auto"/>
              <w:left w:val="single" w:sz="4" w:space="0" w:color="auto"/>
              <w:bottom w:val="single" w:sz="4" w:space="0" w:color="auto"/>
              <w:right w:val="single" w:sz="4" w:space="0" w:color="auto"/>
            </w:tcBorders>
          </w:tcPr>
          <w:p w14:paraId="1D241728"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LT58</w:t>
            </w:r>
          </w:p>
        </w:tc>
        <w:tc>
          <w:tcPr>
            <w:tcW w:w="6210" w:type="dxa"/>
            <w:tcBorders>
              <w:top w:val="single" w:sz="4" w:space="0" w:color="auto"/>
              <w:left w:val="single" w:sz="4" w:space="0" w:color="auto"/>
              <w:bottom w:val="single" w:sz="4" w:space="0" w:color="auto"/>
              <w:right w:val="single" w:sz="4" w:space="0" w:color="auto"/>
            </w:tcBorders>
          </w:tcPr>
          <w:p w14:paraId="0C990B10"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Inadequate infrastructure like ICT laboratories</w:t>
            </w:r>
          </w:p>
        </w:tc>
      </w:tr>
      <w:tr w:rsidR="00B01D46" w14:paraId="226DDBBD" w14:textId="77777777">
        <w:tc>
          <w:tcPr>
            <w:tcW w:w="1777" w:type="dxa"/>
            <w:tcBorders>
              <w:top w:val="single" w:sz="4" w:space="0" w:color="auto"/>
              <w:left w:val="single" w:sz="4" w:space="0" w:color="auto"/>
              <w:bottom w:val="single" w:sz="4" w:space="0" w:color="auto"/>
              <w:right w:val="single" w:sz="4" w:space="0" w:color="auto"/>
            </w:tcBorders>
          </w:tcPr>
          <w:p w14:paraId="43F17C49"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LT60</w:t>
            </w:r>
          </w:p>
        </w:tc>
        <w:tc>
          <w:tcPr>
            <w:tcW w:w="6210" w:type="dxa"/>
            <w:tcBorders>
              <w:top w:val="single" w:sz="4" w:space="0" w:color="auto"/>
              <w:left w:val="single" w:sz="4" w:space="0" w:color="auto"/>
              <w:bottom w:val="single" w:sz="4" w:space="0" w:color="auto"/>
              <w:right w:val="single" w:sz="4" w:space="0" w:color="auto"/>
            </w:tcBorders>
          </w:tcPr>
          <w:p w14:paraId="2239E75F" w14:textId="77777777" w:rsidR="00B01D46" w:rsidRDefault="0067013E">
            <w:pPr>
              <w:spacing w:after="0" w:line="240" w:lineRule="auto"/>
              <w:ind w:right="65" w:hanging="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Power outages</w:t>
            </w:r>
          </w:p>
        </w:tc>
      </w:tr>
      <w:tr w:rsidR="00B01D46" w14:paraId="50EA4CA5" w14:textId="77777777">
        <w:tc>
          <w:tcPr>
            <w:tcW w:w="1777" w:type="dxa"/>
            <w:tcBorders>
              <w:top w:val="single" w:sz="4" w:space="0" w:color="auto"/>
              <w:left w:val="single" w:sz="4" w:space="0" w:color="auto"/>
              <w:bottom w:val="single" w:sz="4" w:space="0" w:color="auto"/>
              <w:right w:val="single" w:sz="4" w:space="0" w:color="auto"/>
            </w:tcBorders>
          </w:tcPr>
          <w:p w14:paraId="6B93AC49"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LT 62</w:t>
            </w:r>
          </w:p>
        </w:tc>
        <w:tc>
          <w:tcPr>
            <w:tcW w:w="6210" w:type="dxa"/>
            <w:tcBorders>
              <w:top w:val="single" w:sz="4" w:space="0" w:color="auto"/>
              <w:left w:val="single" w:sz="4" w:space="0" w:color="auto"/>
              <w:bottom w:val="single" w:sz="4" w:space="0" w:color="auto"/>
              <w:right w:val="single" w:sz="4" w:space="0" w:color="auto"/>
            </w:tcBorders>
          </w:tcPr>
          <w:p w14:paraId="1B45696D" w14:textId="77777777" w:rsidR="00B01D46" w:rsidRDefault="0067013E">
            <w:pPr>
              <w:spacing w:after="0" w:line="240" w:lineRule="auto"/>
              <w:ind w:right="65" w:hanging="1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Students generally lack interest in learning ILS</w:t>
            </w:r>
          </w:p>
        </w:tc>
      </w:tr>
    </w:tbl>
    <w:p w14:paraId="478B2BCF" w14:textId="77777777" w:rsidR="00B01D46" w:rsidRDefault="0067013E">
      <w:pPr>
        <w:spacing w:after="0" w:line="240" w:lineRule="auto"/>
        <w:ind w:right="65" w:hanging="10"/>
        <w:jc w:val="both"/>
        <w:rPr>
          <w:rFonts w:ascii="Times New Roman" w:eastAsia="Calibri" w:hAnsi="Times New Roman" w:cs="Times New Roman"/>
          <w:b/>
          <w:i/>
          <w:color w:val="000000"/>
          <w:sz w:val="24"/>
          <w:szCs w:val="24"/>
        </w:rPr>
      </w:pPr>
      <w:r>
        <w:rPr>
          <w:rFonts w:ascii="Times New Roman" w:eastAsia="Calibri" w:hAnsi="Times New Roman" w:cs="Times New Roman"/>
          <w:b/>
          <w:bCs/>
          <w:i/>
          <w:color w:val="000000"/>
          <w:sz w:val="24"/>
          <w:szCs w:val="24"/>
        </w:rPr>
        <w:t>Source:</w:t>
      </w:r>
      <w:r>
        <w:rPr>
          <w:rFonts w:ascii="Times New Roman" w:eastAsia="Calibri" w:hAnsi="Times New Roman" w:cs="Times New Roman"/>
          <w:b/>
          <w:i/>
          <w:color w:val="000000"/>
          <w:sz w:val="24"/>
          <w:szCs w:val="24"/>
        </w:rPr>
        <w:t xml:space="preserve"> Field Data (2021): Key [LT-Lecturer]</w:t>
      </w:r>
    </w:p>
    <w:p w14:paraId="411C842F" w14:textId="77777777" w:rsidR="00B01D46" w:rsidRDefault="00B01D46">
      <w:pPr>
        <w:spacing w:before="120" w:after="0" w:line="240" w:lineRule="auto"/>
        <w:ind w:right="65"/>
        <w:jc w:val="both"/>
        <w:rPr>
          <w:rFonts w:ascii="Times New Roman" w:eastAsia="Calibri" w:hAnsi="Times New Roman" w:cs="Times New Roman"/>
          <w:sz w:val="24"/>
          <w:szCs w:val="24"/>
        </w:rPr>
      </w:pPr>
    </w:p>
    <w:p w14:paraId="7E07CCB2"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established that respondents interviewed cited challenges hindering ILS delivery to </w:t>
      </w:r>
      <w:r>
        <w:rPr>
          <w:rFonts w:ascii="Times New Roman" w:eastAsia="Times New Roman" w:hAnsi="Times New Roman" w:cs="Times New Roman"/>
          <w:sz w:val="24"/>
          <w:szCs w:val="24"/>
        </w:rPr>
        <w:t>medical undergraduate students</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in the selected universities were;  l</w:t>
      </w:r>
      <w:r>
        <w:rPr>
          <w:rFonts w:ascii="Times New Roman" w:eastAsia="Calibri" w:hAnsi="Times New Roman" w:cs="Times New Roman"/>
          <w:iCs/>
          <w:sz w:val="24"/>
          <w:szCs w:val="24"/>
        </w:rPr>
        <w:t>arge classes, unstable power supply, inadequate support from management organs in the university, poor and unstable internet connectivity, limited internet bandwidth from the internet service providers, students’ lack of interest in learning ILS, inadequate time for instruction,</w:t>
      </w:r>
      <w:r>
        <w:rPr>
          <w:rFonts w:ascii="Times New Roman" w:eastAsia="Calibri" w:hAnsi="Times New Roman" w:cs="Times New Roman"/>
          <w:sz w:val="24"/>
          <w:szCs w:val="24"/>
        </w:rPr>
        <w:t xml:space="preserve"> limited number of skilled staff, inadequate time allocated to the program, </w:t>
      </w:r>
      <w:r>
        <w:rPr>
          <w:rFonts w:ascii="Times New Roman" w:eastAsia="Calibri" w:hAnsi="Times New Roman" w:cs="Times New Roman"/>
          <w:iCs/>
          <w:sz w:val="24"/>
          <w:szCs w:val="24"/>
        </w:rPr>
        <w:t>inadequate computers in the computer laboratories, lack of teaching methodology/pedagogical skills among the lecturers, especially librarians</w:t>
      </w:r>
      <w:r>
        <w:rPr>
          <w:rFonts w:ascii="Times New Roman" w:eastAsia="Calibri" w:hAnsi="Times New Roman" w:cs="Times New Roman"/>
          <w:sz w:val="24"/>
          <w:szCs w:val="24"/>
        </w:rPr>
        <w:t xml:space="preserve">. </w:t>
      </w:r>
    </w:p>
    <w:p w14:paraId="0C44CFC3" w14:textId="77777777" w:rsidR="00B01D46" w:rsidRDefault="0067013E">
      <w:pPr>
        <w:pStyle w:val="Heading3"/>
        <w:rPr>
          <w:rFonts w:eastAsia="Calibri"/>
        </w:rPr>
      </w:pPr>
      <w:bookmarkStart w:id="1910" w:name="_Toc165369319"/>
      <w:bookmarkStart w:id="1911" w:name="_Toc165363511"/>
      <w:bookmarkStart w:id="1912" w:name="_Toc165975884"/>
      <w:bookmarkStart w:id="1913" w:name="_Toc165365285"/>
      <w:bookmarkStart w:id="1914" w:name="_Toc165973163"/>
      <w:bookmarkStart w:id="1915" w:name="_Toc164664098"/>
      <w:bookmarkStart w:id="1916" w:name="_Toc184272967"/>
      <w:r>
        <w:rPr>
          <w:rFonts w:eastAsia="Calibri"/>
        </w:rPr>
        <w:t>5.4.7 Strategies to Improve ILS Learning and Training</w:t>
      </w:r>
      <w:bookmarkEnd w:id="1910"/>
      <w:bookmarkEnd w:id="1911"/>
      <w:bookmarkEnd w:id="1912"/>
      <w:bookmarkEnd w:id="1913"/>
      <w:bookmarkEnd w:id="1914"/>
      <w:bookmarkEnd w:id="1915"/>
      <w:bookmarkEnd w:id="1916"/>
    </w:p>
    <w:p w14:paraId="46E3327F"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Following the mentioned challenges, the respondents were requested through questionnaires and interview schedules to propose strategies to mitigate the challenges. The respondents proposed the following mitigation measures:</w:t>
      </w:r>
    </w:p>
    <w:p w14:paraId="151516FE" w14:textId="77777777" w:rsidR="00B01D46" w:rsidRDefault="0067013E">
      <w:pPr>
        <w:pStyle w:val="ListParagraph"/>
        <w:numPr>
          <w:ilvl w:val="0"/>
          <w:numId w:val="15"/>
        </w:numPr>
        <w:spacing w:before="120" w:after="0" w:line="480" w:lineRule="auto"/>
        <w:ind w:left="567" w:right="65" w:hanging="283"/>
        <w:rPr>
          <w:rFonts w:eastAsia="Calibri"/>
          <w:szCs w:val="24"/>
        </w:rPr>
      </w:pPr>
      <w:r>
        <w:rPr>
          <w:rFonts w:eastAsia="Calibri"/>
          <w:szCs w:val="24"/>
        </w:rPr>
        <w:t xml:space="preserve">Integration of ILS competences in the learning outcomes of modules, </w:t>
      </w:r>
    </w:p>
    <w:p w14:paraId="651FD47B" w14:textId="77777777" w:rsidR="00B01D46" w:rsidRDefault="0067013E">
      <w:pPr>
        <w:pStyle w:val="ListParagraph"/>
        <w:numPr>
          <w:ilvl w:val="0"/>
          <w:numId w:val="15"/>
        </w:numPr>
        <w:spacing w:before="120" w:after="0" w:line="480" w:lineRule="auto"/>
        <w:ind w:left="567" w:right="65" w:hanging="283"/>
        <w:rPr>
          <w:rFonts w:eastAsia="Calibri"/>
          <w:szCs w:val="24"/>
        </w:rPr>
      </w:pPr>
      <w:r>
        <w:rPr>
          <w:rFonts w:eastAsia="Calibri"/>
          <w:szCs w:val="24"/>
        </w:rPr>
        <w:t xml:space="preserve">Facilitation of sessions focusing on the prevention of plagiarism, </w:t>
      </w:r>
    </w:p>
    <w:p w14:paraId="11275418" w14:textId="77777777" w:rsidR="00B01D46" w:rsidRDefault="0067013E">
      <w:pPr>
        <w:pStyle w:val="ListParagraph"/>
        <w:numPr>
          <w:ilvl w:val="0"/>
          <w:numId w:val="15"/>
        </w:numPr>
        <w:spacing w:before="120" w:after="0" w:line="480" w:lineRule="auto"/>
        <w:ind w:left="567" w:right="65" w:hanging="283"/>
        <w:rPr>
          <w:rFonts w:eastAsia="Calibri"/>
          <w:szCs w:val="24"/>
        </w:rPr>
      </w:pPr>
      <w:r>
        <w:rPr>
          <w:rFonts w:eastAsia="Calibri"/>
          <w:szCs w:val="24"/>
        </w:rPr>
        <w:t xml:space="preserve">Provision of pedagogical training for lecturers, </w:t>
      </w:r>
    </w:p>
    <w:p w14:paraId="2CD1D54B" w14:textId="77777777" w:rsidR="00B01D46" w:rsidRDefault="0067013E">
      <w:pPr>
        <w:pStyle w:val="ListParagraph"/>
        <w:numPr>
          <w:ilvl w:val="0"/>
          <w:numId w:val="15"/>
        </w:numPr>
        <w:spacing w:before="120" w:after="0" w:line="480" w:lineRule="auto"/>
        <w:ind w:left="567" w:right="65" w:hanging="283"/>
        <w:rPr>
          <w:rFonts w:eastAsia="Calibri"/>
          <w:szCs w:val="24"/>
        </w:rPr>
      </w:pPr>
      <w:r>
        <w:rPr>
          <w:rFonts w:eastAsia="Calibri"/>
          <w:szCs w:val="24"/>
        </w:rPr>
        <w:t xml:space="preserve">Guide students appropriately so that they can develop an upbeat mindset towards ILS learning, </w:t>
      </w:r>
    </w:p>
    <w:p w14:paraId="08F0570C" w14:textId="77777777" w:rsidR="00B01D46" w:rsidRDefault="0067013E">
      <w:pPr>
        <w:pStyle w:val="ListParagraph"/>
        <w:numPr>
          <w:ilvl w:val="0"/>
          <w:numId w:val="15"/>
        </w:numPr>
        <w:spacing w:before="120" w:after="0" w:line="480" w:lineRule="auto"/>
        <w:ind w:left="567" w:right="65" w:hanging="283"/>
        <w:rPr>
          <w:rFonts w:eastAsia="Calibri"/>
          <w:szCs w:val="24"/>
        </w:rPr>
      </w:pPr>
      <w:r>
        <w:rPr>
          <w:rFonts w:eastAsia="Calibri"/>
          <w:szCs w:val="24"/>
        </w:rPr>
        <w:t xml:space="preserve">Allocate adequate time for ILS training, </w:t>
      </w:r>
    </w:p>
    <w:p w14:paraId="07480EB3" w14:textId="77777777" w:rsidR="00B01D46" w:rsidRDefault="0067013E">
      <w:pPr>
        <w:pStyle w:val="ListParagraph"/>
        <w:numPr>
          <w:ilvl w:val="0"/>
          <w:numId w:val="15"/>
        </w:numPr>
        <w:spacing w:before="120" w:after="0" w:line="480" w:lineRule="auto"/>
        <w:ind w:left="567" w:right="65" w:hanging="283"/>
        <w:rPr>
          <w:rFonts w:eastAsia="Calibri"/>
          <w:szCs w:val="24"/>
        </w:rPr>
      </w:pPr>
      <w:r>
        <w:rPr>
          <w:rFonts w:eastAsia="Calibri"/>
          <w:szCs w:val="24"/>
        </w:rPr>
        <w:t>Develop a partnership with mobile phone (smartphone) manufacturers to enable students purchase subsidized smartphones,</w:t>
      </w:r>
    </w:p>
    <w:p w14:paraId="7268AA5D" w14:textId="77777777" w:rsidR="00B01D46" w:rsidRDefault="0067013E">
      <w:pPr>
        <w:pStyle w:val="ListParagraph"/>
        <w:numPr>
          <w:ilvl w:val="0"/>
          <w:numId w:val="15"/>
        </w:numPr>
        <w:spacing w:before="120" w:after="0" w:line="480" w:lineRule="auto"/>
        <w:ind w:left="567" w:right="65" w:hanging="283"/>
        <w:rPr>
          <w:rFonts w:eastAsia="Calibri"/>
          <w:szCs w:val="24"/>
        </w:rPr>
      </w:pPr>
      <w:r>
        <w:rPr>
          <w:rFonts w:eastAsia="Calibri"/>
          <w:szCs w:val="24"/>
        </w:rPr>
        <w:lastRenderedPageBreak/>
        <w:t xml:space="preserve">Improve internet bandwidth, </w:t>
      </w:r>
    </w:p>
    <w:p w14:paraId="345C9A9C" w14:textId="77777777" w:rsidR="00B01D46" w:rsidRDefault="0067013E">
      <w:pPr>
        <w:pStyle w:val="ListParagraph"/>
        <w:numPr>
          <w:ilvl w:val="0"/>
          <w:numId w:val="15"/>
        </w:numPr>
        <w:spacing w:before="120" w:line="480" w:lineRule="auto"/>
        <w:ind w:left="567" w:right="65" w:hanging="283"/>
        <w:rPr>
          <w:rFonts w:eastAsia="Calibri"/>
          <w:szCs w:val="24"/>
        </w:rPr>
      </w:pPr>
      <w:r>
        <w:rPr>
          <w:rFonts w:eastAsia="Calibri"/>
          <w:szCs w:val="24"/>
        </w:rPr>
        <w:t xml:space="preserve">Equip computer laboratories adequately. </w:t>
      </w:r>
    </w:p>
    <w:p w14:paraId="5FA43101" w14:textId="77777777" w:rsidR="00B01D46" w:rsidRDefault="0067013E">
      <w:pPr>
        <w:pStyle w:val="Heading2"/>
      </w:pPr>
      <w:bookmarkStart w:id="1917" w:name="_Toc165369320"/>
      <w:bookmarkStart w:id="1918" w:name="_Toc164664099"/>
      <w:bookmarkStart w:id="1919" w:name="_Toc165365286"/>
      <w:bookmarkStart w:id="1920" w:name="_Toc165973164"/>
      <w:bookmarkStart w:id="1921" w:name="_Toc165975885"/>
      <w:bookmarkStart w:id="1922" w:name="_Toc165363512"/>
      <w:bookmarkStart w:id="1923" w:name="_Toc184272968"/>
      <w:bookmarkEnd w:id="1182"/>
      <w:r>
        <w:t>5.5 Chapter Summary</w:t>
      </w:r>
      <w:bookmarkEnd w:id="1917"/>
      <w:bookmarkEnd w:id="1918"/>
      <w:bookmarkEnd w:id="1919"/>
      <w:bookmarkEnd w:id="1920"/>
      <w:bookmarkEnd w:id="1921"/>
      <w:bookmarkEnd w:id="1922"/>
      <w:bookmarkEnd w:id="1923"/>
      <w:r>
        <w:t> </w:t>
      </w:r>
    </w:p>
    <w:p w14:paraId="38F8E781" w14:textId="77777777" w:rsidR="00B01D46" w:rsidRDefault="0067013E">
      <w:pPr>
        <w:spacing w:after="0" w:line="480" w:lineRule="auto"/>
        <w:ind w:right="65"/>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chapter discussed data analysis and presentation of findings based on themes derived from the study's research objectives and questions. the findings reveal that students have inadequate ILS. The study indicated that ILS has enabled the students to know about proper communication, research, critical thinking, and problem-solving. Students also noted that their knowledge of ILS has enabled them to be independent thinkers, gain information searching skills, and can compare information from different sources and utilize them. </w:t>
      </w:r>
    </w:p>
    <w:p w14:paraId="3FD6082B" w14:textId="77777777" w:rsidR="00B01D46" w:rsidRDefault="0067013E">
      <w:pPr>
        <w:spacing w:before="120" w:after="0" w:line="480" w:lineRule="auto"/>
        <w:ind w:right="65"/>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It was also found that the ILS curriculum in place is inadequate in assisting to impart ILS to undergraduate medical students. The results also show that there is adequate utilization of ICT technologies in imparting ILS and that the ILS policy is adequate, though an improvement is needed in areas of truncation, internet, and mail listings. The respondents noted that the schools/faculties should avail more computers, robust internet, connectivity stable power supply, among other factors. The findings revealed that learning ILS is a challenge due to scheduling of ILS training, a large number of students per session, lack of smartphones, a limited number of skilled trainers to teach and train students during orientation, and inadequate time allocated to the program. The finding was interpreted and discussed in chapter six (6) based on the research questions of the study.  </w:t>
      </w:r>
    </w:p>
    <w:p w14:paraId="11043E54" w14:textId="77777777" w:rsidR="00B01D46" w:rsidRDefault="00B01D46">
      <w:pPr>
        <w:spacing w:before="120" w:after="0" w:line="480" w:lineRule="auto"/>
        <w:ind w:right="65"/>
        <w:jc w:val="both"/>
        <w:rPr>
          <w:rFonts w:ascii="Times New Roman" w:eastAsia="Times New Roman" w:hAnsi="Times New Roman" w:cs="Times New Roman"/>
          <w:color w:val="0E101A"/>
          <w:sz w:val="24"/>
          <w:szCs w:val="24"/>
        </w:rPr>
      </w:pPr>
    </w:p>
    <w:p w14:paraId="6AD7D4C9" w14:textId="77777777" w:rsidR="00B01D46" w:rsidRDefault="0067013E">
      <w:pPr>
        <w:spacing w:after="200" w:line="276" w:lineRule="auto"/>
        <w:ind w:right="65"/>
        <w:rPr>
          <w:rFonts w:ascii="Times New Roman" w:eastAsia="Times New Roman" w:hAnsi="Times New Roman" w:cs="Times New Roman"/>
          <w:b/>
          <w:sz w:val="24"/>
          <w:szCs w:val="24"/>
        </w:rPr>
      </w:pPr>
      <w:bookmarkStart w:id="1924" w:name="_Toc165369321"/>
      <w:bookmarkStart w:id="1925" w:name="_Toc165363513"/>
      <w:bookmarkStart w:id="1926" w:name="_Toc164664100"/>
      <w:bookmarkStart w:id="1927" w:name="_Toc165365287"/>
      <w:r>
        <w:rPr>
          <w:rFonts w:ascii="Times New Roman" w:eastAsia="Times New Roman" w:hAnsi="Times New Roman" w:cs="Times New Roman"/>
          <w:b/>
          <w:sz w:val="24"/>
          <w:szCs w:val="24"/>
        </w:rPr>
        <w:br w:type="page"/>
      </w:r>
    </w:p>
    <w:p w14:paraId="750B0CAA" w14:textId="77777777" w:rsidR="00B01D46" w:rsidRDefault="0067013E">
      <w:pPr>
        <w:pStyle w:val="Heading1"/>
      </w:pPr>
      <w:bookmarkStart w:id="1928" w:name="_Toc184272969"/>
      <w:bookmarkStart w:id="1929" w:name="_Toc165975886"/>
      <w:bookmarkStart w:id="1930" w:name="_Toc165973165"/>
      <w:r>
        <w:lastRenderedPageBreak/>
        <w:t>CHAPTER SIX</w:t>
      </w:r>
      <w:bookmarkEnd w:id="1924"/>
      <w:bookmarkEnd w:id="1925"/>
      <w:bookmarkEnd w:id="1926"/>
      <w:bookmarkEnd w:id="1927"/>
      <w:bookmarkEnd w:id="1928"/>
      <w:bookmarkEnd w:id="1929"/>
      <w:bookmarkEnd w:id="1930"/>
    </w:p>
    <w:p w14:paraId="43F1DA75" w14:textId="77777777" w:rsidR="00B01D46" w:rsidRDefault="0067013E">
      <w:pPr>
        <w:pStyle w:val="Heading1"/>
      </w:pPr>
      <w:bookmarkStart w:id="1931" w:name="_Toc184272970"/>
      <w:bookmarkStart w:id="1932" w:name="_Toc165975887"/>
      <w:bookmarkStart w:id="1933" w:name="_Toc165363514"/>
      <w:bookmarkStart w:id="1934" w:name="_Toc165369322"/>
      <w:bookmarkStart w:id="1935" w:name="_Toc165973166"/>
      <w:bookmarkStart w:id="1936" w:name="_Toc165365288"/>
      <w:bookmarkStart w:id="1937" w:name="_Toc164664101"/>
      <w:r>
        <w:t>INTERPRETATION AND DISCUSSION OF FINDINGS</w:t>
      </w:r>
      <w:bookmarkEnd w:id="1931"/>
      <w:bookmarkEnd w:id="1932"/>
      <w:bookmarkEnd w:id="1933"/>
      <w:bookmarkEnd w:id="1934"/>
      <w:bookmarkEnd w:id="1935"/>
      <w:bookmarkEnd w:id="1936"/>
      <w:bookmarkEnd w:id="1937"/>
    </w:p>
    <w:p w14:paraId="3056885B" w14:textId="77777777" w:rsidR="00B01D46" w:rsidRDefault="0067013E">
      <w:pPr>
        <w:pStyle w:val="Heading2"/>
      </w:pPr>
      <w:bookmarkStart w:id="1938" w:name="_Toc184272971"/>
      <w:bookmarkStart w:id="1939" w:name="_Toc165975888"/>
      <w:bookmarkStart w:id="1940" w:name="_Toc165369323"/>
      <w:bookmarkStart w:id="1941" w:name="_Toc165363515"/>
      <w:bookmarkStart w:id="1942" w:name="_Toc164664102"/>
      <w:bookmarkStart w:id="1943" w:name="_Toc165973167"/>
      <w:bookmarkStart w:id="1944" w:name="_Toc165365289"/>
      <w:r>
        <w:t>6.1 Introduction</w:t>
      </w:r>
      <w:bookmarkEnd w:id="1938"/>
      <w:bookmarkEnd w:id="1939"/>
      <w:bookmarkEnd w:id="1940"/>
      <w:bookmarkEnd w:id="1941"/>
      <w:bookmarkEnd w:id="1942"/>
      <w:bookmarkEnd w:id="1943"/>
      <w:bookmarkEnd w:id="1944"/>
      <w:r>
        <w:t xml:space="preserve"> </w:t>
      </w:r>
    </w:p>
    <w:p w14:paraId="02B9DA56"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According to Hess (2017), the interpretation and discussion chapter in a research study is intended at explaining the meaning of the results of the study and the key findings, the importance of the findings, and how the findings relate to those of similar studies. The interpretation and discussion of findings is an integral component of any study because it explains the significance of results concerning the research objectives and questions of a study.  Manion (2019) states that a discussion section in a research study encompasses bringing together and clarifying the meaning of findings gathered by the data collection instruments. The study sought to assess the information literacy skills of undergraduate medical students in the selected public universities in Kenya,</w:t>
      </w:r>
      <w:r>
        <w:rPr>
          <w:rFonts w:ascii="Times New Roman" w:eastAsia="Calibri" w:hAnsi="Times New Roman" w:cs="Times New Roman"/>
          <w:bCs/>
          <w:sz w:val="24"/>
          <w:szCs w:val="24"/>
        </w:rPr>
        <w:t xml:space="preserve"> with a view, to propose a framework to enhance the delivery of information literacy skills</w:t>
      </w:r>
      <w:r>
        <w:rPr>
          <w:rFonts w:ascii="Times New Roman" w:eastAsia="Calibri" w:hAnsi="Times New Roman" w:cs="Times New Roman"/>
          <w:sz w:val="24"/>
          <w:szCs w:val="24"/>
        </w:rPr>
        <w:t xml:space="preserve">. </w:t>
      </w:r>
    </w:p>
    <w:p w14:paraId="2EF9CF76"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respondents comprised 255 medical undergraduate students, 2 university librarians, 2 heads of medical librarians, 6 HODs, and 62 lecturers from the two selected public universities (Moi and UON). This study was primarily underpinned by the Sauce Model (Bond, 2011) and the Six Frames of Information Literacy Education Model (Bruce, Edwards &amp; Lupton,</w:t>
      </w:r>
      <w:r>
        <w:rPr>
          <w:rFonts w:ascii="Times New Roman" w:eastAsia="Times New Roman" w:hAnsi="Times New Roman" w:cs="Times New Roman"/>
          <w:sz w:val="24"/>
          <w:szCs w:val="24"/>
        </w:rPr>
        <w:t xml:space="preserve"> </w:t>
      </w:r>
      <w:r>
        <w:rPr>
          <w:rFonts w:ascii="Times New Roman" w:eastAsia="Calibri" w:hAnsi="Times New Roman" w:cs="Times New Roman"/>
          <w:sz w:val="24"/>
          <w:szCs w:val="24"/>
        </w:rPr>
        <w:t>2015). Moreover, the study adopted a pragmatic paradigm that permits researchers the freedom of applying available strategies and methods to solve a problem at hand. As such the researcher utilized mixed methods to collect quantitative data from undergraduate medical students and lecturers through questionnaires and likewise qualitative data from university librarians, heads of departments, and heads of medical librarians through interviews.</w:t>
      </w:r>
    </w:p>
    <w:p w14:paraId="4098C0E1" w14:textId="77777777" w:rsidR="00B01D46" w:rsidRDefault="0067013E">
      <w:pPr>
        <w:pStyle w:val="Heading2"/>
        <w:ind w:left="450" w:hanging="450"/>
      </w:pPr>
      <w:bookmarkStart w:id="1945" w:name="_Toc165975889"/>
      <w:bookmarkStart w:id="1946" w:name="_Toc165365290"/>
      <w:bookmarkStart w:id="1947" w:name="_Toc164664103"/>
      <w:bookmarkStart w:id="1948" w:name="_Toc184272972"/>
      <w:bookmarkStart w:id="1949" w:name="_Toc165369324"/>
      <w:bookmarkStart w:id="1950" w:name="_Toc165363516"/>
      <w:bookmarkStart w:id="1951" w:name="_Toc165973168"/>
      <w:r>
        <w:lastRenderedPageBreak/>
        <w:t>6.2 Status of Information Literacy Skills among Medical Undergraduate Students</w:t>
      </w:r>
      <w:bookmarkEnd w:id="1945"/>
      <w:bookmarkEnd w:id="1946"/>
      <w:bookmarkEnd w:id="1947"/>
      <w:bookmarkEnd w:id="1948"/>
      <w:bookmarkEnd w:id="1949"/>
      <w:bookmarkEnd w:id="1950"/>
      <w:bookmarkEnd w:id="1951"/>
    </w:p>
    <w:p w14:paraId="3F2C4E81"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Information literacy skills empower students to recognize when information is needed and have the ability to locate, evaluate, organize, create, use, and communicate effectively the needed information (Rasaki, 2008; Marriott et al 2012; Lwehabura, 2018a; ACRL, 2004). Further, Kingori (2014) agrees that Information literacy skills enable university students to cope with the data smog and information explosion that is being experienced in the information era. In this respect, there is a need to develop competent information literacy skills among medical undergraduate students to empower them with the critical skills which will help them to become independent lifelong learners. The discussion on these ILS skills is provided in sections 6.2.1 - 6.2.7 correspondingly.</w:t>
      </w:r>
    </w:p>
    <w:p w14:paraId="21CC91BE" w14:textId="77777777" w:rsidR="00B01D46" w:rsidRDefault="0067013E">
      <w:pPr>
        <w:pStyle w:val="Heading3"/>
        <w:ind w:right="65"/>
        <w:rPr>
          <w:szCs w:val="24"/>
        </w:rPr>
      </w:pPr>
      <w:bookmarkStart w:id="1952" w:name="_Toc165975890"/>
      <w:bookmarkStart w:id="1953" w:name="_Toc165369325"/>
      <w:bookmarkStart w:id="1954" w:name="_Toc164664104"/>
      <w:bookmarkStart w:id="1955" w:name="_Toc165365291"/>
      <w:bookmarkStart w:id="1956" w:name="_Toc165973169"/>
      <w:bookmarkStart w:id="1957" w:name="_Toc165363517"/>
      <w:bookmarkStart w:id="1958" w:name="_Toc184272973"/>
      <w:r>
        <w:rPr>
          <w:szCs w:val="24"/>
        </w:rPr>
        <w:t xml:space="preserve">6.2.1 </w:t>
      </w:r>
      <w:bookmarkStart w:id="1959" w:name="_Hlk158379186"/>
      <w:r>
        <w:rPr>
          <w:szCs w:val="24"/>
        </w:rPr>
        <w:t>Information Skills Levels</w:t>
      </w:r>
      <w:bookmarkEnd w:id="1952"/>
      <w:bookmarkEnd w:id="1953"/>
      <w:bookmarkEnd w:id="1954"/>
      <w:bookmarkEnd w:id="1955"/>
      <w:bookmarkEnd w:id="1956"/>
      <w:bookmarkEnd w:id="1957"/>
      <w:bookmarkEnd w:id="1958"/>
      <w:r>
        <w:rPr>
          <w:szCs w:val="24"/>
        </w:rPr>
        <w:t xml:space="preserve"> </w:t>
      </w:r>
      <w:bookmarkEnd w:id="1959"/>
    </w:p>
    <w:p w14:paraId="3FFFE88F" w14:textId="77777777" w:rsidR="00B01D46" w:rsidRDefault="0067013E">
      <w:pPr>
        <w:spacing w:after="0" w:line="480" w:lineRule="auto"/>
        <w:ind w:right="65"/>
        <w:jc w:val="both"/>
        <w:rPr>
          <w:rFonts w:ascii="Times New Roman" w:eastAsia="Times New Roman" w:hAnsi="Times New Roman" w:cs="Times New Roman"/>
          <w:sz w:val="24"/>
          <w:szCs w:val="24"/>
        </w:rPr>
      </w:pPr>
      <w:r>
        <w:rPr>
          <w:rFonts w:ascii="Times New Roman" w:eastAsia="Calibri" w:hAnsi="Times New Roman" w:cs="Times New Roman"/>
          <w:sz w:val="24"/>
          <w:szCs w:val="24"/>
        </w:rPr>
        <w:t>The findings of the study revealed that undergraduate medical students can define their exact information requirements, recognize accurate and complete information with a mean of 3.7. This was supported by the majority of students 232(90.9%), 228(89.4%), 171</w:t>
      </w:r>
      <w:r>
        <w:rPr>
          <w:rFonts w:ascii="Times New Roman" w:eastAsia="Times New Roman" w:hAnsi="Times New Roman" w:cs="Times New Roman"/>
          <w:sz w:val="24"/>
          <w:szCs w:val="24"/>
        </w:rPr>
        <w:t xml:space="preserve">(67.1%), </w:t>
      </w:r>
      <w:r>
        <w:rPr>
          <w:rFonts w:ascii="Times New Roman" w:eastAsia="Calibri" w:hAnsi="Times New Roman" w:cs="Times New Roman"/>
          <w:sz w:val="24"/>
          <w:szCs w:val="24"/>
        </w:rPr>
        <w:t>and 156(61.18%) agreed that students</w:t>
      </w:r>
      <w:r>
        <w:rPr>
          <w:rFonts w:ascii="Times New Roman" w:eastAsia="Times New Roman" w:hAnsi="Times New Roman" w:cs="Times New Roman"/>
          <w:sz w:val="24"/>
          <w:szCs w:val="24"/>
        </w:rPr>
        <w:t xml:space="preserve"> can define their specific information needs, they </w:t>
      </w:r>
      <w:r>
        <w:rPr>
          <w:rFonts w:ascii="Times New Roman" w:eastAsia="Calibri" w:hAnsi="Times New Roman" w:cs="Times New Roman"/>
          <w:sz w:val="24"/>
          <w:szCs w:val="24"/>
        </w:rPr>
        <w:t>understood the need to use the information to carry out their day-to-day tasks</w:t>
      </w:r>
      <w:r>
        <w:rPr>
          <w:rFonts w:ascii="Times New Roman" w:eastAsia="Times New Roman" w:hAnsi="Times New Roman" w:cs="Times New Roman"/>
          <w:sz w:val="24"/>
          <w:szCs w:val="24"/>
        </w:rPr>
        <w:t xml:space="preserve">, they recognize accurate and complete information </w:t>
      </w:r>
      <w:r>
        <w:rPr>
          <w:rFonts w:ascii="Times New Roman" w:eastAsia="Calibri" w:hAnsi="Times New Roman" w:cs="Times New Roman"/>
          <w:sz w:val="24"/>
          <w:szCs w:val="24"/>
        </w:rPr>
        <w:t xml:space="preserve">respectively as shown in table 5.7. </w:t>
      </w:r>
    </w:p>
    <w:p w14:paraId="57899B2D" w14:textId="77777777" w:rsidR="00B01D46" w:rsidRDefault="0067013E">
      <w:pPr>
        <w:spacing w:before="120" w:after="0" w:line="480" w:lineRule="auto"/>
        <w:ind w:right="65"/>
        <w:jc w:val="both"/>
        <w:rPr>
          <w:rFonts w:ascii="Times New Roman" w:eastAsia="Calibri" w:hAnsi="Times New Roman" w:cs="Times New Roman"/>
          <w:sz w:val="24"/>
          <w:szCs w:val="24"/>
        </w:rPr>
      </w:pPr>
      <w:bookmarkStart w:id="1960" w:name="_Hlk158379211"/>
      <w:r>
        <w:rPr>
          <w:rFonts w:ascii="Times New Roman" w:eastAsia="Times New Roman" w:hAnsi="Times New Roman" w:cs="Times New Roman"/>
          <w:color w:val="000000"/>
          <w:sz w:val="24"/>
          <w:szCs w:val="24"/>
        </w:rPr>
        <w:t xml:space="preserve">Majority </w:t>
      </w:r>
      <w:r>
        <w:rPr>
          <w:rFonts w:ascii="Times New Roman" w:hAnsi="Times New Roman" w:cs="Times New Roman"/>
          <w:sz w:val="24"/>
          <w:szCs w:val="24"/>
        </w:rPr>
        <w:t>53 (85.48%), and 52 (82.82%)</w:t>
      </w:r>
      <w:r>
        <w:rPr>
          <w:rFonts w:ascii="Times New Roman" w:eastAsia="Times New Roman" w:hAnsi="Times New Roman" w:cs="Times New Roman"/>
          <w:color w:val="000000"/>
          <w:sz w:val="24"/>
          <w:szCs w:val="24"/>
        </w:rPr>
        <w:t xml:space="preserve"> of the lecturers agreed that undergraduate medical students were able to define their exact information requirements and can use information to undertake their everyday tasks in that order. </w:t>
      </w:r>
      <w:r>
        <w:rPr>
          <w:rFonts w:ascii="Times New Roman" w:eastAsia="Times New Roman" w:hAnsi="Times New Roman" w:cs="Times New Roman"/>
          <w:sz w:val="24"/>
          <w:szCs w:val="24"/>
        </w:rPr>
        <w:t xml:space="preserve">Correspondingly, the university librarians, heads of medical librarians, and heads of departments interviewed agreed that students can refine their information needs and they are able </w:t>
      </w:r>
      <w:r>
        <w:rPr>
          <w:rFonts w:ascii="Times New Roman" w:eastAsia="Times New Roman" w:hAnsi="Times New Roman" w:cs="Times New Roman"/>
          <w:sz w:val="24"/>
          <w:szCs w:val="24"/>
        </w:rPr>
        <w:lastRenderedPageBreak/>
        <w:t>to</w:t>
      </w:r>
      <w:r>
        <w:rPr>
          <w:rFonts w:ascii="Times New Roman" w:eastAsia="Calibri" w:hAnsi="Times New Roman" w:cs="Times New Roman"/>
          <w:sz w:val="24"/>
          <w:szCs w:val="24"/>
        </w:rPr>
        <w:t xml:space="preserve"> recognize accurate and complete information</w:t>
      </w:r>
      <w:r>
        <w:rPr>
          <w:rFonts w:ascii="Times New Roman" w:eastAsia="Times New Roman" w:hAnsi="Times New Roman" w:cs="Times New Roman"/>
          <w:sz w:val="24"/>
          <w:szCs w:val="24"/>
        </w:rPr>
        <w:t xml:space="preserve">. </w:t>
      </w:r>
      <w:r>
        <w:rPr>
          <w:rFonts w:ascii="Times New Roman" w:eastAsia="Calibri" w:hAnsi="Times New Roman" w:cs="Times New Roman"/>
          <w:sz w:val="24"/>
          <w:szCs w:val="24"/>
        </w:rPr>
        <w:t>However, 156(61.18%) of the students and 54(87.09%) of the lecturers stated that students were unable to practically apply retrieved information to carry their medical assignments as shown in tables 5.7 and 5.8 respectively.</w:t>
      </w:r>
    </w:p>
    <w:p w14:paraId="5512F665"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seem to suggest that although students have gained some ILS in relation to information skills for example being able to refine their information needs, recognize accurate and complete information; they still have challenges in practically using retrieved information to undertake their medical assignments. This is an indication that students have limited ILS hence they are unable to utilize retrieved information to conduct their day-to-day learning activities. </w:t>
      </w:r>
    </w:p>
    <w:bookmarkEnd w:id="1960"/>
    <w:p w14:paraId="538373DB" w14:textId="317B546A"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 xml:space="preserve">These study findings  concur with Thirion </w:t>
      </w:r>
      <w:r w:rsidR="0074200B">
        <w:rPr>
          <w:rFonts w:ascii="Times New Roman" w:eastAsia="Calibri" w:hAnsi="Times New Roman" w:cs="Times New Roman"/>
          <w:sz w:val="24"/>
          <w:szCs w:val="24"/>
        </w:rPr>
        <w:t>&amp;</w:t>
      </w:r>
      <w:r>
        <w:rPr>
          <w:rFonts w:ascii="Times New Roman" w:eastAsia="Calibri" w:hAnsi="Times New Roman" w:cs="Times New Roman"/>
          <w:sz w:val="24"/>
          <w:szCs w:val="24"/>
        </w:rPr>
        <w:t xml:space="preserve">Pochet's (2009) study on the role of university libraries in education and training of information literacy skills which found out that, the advent of the information age and its rapid growth, has brought an enormous increase in the quantity of information available to learners and multiplied the media of knowledge transfer such as internet, CDs and electronic databases, exposing students to a vast amount of information that students find difficult to comprehend, apply, and ascertain in terms of authenticity and reliability. Furthermore, Thirion </w:t>
      </w:r>
      <w:r w:rsidR="0074200B">
        <w:rPr>
          <w:rFonts w:ascii="Times New Roman" w:eastAsia="Calibri" w:hAnsi="Times New Roman" w:cs="Times New Roman"/>
          <w:sz w:val="24"/>
          <w:szCs w:val="24"/>
        </w:rPr>
        <w:t>&amp;</w:t>
      </w:r>
      <w:r>
        <w:rPr>
          <w:rFonts w:ascii="Times New Roman" w:eastAsia="Calibri" w:hAnsi="Times New Roman" w:cs="Times New Roman"/>
          <w:sz w:val="24"/>
          <w:szCs w:val="24"/>
        </w:rPr>
        <w:t xml:space="preserve"> Pochet (2009) contend that this poses special challenges for students in evaluating, understanding, and using the information ethically and legally. Thirion </w:t>
      </w:r>
      <w:r w:rsidR="0074200B">
        <w:rPr>
          <w:rFonts w:ascii="Times New Roman" w:eastAsia="Calibri" w:hAnsi="Times New Roman" w:cs="Times New Roman"/>
          <w:sz w:val="24"/>
          <w:szCs w:val="24"/>
        </w:rPr>
        <w:t>&amp;</w:t>
      </w:r>
      <w:r>
        <w:rPr>
          <w:rFonts w:ascii="Times New Roman" w:eastAsia="Calibri" w:hAnsi="Times New Roman" w:cs="Times New Roman"/>
          <w:sz w:val="24"/>
          <w:szCs w:val="24"/>
        </w:rPr>
        <w:t xml:space="preserve"> Pochet (2009) conclude by noting that Information literacy skills are a core skill that will guide students to locate the needed information and evaluate it critically to face the new challenges of the information age. </w:t>
      </w:r>
    </w:p>
    <w:p w14:paraId="7500795D"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Additionally, these findings corroborate with </w:t>
      </w:r>
      <w:r>
        <w:rPr>
          <w:rFonts w:ascii="Times New Roman" w:eastAsia="Calibri" w:hAnsi="Times New Roman" w:cs="Times New Roman"/>
          <w:sz w:val="24"/>
          <w:szCs w:val="24"/>
        </w:rPr>
        <w:t xml:space="preserve">Sauce Model (Bond, 2011) assertion that an information-literate individual is a person who can recognize when </w:t>
      </w:r>
      <w:r>
        <w:rPr>
          <w:rFonts w:ascii="Times New Roman" w:eastAsia="Calibri" w:hAnsi="Times New Roman" w:cs="Times New Roman"/>
          <w:sz w:val="24"/>
          <w:szCs w:val="24"/>
        </w:rPr>
        <w:lastRenderedPageBreak/>
        <w:t xml:space="preserve">information is needed and can access, evaluate and use effectively the needed information. </w:t>
      </w:r>
    </w:p>
    <w:p w14:paraId="2E3CD8B3" w14:textId="77777777" w:rsidR="00B01D46" w:rsidRDefault="0067013E">
      <w:pPr>
        <w:pStyle w:val="Heading3"/>
        <w:ind w:right="65"/>
        <w:rPr>
          <w:rStyle w:val="Heading3Char"/>
          <w:b/>
          <w:bCs/>
          <w:szCs w:val="24"/>
        </w:rPr>
      </w:pPr>
      <w:bookmarkStart w:id="1961" w:name="_Toc164664105"/>
      <w:bookmarkStart w:id="1962" w:name="_Toc165363518"/>
      <w:bookmarkStart w:id="1963" w:name="_Toc165973170"/>
      <w:bookmarkStart w:id="1964" w:name="_Toc165369326"/>
      <w:bookmarkStart w:id="1965" w:name="_Toc165365292"/>
      <w:bookmarkStart w:id="1966" w:name="_Toc165975891"/>
      <w:bookmarkStart w:id="1967" w:name="_Toc184272974"/>
      <w:r>
        <w:rPr>
          <w:szCs w:val="24"/>
        </w:rPr>
        <w:t>6</w:t>
      </w:r>
      <w:r>
        <w:rPr>
          <w:rStyle w:val="Heading3Char"/>
          <w:b/>
          <w:bCs/>
          <w:szCs w:val="24"/>
        </w:rPr>
        <w:t xml:space="preserve">.2.2 </w:t>
      </w:r>
      <w:bookmarkStart w:id="1968" w:name="_Hlk158379235"/>
      <w:bookmarkStart w:id="1969" w:name="_Hlk158379246"/>
      <w:r>
        <w:rPr>
          <w:rStyle w:val="Heading3Char"/>
          <w:b/>
          <w:bCs/>
          <w:szCs w:val="24"/>
        </w:rPr>
        <w:t>Numeracy Skills</w:t>
      </w:r>
      <w:bookmarkEnd w:id="1961"/>
      <w:bookmarkEnd w:id="1962"/>
      <w:bookmarkEnd w:id="1963"/>
      <w:bookmarkEnd w:id="1964"/>
      <w:bookmarkEnd w:id="1965"/>
      <w:bookmarkEnd w:id="1966"/>
      <w:bookmarkEnd w:id="1967"/>
    </w:p>
    <w:p w14:paraId="6F5224DD" w14:textId="77777777" w:rsidR="00B01D46" w:rsidRDefault="0067013E">
      <w:pPr>
        <w:spacing w:line="480" w:lineRule="auto"/>
        <w:ind w:right="65"/>
        <w:jc w:val="both"/>
        <w:rPr>
          <w:rFonts w:ascii="Times New Roman" w:hAnsi="Times New Roman" w:cs="Times New Roman"/>
          <w:b/>
          <w:sz w:val="24"/>
          <w:szCs w:val="24"/>
        </w:rPr>
      </w:pPr>
      <w:bookmarkStart w:id="1970" w:name="_Toc165975892"/>
      <w:bookmarkStart w:id="1971" w:name="_Toc165972652"/>
      <w:bookmarkStart w:id="1972" w:name="_Toc165973171"/>
      <w:bookmarkEnd w:id="1968"/>
      <w:r>
        <w:rPr>
          <w:rFonts w:ascii="Times New Roman" w:hAnsi="Times New Roman" w:cs="Times New Roman"/>
          <w:sz w:val="24"/>
          <w:szCs w:val="24"/>
        </w:rPr>
        <w:t xml:space="preserve">Numeracy is one of the stages/processes of the Sauce model. The steps of this process are 1. Define keywords and phrases 2. Write the search questions 3. Choose an appropriate source 4. Select relevant information 5. Validate information 6. Assess and review progress (Arora, 2024).  The six steps are realized through the understanding of the techniques or strategies of information searching, that help learners access several information sources.  </w:t>
      </w:r>
      <w:bookmarkEnd w:id="1969"/>
      <w:r>
        <w:rPr>
          <w:rFonts w:ascii="Times New Roman" w:hAnsi="Times New Roman" w:cs="Times New Roman"/>
          <w:sz w:val="24"/>
          <w:szCs w:val="24"/>
        </w:rPr>
        <w:t>According to Arora, (2024) the techniques of information searching are truncation and utilization of the Boolean logic. The respondents were asked whether they are able to search for information using truncation and Boolean logic techniques</w:t>
      </w:r>
      <w:bookmarkStart w:id="1973" w:name="_Hlk158379278"/>
      <w:r>
        <w:rPr>
          <w:rFonts w:ascii="Times New Roman" w:hAnsi="Times New Roman" w:cs="Times New Roman"/>
          <w:sz w:val="24"/>
          <w:szCs w:val="24"/>
        </w:rPr>
        <w:t>. The findings, as shown in table 5.7 revealed that the majority 219 (85.88%), 180 (70.59%) and 123 (48.24%) of the students disagreed that they use several reference sources to increase familiarity with a topic, that they use truncation techniques and Boolean logic to search for information respectively. Additionally, 52 (83.37%), 40 (65.63%), and 42 (67.97%) of lecturers gainsaid that student can use a variety of reference materials to become more familiar with a subject, can use truncation techniques to search for information, and can use Boolean logic to search for information in that order as illustrated in table 5.8.  Correspondingly, 50 (80.65%) of the lecturers stated that students were incapable of arranging information retrieved for practical use. Correspondingly, this finding agrees with the interview results of the study conducted on university librarians, heads of medical librarians, and heads of departments which show that students are unable to abridge information from multiple reference materials, use Boolean logic and truncation techniques to search for information.</w:t>
      </w:r>
      <w:bookmarkEnd w:id="1970"/>
      <w:bookmarkEnd w:id="1971"/>
      <w:bookmarkEnd w:id="1972"/>
    </w:p>
    <w:p w14:paraId="3D5D2A52"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The findings above reveal that students have not learned sufficient ILS especially on how to use multiple sources of information to address a specific or multifaceted area/s of concern and application of competent information search techniques. Therefore, the findings seem to suggest that majority of the students have not gained sufficient information-searching skills and therefore, they are not able to apply proper search strategies to find the most relevant information and save information search time. </w:t>
      </w:r>
      <w:bookmarkEnd w:id="1973"/>
      <w:r>
        <w:rPr>
          <w:rFonts w:ascii="Times New Roman" w:eastAsia="Calibri" w:hAnsi="Times New Roman" w:cs="Times New Roman"/>
          <w:sz w:val="24"/>
          <w:szCs w:val="24"/>
        </w:rPr>
        <w:t>This is a drawback on the part of the students because in the age of information overload and technology advancements, learning how to effectively search for information and knowing what to do with the information are crucial skills to acquire (</w:t>
      </w:r>
      <w:r>
        <w:rPr>
          <w:rFonts w:ascii="Times New Roman" w:hAnsi="Times New Roman" w:cs="Times New Roman"/>
          <w:color w:val="222222"/>
          <w:sz w:val="24"/>
          <w:szCs w:val="24"/>
          <w:shd w:val="clear" w:color="auto" w:fill="FFFFFF"/>
        </w:rPr>
        <w:t>Dlamini, Block &amp; Rampedi</w:t>
      </w:r>
      <w:r>
        <w:rPr>
          <w:rFonts w:ascii="Times New Roman" w:eastAsia="Calibri" w:hAnsi="Times New Roman" w:cs="Times New Roman"/>
          <w:sz w:val="24"/>
          <w:szCs w:val="24"/>
        </w:rPr>
        <w:t>, 2022)</w:t>
      </w:r>
    </w:p>
    <w:p w14:paraId="3A2D6554"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These findings are in tandem with Oluwaseye et al. (2017) study on the assessment of information needs of medical students in Nigeria, which revealed that students have not acquired the required information search skills to adequately retrieve the precise required medical information. Similarly, these findings are in agreement with the March et al. (2020) study that assessed the information needs and seeking behavior of nurses at Rivers State University Teaching Hospital (RSUTH) which found that nurses were unable to retrieve relevant information because they lacked information search skills such as application of Boolean logics and truncation. Another related research carried out by Dorvlo and Dadzie (2015) on the IL level among students of Ghana University, noted that students did not have adequate information evaluation skills, they were unskillful in information search strategies and search tools. </w:t>
      </w:r>
    </w:p>
    <w:p w14:paraId="7A9523AD"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Equally, these findings validate </w:t>
      </w:r>
      <w:r>
        <w:rPr>
          <w:rFonts w:ascii="Times New Roman" w:hAnsi="Times New Roman" w:cs="Times New Roman"/>
          <w:color w:val="222222"/>
          <w:sz w:val="24"/>
          <w:szCs w:val="24"/>
          <w:shd w:val="clear" w:color="auto" w:fill="FFFFFF"/>
        </w:rPr>
        <w:t>Dubicki</w:t>
      </w:r>
      <w:r>
        <w:rPr>
          <w:rFonts w:ascii="Times New Roman" w:eastAsia="Calibri" w:hAnsi="Times New Roman" w:cs="Times New Roman"/>
          <w:sz w:val="24"/>
          <w:szCs w:val="24"/>
        </w:rPr>
        <w:t xml:space="preserve"> (2013) study on the IL level of Nursing students in Nigeria which found that the majority of the students were not aware of </w:t>
      </w:r>
      <w:r>
        <w:rPr>
          <w:rFonts w:ascii="Times New Roman" w:eastAsia="Calibri" w:hAnsi="Times New Roman" w:cs="Times New Roman"/>
          <w:sz w:val="24"/>
          <w:szCs w:val="24"/>
        </w:rPr>
        <w:lastRenderedPageBreak/>
        <w:t>Boolean logic, field, truncation, and phrase searches hence they had difficulty in locating the desired information materials.</w:t>
      </w:r>
    </w:p>
    <w:p w14:paraId="46868DB9" w14:textId="77777777" w:rsidR="00B01D46" w:rsidRDefault="0067013E">
      <w:pPr>
        <w:pStyle w:val="Heading3"/>
      </w:pPr>
      <w:bookmarkStart w:id="1974" w:name="_Toc165369327"/>
      <w:bookmarkStart w:id="1975" w:name="_Toc164664106"/>
      <w:bookmarkStart w:id="1976" w:name="_Toc165365293"/>
      <w:bookmarkStart w:id="1977" w:name="_Toc184272975"/>
      <w:bookmarkStart w:id="1978" w:name="_Toc165973172"/>
      <w:bookmarkStart w:id="1979" w:name="_Toc165363519"/>
      <w:bookmarkStart w:id="1980" w:name="_Toc165975893"/>
      <w:r>
        <w:t xml:space="preserve">6.2.3 </w:t>
      </w:r>
      <w:bookmarkStart w:id="1981" w:name="_Hlk158379340"/>
      <w:r>
        <w:t>Problem-</w:t>
      </w:r>
      <w:r>
        <w:rPr>
          <w:rStyle w:val="Heading2Char"/>
          <w:rFonts w:cs="Times New Roman"/>
          <w:b/>
          <w:szCs w:val="27"/>
        </w:rPr>
        <w:t>Solving</w:t>
      </w:r>
      <w:bookmarkEnd w:id="1981"/>
      <w:r>
        <w:rPr>
          <w:rStyle w:val="Heading2Char"/>
          <w:rFonts w:cs="Times New Roman"/>
          <w:b/>
          <w:szCs w:val="27"/>
        </w:rPr>
        <w:t xml:space="preserve"> Skills</w:t>
      </w:r>
      <w:bookmarkEnd w:id="1974"/>
      <w:bookmarkEnd w:id="1975"/>
      <w:bookmarkEnd w:id="1976"/>
      <w:bookmarkEnd w:id="1977"/>
      <w:bookmarkEnd w:id="1978"/>
      <w:bookmarkEnd w:id="1979"/>
      <w:bookmarkEnd w:id="1980"/>
    </w:p>
    <w:p w14:paraId="32F7BF02"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According to the Sauce model (Bond, 2011) to be information literate is to be able to locate, access, acquire, comprehend, analyze and critique relevant information, then utilize it to make valid, informed decisions and also communicate those decisions appropriately with validation where necessary. Therefore, the problem-solving facet of the Sauce model stresses the use of information to provide solutions to identified problems. </w:t>
      </w:r>
    </w:p>
    <w:p w14:paraId="65679088" w14:textId="77777777" w:rsidR="00B01D46" w:rsidRDefault="0067013E">
      <w:pPr>
        <w:shd w:val="clear" w:color="auto" w:fill="FFFFFF"/>
        <w:tabs>
          <w:tab w:val="left" w:pos="360"/>
        </w:tabs>
        <w:autoSpaceDE w:val="0"/>
        <w:autoSpaceDN w:val="0"/>
        <w:adjustRightInd w:val="0"/>
        <w:spacing w:before="120" w:after="0" w:line="480" w:lineRule="auto"/>
        <w:ind w:right="65"/>
        <w:jc w:val="both"/>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However, according to the </w:t>
      </w:r>
      <w:bookmarkStart w:id="1982" w:name="_Hlk158379420"/>
      <w:r>
        <w:rPr>
          <w:rFonts w:ascii="Times New Roman" w:eastAsia="Calibri" w:hAnsi="Times New Roman" w:cs="Times New Roman"/>
          <w:sz w:val="24"/>
          <w:szCs w:val="24"/>
        </w:rPr>
        <w:t>majority of students 144(56.47%), 202(79.22%) and 131(51.37%) stated that they didn’t know how to limit the search by fields, how to use information to critically think and solve study related problems, and how to use the library catalog to effectively retrieve information materials based on their information need/s respectively, as illustrated in table 5.7. Correspondingly, 52 (82.81%) and 32 (50.75%) of the lecturers disagreed that students utilize the information for problem-solving and critical thinking, and students utilize the catalog to search for specific information in that order as shown in Table 5.8. In addition,</w:t>
      </w:r>
      <w:r>
        <w:rPr>
          <w:rFonts w:ascii="Times New Roman" w:eastAsia="Calibri" w:hAnsi="Times New Roman" w:cs="Times New Roman"/>
          <w:sz w:val="24"/>
          <w:szCs w:val="24"/>
          <w:shd w:val="clear" w:color="auto" w:fill="FFFFFF"/>
        </w:rPr>
        <w:t xml:space="preserve"> interview results showed that </w:t>
      </w:r>
      <w:r>
        <w:rPr>
          <w:rFonts w:ascii="Times New Roman" w:eastAsia="Calibri" w:hAnsi="Times New Roman" w:cs="Times New Roman"/>
          <w:sz w:val="24"/>
          <w:szCs w:val="24"/>
        </w:rPr>
        <w:t xml:space="preserve">students </w:t>
      </w:r>
      <w:r>
        <w:rPr>
          <w:rFonts w:ascii="Times New Roman" w:eastAsia="Calibri" w:hAnsi="Times New Roman" w:cs="Times New Roman"/>
          <w:color w:val="000000"/>
          <w:sz w:val="24"/>
          <w:szCs w:val="24"/>
        </w:rPr>
        <w:t>are incapable of utilizing acquired information to critically think and solve study related problems in their fields of study</w:t>
      </w:r>
      <w:r>
        <w:rPr>
          <w:rFonts w:ascii="Times New Roman" w:eastAsia="Calibri" w:hAnsi="Times New Roman" w:cs="Times New Roman"/>
          <w:sz w:val="24"/>
          <w:szCs w:val="24"/>
        </w:rPr>
        <w:t>.</w:t>
      </w:r>
    </w:p>
    <w:p w14:paraId="5120A552" w14:textId="77777777" w:rsidR="00B01D46" w:rsidRDefault="0067013E">
      <w:pPr>
        <w:spacing w:before="120" w:after="0" w:line="480" w:lineRule="auto"/>
        <w:ind w:right="65"/>
        <w:jc w:val="both"/>
        <w:rPr>
          <w:rFonts w:ascii="Times New Roman" w:eastAsia="Times New Roman" w:hAnsi="Times New Roman" w:cs="Times New Roman"/>
          <w:color w:val="000000"/>
          <w:spacing w:val="15"/>
          <w:sz w:val="24"/>
          <w:szCs w:val="24"/>
        </w:rPr>
      </w:pPr>
      <w:bookmarkStart w:id="1983" w:name="_Hlk158379484"/>
      <w:bookmarkEnd w:id="1982"/>
      <w:r>
        <w:rPr>
          <w:rFonts w:ascii="Times New Roman" w:eastAsia="Calibri" w:hAnsi="Times New Roman" w:cs="Times New Roman"/>
          <w:sz w:val="24"/>
          <w:szCs w:val="24"/>
        </w:rPr>
        <w:t>These findings seem to suggest that students not only don’t have the required information literacy skills for finding and presenting information but also for</w:t>
      </w:r>
      <w:r>
        <w:rPr>
          <w:rFonts w:ascii="Times New Roman" w:eastAsia="Times New Roman" w:hAnsi="Times New Roman" w:cs="Times New Roman"/>
          <w:color w:val="000000"/>
          <w:sz w:val="24"/>
          <w:szCs w:val="24"/>
        </w:rPr>
        <w:t xml:space="preserve"> problem-solving. Furthermore, these findings</w:t>
      </w:r>
      <w:r>
        <w:rPr>
          <w:rFonts w:ascii="Times New Roman" w:eastAsia="Calibri" w:hAnsi="Times New Roman" w:cs="Times New Roman"/>
          <w:sz w:val="24"/>
          <w:szCs w:val="24"/>
        </w:rPr>
        <w:t xml:space="preserve"> reveal that majority of students lack critical information judgment skills. </w:t>
      </w:r>
      <w:r>
        <w:rPr>
          <w:rFonts w:ascii="Times New Roman" w:eastAsia="Times New Roman" w:hAnsi="Times New Roman" w:cs="Times New Roman"/>
          <w:color w:val="000000"/>
          <w:spacing w:val="15"/>
          <w:sz w:val="24"/>
          <w:szCs w:val="24"/>
        </w:rPr>
        <w:t xml:space="preserve"> </w:t>
      </w:r>
    </w:p>
    <w:bookmarkEnd w:id="1983"/>
    <w:p w14:paraId="6C73148D" w14:textId="77777777" w:rsidR="00B01D46" w:rsidRDefault="0067013E">
      <w:pPr>
        <w:shd w:val="clear" w:color="auto" w:fill="FFFFFF"/>
        <w:spacing w:before="120" w:after="0" w:line="480" w:lineRule="auto"/>
        <w:ind w:right="65"/>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rPr>
        <w:lastRenderedPageBreak/>
        <w:t>The results seem to concur with Kavulya's (2003) study on challenges facing information literacy efforts in Kenya, which found out that many students lack information literacy skills to find information to help them problem-</w:t>
      </w:r>
      <w:r>
        <w:rPr>
          <w:rFonts w:ascii="Times New Roman" w:eastAsia="Times New Roman" w:hAnsi="Times New Roman" w:cs="Times New Roman"/>
          <w:color w:val="000000"/>
          <w:spacing w:val="4"/>
          <w:sz w:val="24"/>
          <w:szCs w:val="24"/>
        </w:rPr>
        <w:t>so</w:t>
      </w:r>
      <w:r>
        <w:rPr>
          <w:rFonts w:ascii="Times New Roman" w:eastAsia="Times New Roman" w:hAnsi="Times New Roman" w:cs="Times New Roman"/>
          <w:color w:val="000000"/>
          <w:sz w:val="24"/>
          <w:szCs w:val="24"/>
        </w:rPr>
        <w:t>lve and make decisions – in formal and informal learning contexts, at home, at work or /and in educational settings.</w:t>
      </w:r>
      <w:r>
        <w:rPr>
          <w:rFonts w:ascii="Times New Roman" w:eastAsia="Calibri" w:hAnsi="Times New Roman" w:cs="Times New Roman"/>
          <w:sz w:val="24"/>
          <w:szCs w:val="24"/>
        </w:rPr>
        <w:t xml:space="preserve"> </w:t>
      </w:r>
      <w:r>
        <w:rPr>
          <w:rFonts w:ascii="Times New Roman" w:eastAsia="Times New Roman" w:hAnsi="Times New Roman" w:cs="Times New Roman"/>
          <w:color w:val="000000"/>
          <w:sz w:val="24"/>
          <w:szCs w:val="24"/>
        </w:rPr>
        <w:t xml:space="preserve">Moreover, </w:t>
      </w:r>
      <w:r>
        <w:rPr>
          <w:rFonts w:ascii="Times New Roman" w:eastAsia="Calibri" w:hAnsi="Times New Roman" w:cs="Times New Roman"/>
          <w:sz w:val="24"/>
          <w:szCs w:val="24"/>
        </w:rPr>
        <w:t xml:space="preserve">these findings agree with Baro, Endouware, &amp; Ubogu's (2010) study on information literacy among medical students in the college of health sciences at Niger Delta University which found that undergraduate medical students don’t know how to critically judge the relevance of the information sources before retrieving information from them. </w:t>
      </w:r>
    </w:p>
    <w:p w14:paraId="15E8564B" w14:textId="77777777" w:rsidR="00B01D46" w:rsidRDefault="00B01D46">
      <w:pPr>
        <w:shd w:val="clear" w:color="auto" w:fill="FFFFFF"/>
        <w:spacing w:after="0" w:line="240" w:lineRule="auto"/>
        <w:ind w:right="65"/>
        <w:jc w:val="both"/>
        <w:rPr>
          <w:rFonts w:ascii="Times New Roman" w:eastAsia="Times New Roman" w:hAnsi="Times New Roman" w:cs="Times New Roman"/>
          <w:color w:val="000000"/>
          <w:sz w:val="24"/>
          <w:szCs w:val="24"/>
        </w:rPr>
      </w:pPr>
    </w:p>
    <w:p w14:paraId="0D433279" w14:textId="77777777" w:rsidR="00B01D46" w:rsidRDefault="0067013E">
      <w:pPr>
        <w:pStyle w:val="Heading3"/>
      </w:pPr>
      <w:bookmarkStart w:id="1984" w:name="_Toc165973173"/>
      <w:bookmarkStart w:id="1985" w:name="_Toc184272976"/>
      <w:bookmarkStart w:id="1986" w:name="_Toc165363520"/>
      <w:bookmarkStart w:id="1987" w:name="_Toc165975894"/>
      <w:bookmarkStart w:id="1988" w:name="_Toc165365294"/>
      <w:bookmarkStart w:id="1989" w:name="_Toc164664107"/>
      <w:bookmarkStart w:id="1990" w:name="_Toc165369328"/>
      <w:r>
        <w:t xml:space="preserve">6.2.4 </w:t>
      </w:r>
      <w:bookmarkStart w:id="1991" w:name="_Hlk158379527"/>
      <w:r>
        <w:t xml:space="preserve">Communication </w:t>
      </w:r>
      <w:bookmarkEnd w:id="1991"/>
      <w:r>
        <w:t>Skills</w:t>
      </w:r>
      <w:bookmarkEnd w:id="1984"/>
      <w:bookmarkEnd w:id="1985"/>
      <w:bookmarkEnd w:id="1986"/>
      <w:bookmarkEnd w:id="1987"/>
      <w:bookmarkEnd w:id="1988"/>
      <w:bookmarkEnd w:id="1989"/>
      <w:bookmarkEnd w:id="1990"/>
    </w:p>
    <w:p w14:paraId="65F3FA69"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color w:val="202124"/>
          <w:sz w:val="24"/>
          <w:szCs w:val="24"/>
          <w:shd w:val="clear" w:color="auto" w:fill="FFFFFF"/>
        </w:rPr>
        <w:t xml:space="preserve">According to Sauce model (2009) information literacy skills is the ability to find, evaluate, organize, use, and communicate information in all its various formats, most notably in situations requiring decision making, problem solving, or the acquisition of knowledge. </w:t>
      </w:r>
      <w:r>
        <w:rPr>
          <w:rFonts w:ascii="Times New Roman" w:eastAsia="Calibri" w:hAnsi="Times New Roman" w:cs="Times New Roman"/>
          <w:sz w:val="24"/>
          <w:szCs w:val="24"/>
        </w:rPr>
        <w:t xml:space="preserve">Furthermore, information literacy skills are vital to the success in education, occupation, and day to day communication. </w:t>
      </w:r>
      <w:bookmarkStart w:id="1992" w:name="_Hlk158379553"/>
      <w:r>
        <w:rPr>
          <w:rFonts w:ascii="Times New Roman" w:eastAsia="Calibri" w:hAnsi="Times New Roman" w:cs="Times New Roman"/>
          <w:sz w:val="24"/>
          <w:szCs w:val="24"/>
        </w:rPr>
        <w:t xml:space="preserve">The findings established that majority of the student respondents 126(56.00%) and 218 (96.89%) agreed that they use mailing lists to exchange information and they utilize web addresses for internet searching for information. Congruently, majority of the lecturers 81(63.28%) and 110(80.46%) agreed that students utilize web addresses for internet searching so as to retrieve relevant information and use mailing lists to obtain and use information. This may suggest that with the advancement of computer technology and readily available internet connectivity, students are exploiting mailing lists, SMS technology and emails to send and receive information. Additionally, this is an indication that students have gained information literacy skills on how to share and receive information from peers or lecturers, and therefore they can effectively and correctly </w:t>
      </w:r>
      <w:r>
        <w:rPr>
          <w:rFonts w:ascii="Times New Roman" w:eastAsia="Calibri" w:hAnsi="Times New Roman" w:cs="Times New Roman"/>
          <w:sz w:val="24"/>
          <w:szCs w:val="24"/>
        </w:rPr>
        <w:lastRenderedPageBreak/>
        <w:t>communicate information and knowledge they create or come across to their peers and colleagues. This encourages information sharing through communication. skills.  This indicates that information literacy skills are instrumental in equipping students with appropriate communication skills. The findings agree with the communication facet of the Sauce Model which states that the end product in an information search should be to communicate the retrieved information in the form of printed form, electronic form, an artifact, idea, product, or solution.</w:t>
      </w:r>
    </w:p>
    <w:bookmarkEnd w:id="1992"/>
    <w:p w14:paraId="5BDA7FA9" w14:textId="47ED0ECD" w:rsidR="00B01D46" w:rsidRDefault="0067013E">
      <w:pPr>
        <w:shd w:val="clear" w:color="auto" w:fill="FFFFFF"/>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This finding relates to Diehm </w:t>
      </w:r>
      <w:r w:rsidR="0074200B">
        <w:rPr>
          <w:rFonts w:ascii="Times New Roman" w:eastAsia="Calibri" w:hAnsi="Times New Roman" w:cs="Times New Roman"/>
          <w:sz w:val="24"/>
          <w:szCs w:val="24"/>
        </w:rPr>
        <w:t>&amp;</w:t>
      </w:r>
      <w:r>
        <w:rPr>
          <w:rFonts w:ascii="Times New Roman" w:eastAsia="Calibri" w:hAnsi="Times New Roman" w:cs="Times New Roman"/>
          <w:sz w:val="24"/>
          <w:szCs w:val="24"/>
        </w:rPr>
        <w:t xml:space="preserve"> Lupton’s (2014) study on university students' experiences of learning information literacy, in which they found that students applied information literacy skills learned to access relevant and appropriate information for self-growth and the growth of fellow students. Additionally, the Association of College and Research Libraries, (2002) alludes that it is not enough to know how to gather information and knowledge, if what is gathered cannot be effectively passed on to others.</w:t>
      </w:r>
    </w:p>
    <w:p w14:paraId="68605759" w14:textId="6C5DB08D"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Furthermore, the findings agree with </w:t>
      </w:r>
      <w:bookmarkStart w:id="1993" w:name="_Hlk182167931"/>
      <w:r>
        <w:rPr>
          <w:rFonts w:ascii="Times New Roman" w:eastAsia="Calibri" w:hAnsi="Times New Roman" w:cs="Times New Roman"/>
          <w:sz w:val="24"/>
          <w:szCs w:val="24"/>
        </w:rPr>
        <w:t xml:space="preserve">Limaye </w:t>
      </w:r>
      <w:r w:rsidR="0074200B">
        <w:rPr>
          <w:rFonts w:ascii="Times New Roman" w:eastAsia="Calibri" w:hAnsi="Times New Roman" w:cs="Times New Roman"/>
          <w:sz w:val="24"/>
          <w:szCs w:val="24"/>
        </w:rPr>
        <w:t>&amp;</w:t>
      </w:r>
      <w:r>
        <w:rPr>
          <w:rFonts w:ascii="Times New Roman" w:eastAsia="Calibri" w:hAnsi="Times New Roman" w:cs="Times New Roman"/>
          <w:sz w:val="24"/>
          <w:szCs w:val="24"/>
        </w:rPr>
        <w:t xml:space="preserve"> Fotwenge, (2015) </w:t>
      </w:r>
      <w:bookmarkEnd w:id="1993"/>
      <w:r>
        <w:rPr>
          <w:rFonts w:ascii="Times New Roman" w:eastAsia="Calibri" w:hAnsi="Times New Roman" w:cs="Times New Roman"/>
          <w:sz w:val="24"/>
          <w:szCs w:val="24"/>
        </w:rPr>
        <w:t>study results on the impact of IL among post-primary students in Botswana which found that information literacy skills enabled students to communicate information and get information.</w:t>
      </w:r>
    </w:p>
    <w:p w14:paraId="5303F32F" w14:textId="77777777" w:rsidR="00B01D46" w:rsidRDefault="00B01D46">
      <w:pPr>
        <w:spacing w:after="0" w:line="240" w:lineRule="auto"/>
        <w:ind w:right="65"/>
        <w:jc w:val="both"/>
        <w:rPr>
          <w:rFonts w:ascii="Times New Roman" w:eastAsia="Calibri" w:hAnsi="Times New Roman" w:cs="Times New Roman"/>
          <w:sz w:val="24"/>
          <w:szCs w:val="24"/>
        </w:rPr>
      </w:pPr>
    </w:p>
    <w:p w14:paraId="59952398" w14:textId="77777777" w:rsidR="00B01D46" w:rsidRDefault="0067013E">
      <w:pPr>
        <w:pStyle w:val="Heading3"/>
        <w:ind w:right="65"/>
        <w:rPr>
          <w:szCs w:val="24"/>
        </w:rPr>
      </w:pPr>
      <w:bookmarkStart w:id="1994" w:name="_Toc164664108"/>
      <w:bookmarkStart w:id="1995" w:name="_Toc165369329"/>
      <w:bookmarkStart w:id="1996" w:name="_Toc165975895"/>
      <w:bookmarkStart w:id="1997" w:name="_Toc165365295"/>
      <w:bookmarkStart w:id="1998" w:name="_Toc184272977"/>
      <w:bookmarkStart w:id="1999" w:name="_Toc165363521"/>
      <w:bookmarkStart w:id="2000" w:name="_Toc165973174"/>
      <w:r>
        <w:rPr>
          <w:szCs w:val="24"/>
        </w:rPr>
        <w:t xml:space="preserve">6.2.5 </w:t>
      </w:r>
      <w:bookmarkStart w:id="2001" w:name="_Hlk158379584"/>
      <w:r>
        <w:rPr>
          <w:szCs w:val="24"/>
        </w:rPr>
        <w:t>Self-Management and Competitive Skills</w:t>
      </w:r>
      <w:bookmarkEnd w:id="1994"/>
      <w:bookmarkEnd w:id="1995"/>
      <w:bookmarkEnd w:id="1996"/>
      <w:bookmarkEnd w:id="1997"/>
      <w:bookmarkEnd w:id="1998"/>
      <w:bookmarkEnd w:id="1999"/>
      <w:bookmarkEnd w:id="2000"/>
    </w:p>
    <w:p w14:paraId="49837009"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revealed that the majority of the students 204(80%) and 215(84.31%) of the respondents gainsaid that they comprehend the nature of publicly available information on the worldwide web and that they can choose information materials and abridge its content for use in that order.  Likewise, majority of the lecturers, 51(82.03%) and 49(79.68%) disagreed that </w:t>
      </w:r>
      <w:r>
        <w:rPr>
          <w:rFonts w:ascii="Times New Roman" w:eastAsia="Times New Roman" w:hAnsi="Times New Roman" w:cs="Times New Roman"/>
          <w:color w:val="000000"/>
          <w:sz w:val="24"/>
          <w:szCs w:val="24"/>
        </w:rPr>
        <w:t xml:space="preserve">students can choose information </w:t>
      </w:r>
      <w:r>
        <w:rPr>
          <w:rFonts w:ascii="Times New Roman" w:eastAsia="Times New Roman" w:hAnsi="Times New Roman" w:cs="Times New Roman"/>
          <w:color w:val="000000"/>
          <w:sz w:val="24"/>
          <w:szCs w:val="24"/>
        </w:rPr>
        <w:lastRenderedPageBreak/>
        <w:t>materials and abridge them in their own words for their personal use, and they</w:t>
      </w:r>
      <w:r>
        <w:rPr>
          <w:rFonts w:ascii="Times New Roman" w:eastAsia="Calibri" w:hAnsi="Times New Roman" w:cs="Times New Roman"/>
          <w:sz w:val="24"/>
          <w:szCs w:val="24"/>
        </w:rPr>
        <w:t xml:space="preserve"> understood the nature/type of information available on the internet correspondingly. These findings could suggest that students do not know how to synthesize retrieved information, hence they have not gained appropriate skills to help them ascertain the authenticity of the information available on the internet, therefore cannot competitively self-manage themselves.</w:t>
      </w:r>
      <w:bookmarkEnd w:id="2001"/>
      <w:r>
        <w:rPr>
          <w:rFonts w:ascii="Times New Roman" w:eastAsia="Calibri" w:hAnsi="Times New Roman" w:cs="Times New Roman"/>
          <w:sz w:val="24"/>
          <w:szCs w:val="24"/>
        </w:rPr>
        <w:t xml:space="preserve"> In addition, students are not able to carry out self-directed learning. These suggestions are in line with the higher thinking skills facet of the Sauce Model. The facet state that an information literate student should apply the higher thinking skills to refine retrieved information, from whichever source, before using the information for problem solving or/and for need satisfaction or form an opinion. </w:t>
      </w:r>
    </w:p>
    <w:p w14:paraId="526DDFBC" w14:textId="46AFDCA6" w:rsidR="00B01D46" w:rsidRDefault="0067013E">
      <w:pPr>
        <w:shd w:val="clear" w:color="auto" w:fill="FFFFFF"/>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agree with Kanguha (2016); Badke (2009); Baro </w:t>
      </w:r>
      <w:r w:rsidR="0074200B">
        <w:rPr>
          <w:rFonts w:ascii="Times New Roman" w:eastAsia="Calibri" w:hAnsi="Times New Roman" w:cs="Times New Roman"/>
          <w:sz w:val="24"/>
          <w:szCs w:val="24"/>
        </w:rPr>
        <w:t>&amp;</w:t>
      </w:r>
      <w:r>
        <w:rPr>
          <w:rFonts w:ascii="Times New Roman" w:eastAsia="Calibri" w:hAnsi="Times New Roman" w:cs="Times New Roman"/>
          <w:sz w:val="24"/>
          <w:szCs w:val="24"/>
        </w:rPr>
        <w:t xml:space="preserve"> Zuokemefa (2011); Buzzetto-More (2009) various studies which found that in the present 21st-century information era, students are needed to develop information literacy skills to become skilled users of information sources available in different locations and formats for their self-directed learning. Equally, the finding corroborates with Anyaoku, Ezeani, </w:t>
      </w:r>
      <w:r w:rsidR="0074200B">
        <w:rPr>
          <w:rFonts w:ascii="Times New Roman" w:eastAsia="Calibri" w:hAnsi="Times New Roman" w:cs="Times New Roman"/>
          <w:sz w:val="24"/>
          <w:szCs w:val="24"/>
        </w:rPr>
        <w:t>&amp;</w:t>
      </w:r>
      <w:r>
        <w:rPr>
          <w:rFonts w:ascii="Times New Roman" w:eastAsia="Calibri" w:hAnsi="Times New Roman" w:cs="Times New Roman"/>
          <w:sz w:val="24"/>
          <w:szCs w:val="24"/>
        </w:rPr>
        <w:t xml:space="preserve"> Osuigwe's (2015) study on information literacy practices in universities in South East Nigeria, which found that</w:t>
      </w:r>
      <w:r>
        <w:rPr>
          <w:rFonts w:ascii="Times New Roman" w:eastAsia="Times New Roman" w:hAnsi="Times New Roman" w:cs="Times New Roman"/>
          <w:color w:val="000000"/>
          <w:sz w:val="24"/>
          <w:szCs w:val="24"/>
        </w:rPr>
        <w:t xml:space="preserve"> information literacy skills enable students to manage themselves appropriately, become</w:t>
      </w:r>
      <w:r>
        <w:rPr>
          <w:rFonts w:ascii="Times New Roman" w:eastAsia="Calibri" w:hAnsi="Times New Roman" w:cs="Times New Roman"/>
          <w:sz w:val="24"/>
          <w:szCs w:val="24"/>
        </w:rPr>
        <w:t xml:space="preserve"> critical thinkers so that they can find the right information among the myriad of sources and apply it to make wise decisions and </w:t>
      </w:r>
      <w:r>
        <w:rPr>
          <w:rFonts w:ascii="Times New Roman" w:eastAsia="Times New Roman" w:hAnsi="Times New Roman" w:cs="Times New Roman"/>
          <w:color w:val="000000"/>
          <w:sz w:val="24"/>
          <w:szCs w:val="24"/>
        </w:rPr>
        <w:t>to sustain their learning after graduation</w:t>
      </w:r>
      <w:r>
        <w:rPr>
          <w:rFonts w:ascii="Times New Roman" w:eastAsia="Calibri" w:hAnsi="Times New Roman" w:cs="Times New Roman"/>
          <w:sz w:val="24"/>
          <w:szCs w:val="24"/>
        </w:rPr>
        <w:t>.</w:t>
      </w:r>
    </w:p>
    <w:p w14:paraId="5C2D20A9"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Furthermore, the findings are similar to those of Milliard et al. (2020) study which found that though most students use the internet in their daily lives to satisfy personal needs, they have a problem locating and evaluating information for coursework. In </w:t>
      </w:r>
      <w:r>
        <w:rPr>
          <w:rFonts w:ascii="Times New Roman" w:eastAsia="Calibri" w:hAnsi="Times New Roman" w:cs="Times New Roman"/>
          <w:sz w:val="24"/>
          <w:szCs w:val="24"/>
        </w:rPr>
        <w:lastRenderedPageBreak/>
        <w:t xml:space="preserve">like manner, </w:t>
      </w:r>
      <w:r>
        <w:rPr>
          <w:rFonts w:ascii="Times New Roman" w:hAnsi="Times New Roman" w:cs="Times New Roman"/>
          <w:color w:val="222222"/>
          <w:sz w:val="24"/>
          <w:szCs w:val="24"/>
          <w:shd w:val="clear" w:color="auto" w:fill="FFFFFF"/>
        </w:rPr>
        <w:t>Ariole,</w:t>
      </w:r>
      <w:r>
        <w:rPr>
          <w:rFonts w:ascii="Times New Roman" w:eastAsia="Calibri" w:hAnsi="Times New Roman" w:cs="Times New Roman"/>
          <w:sz w:val="24"/>
          <w:szCs w:val="24"/>
        </w:rPr>
        <w:t xml:space="preserve"> (2017) in their study found that more than one-quarter of undergraduate students are not able to use the URL to locate websites.</w:t>
      </w:r>
    </w:p>
    <w:p w14:paraId="4A4AECC7" w14:textId="77777777" w:rsidR="00B01D46" w:rsidRDefault="00B01D46">
      <w:pPr>
        <w:spacing w:after="0" w:line="240" w:lineRule="auto"/>
        <w:ind w:right="65"/>
        <w:jc w:val="both"/>
        <w:rPr>
          <w:rFonts w:ascii="Times New Roman" w:eastAsia="Calibri" w:hAnsi="Times New Roman" w:cs="Times New Roman"/>
          <w:sz w:val="24"/>
          <w:szCs w:val="24"/>
        </w:rPr>
      </w:pPr>
    </w:p>
    <w:p w14:paraId="376A7206" w14:textId="77777777" w:rsidR="00B01D46" w:rsidRDefault="0067013E">
      <w:pPr>
        <w:pStyle w:val="Heading3"/>
        <w:ind w:right="65"/>
        <w:rPr>
          <w:szCs w:val="24"/>
        </w:rPr>
      </w:pPr>
      <w:bookmarkStart w:id="2002" w:name="_Toc165365296"/>
      <w:bookmarkStart w:id="2003" w:name="_Toc165975896"/>
      <w:bookmarkStart w:id="2004" w:name="_Toc164664109"/>
      <w:bookmarkStart w:id="2005" w:name="_Toc165369330"/>
      <w:bookmarkStart w:id="2006" w:name="_Toc165973175"/>
      <w:bookmarkStart w:id="2007" w:name="_Toc184272978"/>
      <w:bookmarkStart w:id="2008" w:name="_Toc165363522"/>
      <w:r>
        <w:rPr>
          <w:szCs w:val="24"/>
        </w:rPr>
        <w:t xml:space="preserve">6.2.6 </w:t>
      </w:r>
      <w:bookmarkStart w:id="2009" w:name="_Hlk158379612"/>
      <w:r>
        <w:rPr>
          <w:szCs w:val="24"/>
        </w:rPr>
        <w:t>Social and Co-operative Skills</w:t>
      </w:r>
      <w:bookmarkEnd w:id="2002"/>
      <w:bookmarkEnd w:id="2003"/>
      <w:bookmarkEnd w:id="2004"/>
      <w:bookmarkEnd w:id="2005"/>
      <w:bookmarkEnd w:id="2006"/>
      <w:bookmarkEnd w:id="2007"/>
      <w:bookmarkEnd w:id="2008"/>
    </w:p>
    <w:p w14:paraId="09A520F5"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revealed that majority of the students </w:t>
      </w:r>
      <w:r>
        <w:rPr>
          <w:rFonts w:ascii="Times New Roman" w:hAnsi="Times New Roman" w:cs="Times New Roman"/>
          <w:sz w:val="24"/>
          <w:szCs w:val="24"/>
        </w:rPr>
        <w:t xml:space="preserve">184 (72.16%), and 179 (70.20%) stated that they use group discussions to receive and exchange information, and newsgroups to obtain and use information. similarly, </w:t>
      </w:r>
      <w:r>
        <w:rPr>
          <w:rFonts w:ascii="Times New Roman" w:eastAsia="Times New Roman" w:hAnsi="Times New Roman" w:cs="Times New Roman"/>
          <w:color w:val="000000"/>
          <w:sz w:val="24"/>
          <w:szCs w:val="24"/>
        </w:rPr>
        <w:t xml:space="preserve">55 (89.06%), 55 (89.06%) of the lecturers were of the opinion that those students use group discussions for collecting and exchanging information, and newsgroups/online forums to gather and share information. However, </w:t>
      </w:r>
      <w:r>
        <w:rPr>
          <w:rFonts w:ascii="Times New Roman" w:hAnsi="Times New Roman" w:cs="Times New Roman"/>
          <w:sz w:val="24"/>
          <w:szCs w:val="24"/>
        </w:rPr>
        <w:t xml:space="preserve">147 (57.65%) of the students and </w:t>
      </w:r>
      <w:r>
        <w:rPr>
          <w:rFonts w:ascii="Times New Roman" w:eastAsia="Times New Roman" w:hAnsi="Times New Roman" w:cs="Times New Roman"/>
          <w:color w:val="000000"/>
          <w:sz w:val="24"/>
          <w:szCs w:val="24"/>
        </w:rPr>
        <w:t>50 (80.47%) of the lecturers stated that students are incapable of integrating new information into the current knowledge base,</w:t>
      </w:r>
      <w:r>
        <w:rPr>
          <w:rFonts w:ascii="Times New Roman" w:eastAsia="Calibri" w:hAnsi="Times New Roman" w:cs="Times New Roman"/>
          <w:sz w:val="24"/>
          <w:szCs w:val="24"/>
        </w:rPr>
        <w:t xml:space="preserve"> as illustrated in table 5.7</w:t>
      </w:r>
      <w:r>
        <w:rPr>
          <w:rFonts w:ascii="Times New Roman" w:eastAsia="Times New Roman" w:hAnsi="Times New Roman" w:cs="Times New Roman"/>
          <w:color w:val="000000"/>
          <w:sz w:val="24"/>
          <w:szCs w:val="24"/>
        </w:rPr>
        <w:t>. Additionally, the interview results showed that, even though many students are unable to integrate new information into the current body of knowledge majority are able to study collaboratively through group discussions, blogs, online news groups, and various social media platforms.</w:t>
      </w:r>
      <w:r>
        <w:rPr>
          <w:rFonts w:ascii="Times New Roman" w:eastAsia="Calibri" w:hAnsi="Times New Roman" w:cs="Times New Roman"/>
          <w:sz w:val="24"/>
          <w:szCs w:val="24"/>
        </w:rPr>
        <w:t xml:space="preserve"> </w:t>
      </w:r>
      <w:bookmarkEnd w:id="2009"/>
      <w:r>
        <w:rPr>
          <w:rFonts w:ascii="Times New Roman" w:eastAsia="Calibri" w:hAnsi="Times New Roman" w:cs="Times New Roman"/>
          <w:sz w:val="24"/>
          <w:szCs w:val="24"/>
        </w:rPr>
        <w:t xml:space="preserve">These findings seem to suggest that students engage in collaborative learning. Through collaborative learning, students can develop high-level skills because they are being tasked to work </w:t>
      </w:r>
      <w:r>
        <w:rPr>
          <w:rFonts w:ascii="Times New Roman" w:eastAsia="Calibri" w:hAnsi="Times New Roman" w:cs="Times New Roman"/>
          <w:color w:val="000000"/>
          <w:sz w:val="24"/>
          <w:szCs w:val="24"/>
        </w:rPr>
        <w:t>as a group to realize a common goal. Further, the findings can indicate that students learn how to manage themselves and others because as a group they have to learn how to organize, assign, and teach themselves.</w:t>
      </w:r>
      <w:r>
        <w:rPr>
          <w:rFonts w:ascii="Times New Roman" w:eastAsia="Calibri" w:hAnsi="Times New Roman" w:cs="Times New Roman"/>
          <w:sz w:val="24"/>
          <w:szCs w:val="24"/>
        </w:rPr>
        <w:t xml:space="preserve"> As a result, students are likely to acquire analytical and critical thinking skills through group discussions and newsgroups. Hence become cautious consumers of information by sieving through various sources of information to establish their appropriateness to presenting students' information needs. </w:t>
      </w:r>
    </w:p>
    <w:p w14:paraId="1EEE0324"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The findings indicate that students are engaging in collaborative learning which is one of the key tenets of information literacy skills training and learning as advanced by the collaborative learning facet in the Sauce model (Bond, 2011). The facet elucidates that student who have gained information literacy skills engage and support group problem-solving positions as important aspects of the learning process.  In addition, the finding agrees with the sixth facet (social and cooperative) of the Sauce model which states that collaborative learning</w:t>
      </w:r>
      <w:r>
        <w:rPr>
          <w:rFonts w:ascii="Times New Roman" w:eastAsia="Times New Roman" w:hAnsi="Times New Roman" w:cs="Times New Roman"/>
          <w:color w:val="000000"/>
          <w:sz w:val="24"/>
          <w:szCs w:val="24"/>
        </w:rPr>
        <w:t xml:space="preserve"> emphasizes using groups to enhance learning through working together. Where groups of two or more students work together to solve problems, complete tasks, or learn new concepts. This approach actively engages learners to process and synthesize information and concepts, rather than using rote memorization of facts and figures. Students work with each other on projects, where they must collaborate as a group to understand the concepts being presented to them. Through defending their positions, reframing ideas, listening to other viewpoints, and articulating their points, students gain a more complete understanding as a group than they could as individuals.</w:t>
      </w:r>
    </w:p>
    <w:p w14:paraId="2BFB2F08" w14:textId="63B09FC6"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are in tandem with Johnson </w:t>
      </w:r>
      <w:r w:rsidR="0074200B">
        <w:rPr>
          <w:rFonts w:ascii="Times New Roman" w:eastAsia="Calibri" w:hAnsi="Times New Roman" w:cs="Times New Roman"/>
          <w:sz w:val="24"/>
          <w:szCs w:val="24"/>
        </w:rPr>
        <w:t>&amp;</w:t>
      </w:r>
      <w:r>
        <w:rPr>
          <w:rFonts w:ascii="Times New Roman" w:eastAsia="Calibri" w:hAnsi="Times New Roman" w:cs="Times New Roman"/>
          <w:sz w:val="24"/>
          <w:szCs w:val="24"/>
        </w:rPr>
        <w:t xml:space="preserve"> Johnson's (2016) study on the importance of collaborative learning in information acquisition and utilization among university students, which found that there is persuasive evidence that cooperative teams achieve higher levels of thought and retain information longer than learners who work quietly as individuals. The study further found that shared learning allows learners to engage in discussion, take responsibility for their learning, and thus become critical thinkers. Moreover, </w:t>
      </w:r>
      <w:r>
        <w:rPr>
          <w:rFonts w:ascii="Times New Roman" w:hAnsi="Times New Roman" w:cs="Times New Roman"/>
          <w:sz w:val="24"/>
          <w:szCs w:val="24"/>
        </w:rPr>
        <w:t xml:space="preserve">John et al </w:t>
      </w:r>
      <w:r>
        <w:rPr>
          <w:rFonts w:ascii="Times New Roman" w:eastAsia="Calibri" w:hAnsi="Times New Roman" w:cs="Times New Roman"/>
          <w:sz w:val="24"/>
          <w:szCs w:val="24"/>
        </w:rPr>
        <w:t xml:space="preserve">(2015) study on social and cooperative learning among learners found that collaborative learning enables students to engage in an active exchange of ideas within small groups, which in turn increases interest among the participants and promotes critical thinking skills. Similarly, Srinivas et al (2019) </w:t>
      </w:r>
      <w:r>
        <w:rPr>
          <w:rFonts w:ascii="Times New Roman" w:eastAsia="Calibri" w:hAnsi="Times New Roman" w:cs="Times New Roman"/>
          <w:sz w:val="24"/>
          <w:szCs w:val="24"/>
        </w:rPr>
        <w:lastRenderedPageBreak/>
        <w:t xml:space="preserve">affirms that in a collaborative learning setting, learners have the opportunity to converse with peers, present and defend ideas, exchange diverse beliefs, question other conceptual frameworks, and are actively engaged. </w:t>
      </w:r>
    </w:p>
    <w:p w14:paraId="5E480D29" w14:textId="77777777" w:rsidR="00B01D46" w:rsidRDefault="00B01D46">
      <w:pPr>
        <w:spacing w:after="0" w:line="240" w:lineRule="auto"/>
        <w:ind w:right="65"/>
        <w:jc w:val="both"/>
        <w:rPr>
          <w:rFonts w:ascii="Times New Roman" w:eastAsia="Calibri" w:hAnsi="Times New Roman" w:cs="Times New Roman"/>
          <w:sz w:val="24"/>
          <w:szCs w:val="24"/>
        </w:rPr>
      </w:pPr>
    </w:p>
    <w:p w14:paraId="0D2DD423" w14:textId="77777777" w:rsidR="00B01D46" w:rsidRDefault="0067013E">
      <w:pPr>
        <w:pStyle w:val="Heading3"/>
        <w:ind w:right="65"/>
        <w:rPr>
          <w:szCs w:val="24"/>
        </w:rPr>
      </w:pPr>
      <w:bookmarkStart w:id="2010" w:name="_Toc165365297"/>
      <w:bookmarkStart w:id="2011" w:name="_Toc184272979"/>
      <w:bookmarkStart w:id="2012" w:name="_Toc165973176"/>
      <w:bookmarkStart w:id="2013" w:name="_Toc164664110"/>
      <w:bookmarkStart w:id="2014" w:name="_Toc165363523"/>
      <w:bookmarkStart w:id="2015" w:name="_Toc165975897"/>
      <w:bookmarkStart w:id="2016" w:name="_Toc165369331"/>
      <w:r>
        <w:rPr>
          <w:szCs w:val="24"/>
        </w:rPr>
        <w:t xml:space="preserve">6.2.7 </w:t>
      </w:r>
      <w:bookmarkStart w:id="2017" w:name="_Hlk158379651"/>
      <w:r>
        <w:rPr>
          <w:szCs w:val="24"/>
        </w:rPr>
        <w:t>Labor and Learning Skills</w:t>
      </w:r>
      <w:bookmarkEnd w:id="2010"/>
      <w:bookmarkEnd w:id="2011"/>
      <w:bookmarkEnd w:id="2012"/>
      <w:bookmarkEnd w:id="2013"/>
      <w:bookmarkEnd w:id="2014"/>
      <w:bookmarkEnd w:id="2015"/>
      <w:bookmarkEnd w:id="2016"/>
    </w:p>
    <w:p w14:paraId="322FE7F5"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results revealed that 232 (90.98%) and 180 (70.59%) of the students together with 43</w:t>
      </w:r>
      <w:r>
        <w:rPr>
          <w:rFonts w:ascii="Times New Roman" w:eastAsia="Times New Roman" w:hAnsi="Times New Roman" w:cs="Times New Roman"/>
          <w:color w:val="000000"/>
          <w:sz w:val="24"/>
          <w:szCs w:val="24"/>
        </w:rPr>
        <w:t xml:space="preserve">(70.32%) and 55(88.28%) of the lecturers </w:t>
      </w:r>
      <w:r>
        <w:rPr>
          <w:rFonts w:ascii="Times New Roman" w:eastAsia="Calibri" w:hAnsi="Times New Roman" w:cs="Times New Roman"/>
          <w:sz w:val="24"/>
          <w:szCs w:val="24"/>
        </w:rPr>
        <w:t xml:space="preserve">concurred that students can accurately clarify a topic's concepts and take notes from print and electronic sources by printing and saving them to a disc, </w:t>
      </w:r>
      <w:r>
        <w:rPr>
          <w:rFonts w:ascii="Times New Roman" w:eastAsia="Times New Roman" w:hAnsi="Times New Roman" w:cs="Times New Roman"/>
          <w:color w:val="000000"/>
          <w:sz w:val="24"/>
          <w:szCs w:val="24"/>
        </w:rPr>
        <w:t xml:space="preserve">as shown in Table 5.7 and 5.8. respectively. </w:t>
      </w:r>
      <w:r>
        <w:rPr>
          <w:rFonts w:ascii="Times New Roman" w:hAnsi="Times New Roman" w:cs="Times New Roman"/>
          <w:sz w:val="24"/>
          <w:szCs w:val="24"/>
        </w:rPr>
        <w:t xml:space="preserve">Out of the respondents, 198 students (77.65%) and 28 lecturers (45.32%) indicated that medical undergraduate students struggle to use information in a legal and ethical manner as such they plagiarize other scholars’ works. </w:t>
      </w:r>
      <w:r>
        <w:rPr>
          <w:rFonts w:ascii="Times New Roman" w:eastAsia="Times New Roman" w:hAnsi="Times New Roman" w:cs="Times New Roman"/>
          <w:color w:val="000000"/>
          <w:sz w:val="24"/>
          <w:szCs w:val="24"/>
        </w:rPr>
        <w:t xml:space="preserve"> The interview responses indicate that students can conduct basic information searching in the library and that they are unable to </w:t>
      </w:r>
      <w:r>
        <w:rPr>
          <w:rFonts w:ascii="Times New Roman" w:eastAsia="Calibri" w:hAnsi="Times New Roman" w:cs="Times New Roman"/>
          <w:sz w:val="24"/>
          <w:szCs w:val="24"/>
        </w:rPr>
        <w:t>search for information in complex information databases like MEDLINE, PROQUEST, NEXISLEXIS. These findings seem to suggest that students have just acquired basic computer skills which enables them do simple Google searches and save retrieved information to discs and then print it later. This is an indication of insufficient ILS among students; hence majority of the students cannot do high level information searches</w:t>
      </w:r>
      <w:r>
        <w:rPr>
          <w:rFonts w:ascii="Times New Roman" w:eastAsia="Times New Roman" w:hAnsi="Times New Roman" w:cs="Times New Roman"/>
          <w:color w:val="000000"/>
          <w:sz w:val="24"/>
          <w:szCs w:val="24"/>
        </w:rPr>
        <w:t xml:space="preserve">. </w:t>
      </w:r>
      <w:bookmarkEnd w:id="2017"/>
      <w:r>
        <w:rPr>
          <w:rFonts w:ascii="Times New Roman" w:eastAsia="Times New Roman" w:hAnsi="Times New Roman" w:cs="Times New Roman"/>
          <w:color w:val="000000"/>
          <w:sz w:val="24"/>
          <w:szCs w:val="24"/>
        </w:rPr>
        <w:t xml:space="preserve">Furthermore, the findings indicate </w:t>
      </w:r>
      <w:r>
        <w:rPr>
          <w:rFonts w:ascii="Times New Roman" w:eastAsia="Calibri" w:hAnsi="Times New Roman" w:cs="Times New Roman"/>
          <w:sz w:val="24"/>
          <w:szCs w:val="24"/>
        </w:rPr>
        <w:t xml:space="preserve">with these limited computer skills, the students are unable to determine the </w:t>
      </w:r>
      <w:r>
        <w:rPr>
          <w:rFonts w:ascii="Times New Roman" w:eastAsia="Calibri" w:hAnsi="Times New Roman" w:cs="Times New Roman"/>
          <w:color w:val="2D2D2D"/>
          <w:sz w:val="24"/>
          <w:szCs w:val="24"/>
        </w:rPr>
        <w:t>authenticity of the information they find on websites and other online sources.</w:t>
      </w:r>
      <w:r>
        <w:rPr>
          <w:rFonts w:ascii="Times New Roman" w:eastAsia="Calibri" w:hAnsi="Times New Roman" w:cs="Times New Roman"/>
          <w:sz w:val="24"/>
          <w:szCs w:val="24"/>
        </w:rPr>
        <w:t xml:space="preserve"> This conforms to the ICT integration variable facet of the Sauce Model which states that   ICT provides new avenues for searching, accessing, vetting, transferring and storing information. Moreover, the Sauce model states that ICT is central in promoting ILS teaching and learning because of its role as communication and instruction tools for learners and lecturers. </w:t>
      </w:r>
    </w:p>
    <w:p w14:paraId="72E2600B"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lastRenderedPageBreak/>
        <w:t>The findings are in support of A</w:t>
      </w:r>
      <w:r>
        <w:rPr>
          <w:rFonts w:ascii="Times New Roman" w:eastAsia="Times New Roman" w:hAnsi="Times New Roman" w:cs="Times New Roman"/>
          <w:color w:val="000000"/>
          <w:sz w:val="24"/>
          <w:szCs w:val="24"/>
        </w:rPr>
        <w:t xml:space="preserve">lemu's (2017) study on the impact of ICT literacy skills among undergraduate students at the University of Botswana, which found that students have acquired elementary computer skills which are insignificant in the achievement of degree-based education, in the sense that they are unhelpful to students in finding information in electronic resources for learning reasons. In addition, </w:t>
      </w:r>
      <w:r>
        <w:rPr>
          <w:rFonts w:ascii="Times New Roman" w:eastAsia="Calibri" w:hAnsi="Times New Roman" w:cs="Times New Roman"/>
          <w:sz w:val="24"/>
          <w:szCs w:val="24"/>
        </w:rPr>
        <w:t>Doyle et al (2019) in his study on information search and retrieval skills among university students found that although students have acquired competencies in knowing how to learn, formulate questions, access potential sources of information, students still face challenges on how to evaluate retrieved information for accuracy and use information ethically and effectively.</w:t>
      </w:r>
    </w:p>
    <w:p w14:paraId="718B6F1E"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Similarly, these results agree to the findings of Fiawotoafor (2018) study on the assessment of the information literacy skills of the College of Agriculture Education, University of Education, which found that majority of the students had limited skills in applying computer and telecommunication technologies in the process of information seeking and retrieval, had issues in using information ethically, had limited know-how on how to evaluate and interpret retrieved information. </w:t>
      </w:r>
    </w:p>
    <w:p w14:paraId="0D32CC1C" w14:textId="77777777" w:rsidR="00B01D46" w:rsidRDefault="0067013E">
      <w:pPr>
        <w:pStyle w:val="Heading2"/>
        <w:ind w:left="450" w:hanging="450"/>
      </w:pPr>
      <w:bookmarkStart w:id="2018" w:name="_Toc184272980"/>
      <w:bookmarkStart w:id="2019" w:name="_Toc165365298"/>
      <w:bookmarkStart w:id="2020" w:name="_Toc165369332"/>
      <w:bookmarkStart w:id="2021" w:name="_Toc165973177"/>
      <w:bookmarkStart w:id="2022" w:name="_Toc164664111"/>
      <w:bookmarkStart w:id="2023" w:name="_Toc165363524"/>
      <w:bookmarkStart w:id="2024" w:name="_Toc165975898"/>
      <w:r>
        <w:t>6.3 ILS Policies and Curricula Supporting Delivery of ILS to Medical Undergraduate Students</w:t>
      </w:r>
      <w:bookmarkEnd w:id="2018"/>
      <w:bookmarkEnd w:id="2019"/>
      <w:bookmarkEnd w:id="2020"/>
      <w:bookmarkEnd w:id="2021"/>
      <w:bookmarkEnd w:id="2022"/>
      <w:bookmarkEnd w:id="2023"/>
      <w:bookmarkEnd w:id="2024"/>
    </w:p>
    <w:p w14:paraId="70CD0B89" w14:textId="77777777" w:rsidR="00B01D46" w:rsidRDefault="0067013E">
      <w:pPr>
        <w:pStyle w:val="Heading3"/>
      </w:pPr>
      <w:bookmarkStart w:id="2025" w:name="_Toc165975899"/>
      <w:bookmarkStart w:id="2026" w:name="_Toc165363525"/>
      <w:bookmarkStart w:id="2027" w:name="_Toc164664112"/>
      <w:bookmarkStart w:id="2028" w:name="_Toc165369333"/>
      <w:bookmarkStart w:id="2029" w:name="_Toc165365299"/>
      <w:bookmarkStart w:id="2030" w:name="_Toc165973178"/>
      <w:bookmarkStart w:id="2031" w:name="_Toc184272981"/>
      <w:r>
        <w:rPr>
          <w:rStyle w:val="Heading2Char"/>
          <w:rFonts w:cs="Times New Roman"/>
          <w:b/>
          <w:szCs w:val="27"/>
        </w:rPr>
        <w:t>6.3.1 ILS Policie</w:t>
      </w:r>
      <w:bookmarkEnd w:id="2025"/>
      <w:bookmarkEnd w:id="2026"/>
      <w:bookmarkEnd w:id="2027"/>
      <w:bookmarkEnd w:id="2028"/>
      <w:bookmarkEnd w:id="2029"/>
      <w:bookmarkEnd w:id="2030"/>
      <w:r>
        <w:rPr>
          <w:rStyle w:val="Heading2Char"/>
          <w:rFonts w:cs="Times New Roman"/>
          <w:b/>
          <w:szCs w:val="27"/>
        </w:rPr>
        <w:t>s</w:t>
      </w:r>
      <w:bookmarkEnd w:id="2031"/>
    </w:p>
    <w:p w14:paraId="05407DE9"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policy and a framework for imparting information literacy skills are key (Nyamboga, 2013;  Kavulya, 2003). Information literacy skills service is keen to build on existing good practices to ensure that all students who have undergone a program of study at university become truly information literate. This can aid their employability by providing them with the skills to help in finding work and the knowledge needed, once in employment, to manage their information needs. </w:t>
      </w:r>
      <w:r>
        <w:rPr>
          <w:rFonts w:ascii="Times New Roman" w:eastAsia="Calibri" w:hAnsi="Times New Roman" w:cs="Times New Roman"/>
          <w:sz w:val="24"/>
          <w:szCs w:val="24"/>
        </w:rPr>
        <w:lastRenderedPageBreak/>
        <w:t xml:space="preserve">Therefore, ILS training should be appropriately carried out among learners in a way that the learners would appreciate its relevance and apply it directly in carrying out their day-to-day tasks. </w:t>
      </w:r>
    </w:p>
    <w:p w14:paraId="162AFFEE"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Moreover, according to the</w:t>
      </w:r>
      <w:r>
        <w:rPr>
          <w:rFonts w:ascii="Times New Roman" w:eastAsia="Calibri" w:hAnsi="Times New Roman" w:cs="Times New Roman"/>
          <w:color w:val="333333"/>
          <w:sz w:val="24"/>
          <w:szCs w:val="24"/>
          <w:shd w:val="clear" w:color="auto" w:fill="FFFFFF"/>
        </w:rPr>
        <w:t xml:space="preserve"> </w:t>
      </w:r>
      <w:r>
        <w:rPr>
          <w:rFonts w:ascii="Times New Roman" w:hAnsi="Times New Roman" w:cs="Times New Roman"/>
          <w:color w:val="222222"/>
          <w:sz w:val="24"/>
          <w:szCs w:val="24"/>
          <w:shd w:val="clear" w:color="auto" w:fill="FFFFFF"/>
        </w:rPr>
        <w:t>Foo</w:t>
      </w:r>
      <w:r>
        <w:rPr>
          <w:rFonts w:ascii="Times New Roman" w:eastAsia="Calibri" w:hAnsi="Times New Roman" w:cs="Times New Roman"/>
          <w:color w:val="333333"/>
          <w:sz w:val="24"/>
          <w:szCs w:val="24"/>
          <w:shd w:val="clear" w:color="auto" w:fill="FFFFFF"/>
        </w:rPr>
        <w:t xml:space="preserve"> et al (2021), ILS policies are an integral part of the university learning experience because they foster and guides how to integrate students fully into research and hence, advance lifelong learning among students.</w:t>
      </w:r>
      <w:r>
        <w:rPr>
          <w:rFonts w:ascii="Times New Roman" w:eastAsia="Calibri" w:hAnsi="Times New Roman" w:cs="Times New Roman"/>
          <w:sz w:val="24"/>
          <w:szCs w:val="24"/>
        </w:rPr>
        <w:t xml:space="preserve"> </w:t>
      </w:r>
    </w:p>
    <w:p w14:paraId="0AA90E5A" w14:textId="77777777" w:rsidR="00B01D46" w:rsidRDefault="0067013E">
      <w:pPr>
        <w:pStyle w:val="Heading4"/>
      </w:pPr>
      <w:bookmarkStart w:id="2032" w:name="_Toc184272982"/>
      <w:bookmarkStart w:id="2033" w:name="_Toc165369334"/>
      <w:bookmarkStart w:id="2034" w:name="_Toc165973179"/>
      <w:bookmarkStart w:id="2035" w:name="_Toc165365300"/>
      <w:bookmarkStart w:id="2036" w:name="_Toc165363526"/>
      <w:bookmarkStart w:id="2037" w:name="_Toc165975900"/>
      <w:r>
        <w:t>6.3.1.1 Availability of ILS Policies</w:t>
      </w:r>
      <w:bookmarkEnd w:id="2032"/>
      <w:bookmarkEnd w:id="2033"/>
      <w:bookmarkEnd w:id="2034"/>
      <w:bookmarkEnd w:id="2035"/>
      <w:bookmarkEnd w:id="2036"/>
      <w:bookmarkEnd w:id="2037"/>
      <w:r>
        <w:t xml:space="preserve"> </w:t>
      </w:r>
    </w:p>
    <w:p w14:paraId="129851B7" w14:textId="09EE561C"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sought to find out whether the two universities had documented and communicated ILS policies. The findings revealed that the universities had ILS policies. This is according to 198(77.64%) of the students as illustrated in figure 5.1 and 56 (90.32%) of the lecturers as shown in figure 5.2. Similarly, the respondents interviewed unanimously agreed that information literacy skills policy and procedures were available. This finding is contrary to Kanguha (2016) study on information literacy learning among Psychology students in Kenya where he found that there was absence of information literacy policy for information literacy skills learning and training. Similarly, Baro's (2013) study on information literacy programs in Nigerian universities revealed that the absence of an information literacy skills policy was a major challenge to the development of information literacy skills in universities in Nigeria. Also, Lwehabura </w:t>
      </w:r>
      <w:r w:rsidR="0074200B">
        <w:rPr>
          <w:rFonts w:ascii="Times New Roman" w:eastAsia="Calibri" w:hAnsi="Times New Roman" w:cs="Times New Roman"/>
          <w:sz w:val="24"/>
          <w:szCs w:val="24"/>
        </w:rPr>
        <w:t>&amp;</w:t>
      </w:r>
      <w:r>
        <w:rPr>
          <w:rFonts w:ascii="Times New Roman" w:eastAsia="Calibri" w:hAnsi="Times New Roman" w:cs="Times New Roman"/>
          <w:sz w:val="24"/>
          <w:szCs w:val="24"/>
        </w:rPr>
        <w:t xml:space="preserve"> Stilwell's (2008) study on the challenges and opportunities of IL programs in Tanzanian universities revealed that the absence of an Information Literacy skills policy impeded Information Literacy skills instruction and learning.</w:t>
      </w:r>
    </w:p>
    <w:p w14:paraId="788383BD" w14:textId="77777777" w:rsidR="00B01D46" w:rsidRDefault="0067013E">
      <w:pPr>
        <w:pStyle w:val="Heading4"/>
      </w:pPr>
      <w:bookmarkStart w:id="2038" w:name="_Toc184272983"/>
      <w:bookmarkStart w:id="2039" w:name="_Toc165973180"/>
      <w:bookmarkStart w:id="2040" w:name="_Toc165365301"/>
      <w:bookmarkStart w:id="2041" w:name="_Toc165363527"/>
      <w:bookmarkStart w:id="2042" w:name="_Toc164664113"/>
      <w:bookmarkStart w:id="2043" w:name="_Toc165369335"/>
      <w:bookmarkStart w:id="2044" w:name="_Toc165975901"/>
      <w:r>
        <w:lastRenderedPageBreak/>
        <w:t>6.3.1.2 Information Literacy Skills Covered in the ILS Policy</w:t>
      </w:r>
      <w:bookmarkEnd w:id="2038"/>
      <w:bookmarkEnd w:id="2039"/>
      <w:bookmarkEnd w:id="2040"/>
      <w:bookmarkEnd w:id="2041"/>
      <w:bookmarkEnd w:id="2042"/>
      <w:bookmarkEnd w:id="2043"/>
      <w:bookmarkEnd w:id="2044"/>
      <w:r>
        <w:t xml:space="preserve"> </w:t>
      </w:r>
    </w:p>
    <w:p w14:paraId="6861D495"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respondents were asked to state the areas covered by ILS policies. The findings revealed that the majority of the students’ respondents stated that knowledge and information skills; problem-solving and critical thinking; communication skills, information technology skills; social responsibility skills; and referencing and legal issues were the areas covered by the ILS policies in 200(78.43%), 198(77.65%), 225(88.23%), 215(84.31%), 199(78.04%) and 197(77.25%) in that order. </w:t>
      </w:r>
    </w:p>
    <w:p w14:paraId="0C2539C4"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Similarly, the majority of the lecturer lecturers 58 (93.76%), 55 (89.06%), 58 (93.76%), 55 (89.06%), 57 (90.63%) and 55 (89.06%) agreed that knowledge and information skills; problem-solving and critical thinking; communication skills; information technology skills; </w:t>
      </w:r>
      <w:r>
        <w:rPr>
          <w:rStyle w:val="Strong"/>
          <w:rFonts w:ascii="Times New Roman" w:hAnsi="Times New Roman" w:cs="Times New Roman"/>
          <w:color w:val="252525"/>
          <w:sz w:val="24"/>
          <w:szCs w:val="24"/>
        </w:rPr>
        <w:t xml:space="preserve">social responsibility skills; and </w:t>
      </w:r>
      <w:r>
        <w:rPr>
          <w:rFonts w:ascii="Times New Roman" w:hAnsi="Times New Roman" w:cs="Times New Roman"/>
          <w:sz w:val="24"/>
          <w:szCs w:val="24"/>
        </w:rPr>
        <w:t>referencing and legal issues are areas covered by the ILS policy in that order.</w:t>
      </w:r>
    </w:p>
    <w:p w14:paraId="0B25BB52"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responses from interviews were that ILS policies covered areas of knowledge and information skills, communication skills, research skills, problem-solving skills, information technology skills, and anti-plagiarism skills. The findings suggest that the medical undergraduate students are appropriately trained with ILS skills and hence equipped with research skills, good communication techniques, and critical skills which will help them to become independent lifelong learners. These skills will enable people to apply their knowledge from the familiar environment to the unfamiliar that is, apply new and more effective medicines being discovered, new medical devices and procedures being invented, and new diseases which are causing havoc to humanity such as COVID-19, Ebola, Zika virus and HIV among many others. </w:t>
      </w:r>
    </w:p>
    <w:p w14:paraId="418FE539"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lastRenderedPageBreak/>
        <w:t>The findings are in line with Kanguha (2016) study on information literacy learning experiences of fourth-year psychology students in Kenyan universities, which revealed that ILS policies are meant to promote information literacy skills as a key competency for lifelong learning among students and that they are fundamental to ILS teaching, learning and research focus of the African Universities community. Furthermore, the study found that ILS policies enable and empower students to be critical and independent users of information by embedding information literacy skills into their university experience.</w:t>
      </w:r>
    </w:p>
    <w:p w14:paraId="48598A88" w14:textId="77777777" w:rsidR="00B01D46" w:rsidRDefault="00B01D46">
      <w:pPr>
        <w:spacing w:after="0" w:line="240" w:lineRule="auto"/>
        <w:ind w:right="65"/>
        <w:jc w:val="both"/>
        <w:rPr>
          <w:rFonts w:ascii="Times New Roman" w:hAnsi="Times New Roman" w:cs="Times New Roman"/>
          <w:sz w:val="24"/>
          <w:szCs w:val="24"/>
        </w:rPr>
      </w:pPr>
    </w:p>
    <w:p w14:paraId="2E24608B" w14:textId="77777777" w:rsidR="00B01D46" w:rsidRDefault="0067013E">
      <w:pPr>
        <w:pStyle w:val="Heading4"/>
      </w:pPr>
      <w:bookmarkStart w:id="2045" w:name="_Toc165369336"/>
      <w:bookmarkStart w:id="2046" w:name="_Toc164664114"/>
      <w:bookmarkStart w:id="2047" w:name="_Toc165975902"/>
      <w:bookmarkStart w:id="2048" w:name="_Toc165973181"/>
      <w:bookmarkStart w:id="2049" w:name="_Toc165365302"/>
      <w:bookmarkStart w:id="2050" w:name="_Toc165363528"/>
      <w:bookmarkStart w:id="2051" w:name="_Toc184272984"/>
      <w:r>
        <w:t>6.3.1.3 Formulation and Implementation of the ILS Policies</w:t>
      </w:r>
      <w:bookmarkEnd w:id="2045"/>
      <w:bookmarkEnd w:id="2046"/>
      <w:bookmarkEnd w:id="2047"/>
      <w:bookmarkEnd w:id="2048"/>
      <w:bookmarkEnd w:id="2049"/>
      <w:bookmarkEnd w:id="2050"/>
      <w:bookmarkEnd w:id="2051"/>
    </w:p>
    <w:p w14:paraId="449885DE" w14:textId="77777777" w:rsidR="00B01D46" w:rsidRDefault="0067013E">
      <w:pPr>
        <w:spacing w:after="0" w:line="480" w:lineRule="auto"/>
        <w:ind w:right="65"/>
        <w:jc w:val="both"/>
        <w:rPr>
          <w:rFonts w:ascii="Times New Roman" w:eastAsia="Calibri" w:hAnsi="Times New Roman" w:cs="Times New Roman"/>
          <w:color w:val="231F20"/>
          <w:spacing w:val="19"/>
          <w:sz w:val="24"/>
          <w:szCs w:val="24"/>
        </w:rPr>
      </w:pPr>
      <w:r>
        <w:rPr>
          <w:rFonts w:ascii="Times New Roman" w:hAnsi="Times New Roman" w:cs="Times New Roman"/>
          <w:sz w:val="24"/>
          <w:szCs w:val="24"/>
        </w:rPr>
        <w:t>The respondents who were interviewed were asked to state their contributions to the formulation of ILS policies. The results indicate that university librarians are the initiators of ILS policy and procedure development in universities through interpreting the patterns of information access and use within the university. The respondents, further, stated that once university librarians identify the need to initiate ILS policies or gaps in ILS policies, they notify the heads of departments who are the quality assurances officers and custodians of curricula in their departments through a memorandum or submissions to the deans' committee. Once the deans' committee approves, university librarians, head medical librarians, and heads of departments embark on generating the content of the ILS policies or reviewing the existing ILS policies to fill in the identified gaps. In addition, university librarians have been bestowed the task of monitoring and evaluating the ILS policies</w:t>
      </w:r>
      <w:r>
        <w:rPr>
          <w:rFonts w:ascii="Times New Roman" w:eastAsia="Calibri" w:hAnsi="Times New Roman" w:cs="Times New Roman"/>
          <w:sz w:val="24"/>
          <w:szCs w:val="24"/>
        </w:rPr>
        <w:t xml:space="preserve"> implementation, whereas, heads</w:t>
      </w:r>
      <w:r>
        <w:rPr>
          <w:rFonts w:ascii="Times New Roman" w:hAnsi="Times New Roman" w:cs="Times New Roman"/>
          <w:sz w:val="24"/>
          <w:szCs w:val="24"/>
        </w:rPr>
        <w:t xml:space="preserve"> of departments and lecturers ensure that there is compliance with the ILS policies. Correspondingly, top university management that is the Vice-Chancellor, Deputy Vice-Chancellor (Academic and Students Affairs), and Registrar </w:t>
      </w:r>
      <w:r>
        <w:rPr>
          <w:rFonts w:ascii="Times New Roman" w:hAnsi="Times New Roman" w:cs="Times New Roman"/>
          <w:sz w:val="24"/>
          <w:szCs w:val="24"/>
        </w:rPr>
        <w:lastRenderedPageBreak/>
        <w:t xml:space="preserve">(Academic and Students Affairs) have the role of </w:t>
      </w:r>
      <w:r>
        <w:rPr>
          <w:rFonts w:ascii="Times New Roman" w:eastAsia="Calibri" w:hAnsi="Times New Roman" w:cs="Times New Roman"/>
          <w:sz w:val="24"/>
          <w:szCs w:val="24"/>
        </w:rPr>
        <w:t>decision-making concerning the</w:t>
      </w:r>
      <w:r>
        <w:rPr>
          <w:rFonts w:ascii="Times New Roman" w:hAnsi="Times New Roman" w:cs="Times New Roman"/>
          <w:sz w:val="24"/>
          <w:szCs w:val="24"/>
        </w:rPr>
        <w:t xml:space="preserve"> providence of the infrastructure and resources.</w:t>
      </w:r>
      <w:r>
        <w:rPr>
          <w:rFonts w:ascii="Times New Roman" w:eastAsia="Calibri" w:hAnsi="Times New Roman" w:cs="Times New Roman"/>
          <w:color w:val="231F20"/>
          <w:spacing w:val="19"/>
          <w:sz w:val="24"/>
          <w:szCs w:val="24"/>
        </w:rPr>
        <w:t xml:space="preserve"> </w:t>
      </w:r>
    </w:p>
    <w:p w14:paraId="2A547988" w14:textId="77777777" w:rsidR="00B01D46" w:rsidRDefault="0067013E">
      <w:pPr>
        <w:spacing w:before="120" w:after="0" w:line="480" w:lineRule="auto"/>
        <w:ind w:right="65"/>
        <w:jc w:val="both"/>
        <w:rPr>
          <w:rFonts w:ascii="Times New Roman" w:eastAsia="Calibri" w:hAnsi="Times New Roman" w:cs="Times New Roman"/>
          <w:spacing w:val="8"/>
          <w:sz w:val="24"/>
          <w:szCs w:val="24"/>
        </w:rPr>
      </w:pPr>
      <w:r>
        <w:rPr>
          <w:rFonts w:ascii="Times New Roman" w:eastAsia="Calibri" w:hAnsi="Times New Roman" w:cs="Times New Roman"/>
          <w:sz w:val="24"/>
          <w:szCs w:val="24"/>
        </w:rPr>
        <w:t>The findings suggest that the ILS policies have total institutional support because all stakeholders in the university management are involved. This is a good indication because it signifies that ILS initiatives have the support of top management hence chances are that implementation will be smooth. Mokhtar and Majid, (2008) state that the development and implementation of ILS policies whether for each country, state, or institution, should come about with some form of stakeholders or government involvement. Information policies that are backed by the government or those in power are taken more seriously and resonate more strongly among users. This in turn would ensure more efficient and effective implementation, which is an important first step in integrating information-related skills within educational institutions and the workforce. In addition, the findings imply that finally universities are actively involved in coming up with home-grown ILS policies that address the unique information needs of Kenyan medical undergraduate students.</w:t>
      </w:r>
      <w:r>
        <w:rPr>
          <w:rFonts w:ascii="Times New Roman" w:eastAsia="Calibri" w:hAnsi="Times New Roman" w:cs="Times New Roman"/>
          <w:b/>
          <w:bCs/>
          <w:sz w:val="24"/>
          <w:szCs w:val="24"/>
        </w:rPr>
        <w:t xml:space="preserve"> </w:t>
      </w:r>
    </w:p>
    <w:p w14:paraId="05C70EC2"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Moreover, the findings suggest that librarians are the key stakeholders and main drivers in the formulation and implementation of the ILS policies. The finding indicates that librarians are heavily involved in training students in the use of the resources available, and how to find and evaluate information some librarians also cover issues of ethics, particularly relating to copyright, referencing, and plagiarism. Thereby leading to the successful implementation of the ILS policies. The findings concur with the University of West of England (2009) findings that librarians through the stellar implementation of ILS policy and standards are keen to build on existing good practices to ensure that all students who have undergone a program of study at the University of West of England become truly information literate. This can aid </w:t>
      </w:r>
      <w:r>
        <w:rPr>
          <w:rFonts w:ascii="Times New Roman" w:hAnsi="Times New Roman" w:cs="Times New Roman"/>
          <w:sz w:val="24"/>
          <w:szCs w:val="24"/>
        </w:rPr>
        <w:lastRenderedPageBreak/>
        <w:t>their employability by providing them with the skills to help in finding work and the knowledge needed, once in employment, and to manage their information needs.</w:t>
      </w:r>
    </w:p>
    <w:p w14:paraId="408DCC5E" w14:textId="77777777" w:rsidR="00B01D46" w:rsidRDefault="0067013E">
      <w:pPr>
        <w:spacing w:before="120" w:after="0" w:line="480" w:lineRule="auto"/>
        <w:ind w:right="65"/>
        <w:jc w:val="both"/>
        <w:rPr>
          <w:rFonts w:ascii="Times New Roman" w:hAnsi="Times New Roman" w:cs="Times New Roman"/>
          <w:color w:val="231F20"/>
          <w:spacing w:val="-16"/>
          <w:sz w:val="24"/>
          <w:szCs w:val="24"/>
        </w:rPr>
      </w:pPr>
      <w:r>
        <w:rPr>
          <w:rFonts w:ascii="Times New Roman" w:hAnsi="Times New Roman" w:cs="Times New Roman"/>
          <w:sz w:val="24"/>
          <w:szCs w:val="24"/>
        </w:rPr>
        <w:t>The findings are contrary to assertions by scholars Kavulya (2003), Kingori (2015), and Mathangani and Irura (2005) who state that lack of home-grown standards and policies are a great challenge to the provision of information literacy skills in Kenya. Equally, these findings differ with Mokhtar and Majid, (2008) in their study entitled Information Literacy Standards, Guidelines and their Implementation in seven Southern Asia Countries, which revealed that the majority of the universities in these countries lacked leadership for ILS standards and implementation. This study also found that there was a low rate of ILS implementation in universities because of low</w:t>
      </w:r>
      <w:r>
        <w:rPr>
          <w:rFonts w:ascii="Times New Roman" w:hAnsi="Times New Roman" w:cs="Times New Roman"/>
          <w:spacing w:val="20"/>
          <w:sz w:val="24"/>
          <w:szCs w:val="24"/>
        </w:rPr>
        <w:t xml:space="preserve"> literacy rates, lack of funding, lack of awareness, </w:t>
      </w:r>
      <w:r>
        <w:rPr>
          <w:rFonts w:ascii="Times New Roman" w:hAnsi="Times New Roman" w:cs="Times New Roman"/>
          <w:spacing w:val="3"/>
          <w:sz w:val="24"/>
          <w:szCs w:val="24"/>
        </w:rPr>
        <w:t xml:space="preserve">shortage of classroom or library space, and insufficient </w:t>
      </w:r>
      <w:r>
        <w:rPr>
          <w:rFonts w:ascii="Times New Roman" w:hAnsi="Times New Roman" w:cs="Times New Roman"/>
          <w:spacing w:val="7"/>
          <w:sz w:val="24"/>
          <w:szCs w:val="24"/>
        </w:rPr>
        <w:t>guidelines on ILS integration into the institutions’ curriculum.</w:t>
      </w:r>
      <w:r>
        <w:rPr>
          <w:rFonts w:ascii="Times New Roman" w:hAnsi="Times New Roman" w:cs="Times New Roman"/>
          <w:color w:val="231F20"/>
          <w:spacing w:val="-16"/>
          <w:sz w:val="24"/>
          <w:szCs w:val="24"/>
        </w:rPr>
        <w:t xml:space="preserve"> </w:t>
      </w:r>
    </w:p>
    <w:p w14:paraId="1AE60C37" w14:textId="77777777" w:rsidR="00B01D46" w:rsidRDefault="00B01D46">
      <w:pPr>
        <w:spacing w:after="0" w:line="240" w:lineRule="auto"/>
        <w:ind w:right="65"/>
        <w:jc w:val="both"/>
        <w:rPr>
          <w:rFonts w:ascii="Times New Roman" w:hAnsi="Times New Roman" w:cs="Times New Roman"/>
          <w:sz w:val="24"/>
          <w:szCs w:val="24"/>
        </w:rPr>
      </w:pPr>
    </w:p>
    <w:p w14:paraId="066F5A33" w14:textId="77777777" w:rsidR="00B01D46" w:rsidRDefault="0067013E">
      <w:pPr>
        <w:pStyle w:val="Heading4"/>
      </w:pPr>
      <w:bookmarkStart w:id="2052" w:name="_Toc165365303"/>
      <w:bookmarkStart w:id="2053" w:name="_Toc165369337"/>
      <w:bookmarkStart w:id="2054" w:name="_Toc165363529"/>
      <w:bookmarkStart w:id="2055" w:name="_Toc165973182"/>
      <w:bookmarkStart w:id="2056" w:name="_Toc184272985"/>
      <w:bookmarkStart w:id="2057" w:name="_Toc165975903"/>
      <w:r>
        <w:t>6.3.1.4 Adequacy of the ILS Policies</w:t>
      </w:r>
      <w:bookmarkEnd w:id="2052"/>
      <w:bookmarkEnd w:id="2053"/>
      <w:bookmarkEnd w:id="2054"/>
      <w:bookmarkEnd w:id="2055"/>
      <w:bookmarkEnd w:id="2056"/>
      <w:bookmarkEnd w:id="2057"/>
    </w:p>
    <w:p w14:paraId="78E3FD30"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revealed that the majority of the respondents who were interviewed 8(80%) noted that the ILS policies in place were inadequate in addressing ILS training and learning among the medical undergraduate students, as illustrated in figure 5.3. The findings suggest that policy reviews have never been conducted, updates have never been affected, the policy did not advocate for the allocation of adequate time for ILS training and learning, the ILS training is conducted at the convenience of the librarians and lecturers because it is not timetabled. This is an indication that ILS policy has not been implemented as envisioned and it does not address the changes taking place in the medical field. As a consequence, students have not been adequately trained on ILS.  Bazrafkan et al (2018) emphasize that </w:t>
      </w:r>
      <w:r>
        <w:rPr>
          <w:rFonts w:ascii="Times New Roman" w:eastAsia="Calibri" w:hAnsi="Times New Roman" w:cs="Times New Roman"/>
          <w:sz w:val="24"/>
          <w:szCs w:val="24"/>
        </w:rPr>
        <w:lastRenderedPageBreak/>
        <w:t xml:space="preserve">medical faculty students need extensive and varied sources of information to perform their job roles and also cope with the complexities of different medical specializations. To satisfy this need medical undergraduate students need information literacy skills to help utilize the information resources available by enhancing their information search, retrieval, and evaluation skills. </w:t>
      </w:r>
    </w:p>
    <w:p w14:paraId="5D751026"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Similarly, the findings concur with Kavulya (2003) study which demonstrated that the limited time allocated to the lecture, demonstration, and library tour is inadequate to impart useful skills to new university students. consequently, the timing of library orientation programs in the first and second week of students' life in the university is poor since at this time students have little motivation to participate, and may not be in a position to appreciate the centrality of the library in academic life. </w:t>
      </w:r>
    </w:p>
    <w:p w14:paraId="6EF9696E" w14:textId="77777777" w:rsidR="00B01D46" w:rsidRDefault="0067013E">
      <w:pPr>
        <w:pStyle w:val="Heading3"/>
        <w:ind w:right="65"/>
        <w:rPr>
          <w:szCs w:val="24"/>
        </w:rPr>
      </w:pPr>
      <w:bookmarkStart w:id="2058" w:name="_Toc165365304"/>
      <w:bookmarkStart w:id="2059" w:name="_Toc165369338"/>
      <w:bookmarkStart w:id="2060" w:name="_Toc165973183"/>
      <w:bookmarkStart w:id="2061" w:name="_Toc184272986"/>
      <w:bookmarkStart w:id="2062" w:name="_Toc165363530"/>
      <w:bookmarkStart w:id="2063" w:name="_Toc164664115"/>
      <w:bookmarkStart w:id="2064" w:name="_Toc165975904"/>
      <w:r>
        <w:rPr>
          <w:rFonts w:eastAsia="Calibri"/>
          <w:szCs w:val="24"/>
        </w:rPr>
        <w:t>6.3.2 ILS Curricula and Delivery Methods Used</w:t>
      </w:r>
      <w:bookmarkEnd w:id="2058"/>
      <w:bookmarkEnd w:id="2059"/>
      <w:bookmarkEnd w:id="2060"/>
      <w:bookmarkEnd w:id="2061"/>
      <w:bookmarkEnd w:id="2062"/>
      <w:bookmarkEnd w:id="2063"/>
      <w:bookmarkEnd w:id="2064"/>
      <w:r>
        <w:rPr>
          <w:rFonts w:eastAsia="Calibri"/>
          <w:szCs w:val="24"/>
        </w:rPr>
        <w:t xml:space="preserve"> </w:t>
      </w:r>
    </w:p>
    <w:p w14:paraId="714E82D1" w14:textId="77777777" w:rsidR="00B01D46" w:rsidRDefault="0067013E">
      <w:pPr>
        <w:tabs>
          <w:tab w:val="left" w:pos="8581"/>
        </w:tabs>
        <w:spacing w:after="0" w:line="480" w:lineRule="auto"/>
        <w:ind w:right="65"/>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According to ALA, (2020) an individual is deemed to be information literate when he/she can recognize when information is needed combined with the capability to discover, assess and effectively utilize the desired information. As such, any ILS curriculum </w:t>
      </w:r>
      <w:r>
        <w:rPr>
          <w:rFonts w:ascii="Times New Roman" w:eastAsia="Times New Roman" w:hAnsi="Times New Roman" w:cs="Times New Roman"/>
          <w:sz w:val="24"/>
          <w:szCs w:val="24"/>
          <w:shd w:val="clear" w:color="auto" w:fill="FFFFFF"/>
          <w:lang w:val="zh-CN" w:eastAsia="zh-CN"/>
        </w:rPr>
        <w:t>should go beyond library instruction/education to provide content that</w:t>
      </w:r>
      <w:r>
        <w:rPr>
          <w:rFonts w:ascii="Times New Roman" w:eastAsia="Times New Roman" w:hAnsi="Times New Roman" w:cs="Times New Roman"/>
          <w:sz w:val="24"/>
          <w:szCs w:val="24"/>
          <w:shd w:val="clear" w:color="auto" w:fill="FFFFFF"/>
          <w:lang w:eastAsia="zh-CN"/>
        </w:rPr>
        <w:t xml:space="preserve"> facilitates learners to know</w:t>
      </w:r>
      <w:r>
        <w:rPr>
          <w:rFonts w:ascii="Times New Roman" w:eastAsia="Times New Roman" w:hAnsi="Times New Roman" w:cs="Times New Roman"/>
          <w:sz w:val="24"/>
          <w:szCs w:val="24"/>
          <w:shd w:val="clear" w:color="auto" w:fill="FFFFFF"/>
          <w:lang w:val="zh-CN" w:eastAsia="zh-CN"/>
        </w:rPr>
        <w:t xml:space="preserve"> the necessity for information, the accurateness, and extensiveness of the information, identify the potential sources of the information, develop successful search strategies, access the information, evaluate the information and arrange information for practical use and integration. </w:t>
      </w:r>
      <w:r>
        <w:rPr>
          <w:rFonts w:ascii="Times New Roman" w:eastAsia="Times New Roman" w:hAnsi="Times New Roman" w:cs="Times New Roman"/>
          <w:sz w:val="24"/>
          <w:szCs w:val="24"/>
          <w:shd w:val="clear" w:color="auto" w:fill="FFFFFF"/>
          <w:lang w:eastAsia="zh-CN"/>
        </w:rPr>
        <w:t xml:space="preserve">Correspondingly, </w:t>
      </w:r>
      <w:r>
        <w:rPr>
          <w:rFonts w:ascii="Times New Roman" w:eastAsia="Times New Roman" w:hAnsi="Times New Roman" w:cs="Times New Roman"/>
          <w:sz w:val="24"/>
          <w:szCs w:val="24"/>
          <w:shd w:val="clear" w:color="auto" w:fill="FFFFFF"/>
          <w:lang w:val="zh-CN" w:eastAsia="zh-CN"/>
        </w:rPr>
        <w:t>Aiyepeku</w:t>
      </w:r>
      <w:r>
        <w:rPr>
          <w:rFonts w:ascii="Times New Roman" w:eastAsia="Times New Roman" w:hAnsi="Times New Roman" w:cs="Times New Roman"/>
          <w:sz w:val="24"/>
          <w:szCs w:val="24"/>
          <w:shd w:val="clear" w:color="auto" w:fill="FFFFFF"/>
          <w:lang w:eastAsia="zh-CN"/>
        </w:rPr>
        <w:t xml:space="preserve"> </w:t>
      </w:r>
      <w:r>
        <w:rPr>
          <w:rFonts w:ascii="Times New Roman" w:eastAsia="Times New Roman" w:hAnsi="Times New Roman" w:cs="Times New Roman"/>
          <w:sz w:val="24"/>
          <w:szCs w:val="24"/>
          <w:shd w:val="clear" w:color="auto" w:fill="FFFFFF"/>
          <w:lang w:val="zh-CN" w:eastAsia="zh-CN"/>
        </w:rPr>
        <w:t>(20</w:t>
      </w:r>
      <w:r>
        <w:rPr>
          <w:rFonts w:ascii="Times New Roman" w:eastAsia="Times New Roman" w:hAnsi="Times New Roman" w:cs="Times New Roman"/>
          <w:sz w:val="24"/>
          <w:szCs w:val="24"/>
          <w:shd w:val="clear" w:color="auto" w:fill="FFFFFF"/>
          <w:lang w:eastAsia="zh-CN"/>
        </w:rPr>
        <w:t>2</w:t>
      </w:r>
      <w:r>
        <w:rPr>
          <w:rFonts w:ascii="Times New Roman" w:eastAsia="Times New Roman" w:hAnsi="Times New Roman" w:cs="Times New Roman"/>
          <w:sz w:val="24"/>
          <w:szCs w:val="24"/>
          <w:shd w:val="clear" w:color="auto" w:fill="FFFFFF"/>
          <w:lang w:val="zh-CN" w:eastAsia="zh-CN"/>
        </w:rPr>
        <w:t>2),</w:t>
      </w:r>
      <w:r>
        <w:rPr>
          <w:rFonts w:ascii="Times New Roman" w:eastAsia="Times New Roman" w:hAnsi="Times New Roman" w:cs="Times New Roman"/>
          <w:sz w:val="24"/>
          <w:szCs w:val="24"/>
          <w:shd w:val="clear" w:color="auto" w:fill="FFFFFF"/>
          <w:lang w:eastAsia="zh-CN"/>
        </w:rPr>
        <w:t xml:space="preserve"> state that the emphasis of the ILS curriculum is to</w:t>
      </w:r>
      <w:r>
        <w:rPr>
          <w:rFonts w:ascii="Times New Roman" w:eastAsia="Times New Roman" w:hAnsi="Times New Roman" w:cs="Times New Roman"/>
          <w:sz w:val="24"/>
          <w:szCs w:val="24"/>
          <w:shd w:val="clear" w:color="auto" w:fill="FFFFFF"/>
          <w:lang w:val="zh-CN" w:eastAsia="zh-CN"/>
        </w:rPr>
        <w:t xml:space="preserve"> inculcate </w:t>
      </w:r>
      <w:r>
        <w:rPr>
          <w:rFonts w:ascii="Times New Roman" w:eastAsia="Times New Roman" w:hAnsi="Times New Roman" w:cs="Times New Roman"/>
          <w:sz w:val="24"/>
          <w:szCs w:val="24"/>
          <w:shd w:val="clear" w:color="auto" w:fill="FFFFFF"/>
          <w:lang w:eastAsia="zh-CN"/>
        </w:rPr>
        <w:t>problem-solving, critical thinking, and</w:t>
      </w:r>
      <w:r>
        <w:rPr>
          <w:rFonts w:ascii="Times New Roman" w:eastAsia="Times New Roman" w:hAnsi="Times New Roman" w:cs="Times New Roman"/>
          <w:sz w:val="24"/>
          <w:szCs w:val="24"/>
          <w:shd w:val="clear" w:color="auto" w:fill="FFFFFF"/>
          <w:lang w:val="zh-CN" w:eastAsia="zh-CN"/>
        </w:rPr>
        <w:t xml:space="preserve"> lifelong </w:t>
      </w:r>
      <w:r>
        <w:rPr>
          <w:rFonts w:ascii="Times New Roman" w:eastAsia="Times New Roman" w:hAnsi="Times New Roman" w:cs="Times New Roman"/>
          <w:sz w:val="24"/>
          <w:szCs w:val="24"/>
          <w:shd w:val="clear" w:color="auto" w:fill="FFFFFF"/>
          <w:lang w:eastAsia="zh-CN"/>
        </w:rPr>
        <w:t>learning</w:t>
      </w:r>
      <w:r>
        <w:rPr>
          <w:rFonts w:ascii="Times New Roman" w:eastAsia="Times New Roman" w:hAnsi="Times New Roman" w:cs="Times New Roman"/>
          <w:sz w:val="24"/>
          <w:szCs w:val="24"/>
          <w:shd w:val="clear" w:color="auto" w:fill="FFFFFF"/>
          <w:lang w:val="zh-CN" w:eastAsia="zh-CN"/>
        </w:rPr>
        <w:t xml:space="preserve"> </w:t>
      </w:r>
      <w:r>
        <w:rPr>
          <w:rFonts w:ascii="Times New Roman" w:eastAsia="Times New Roman" w:hAnsi="Times New Roman" w:cs="Times New Roman"/>
          <w:sz w:val="24"/>
          <w:szCs w:val="24"/>
          <w:shd w:val="clear" w:color="auto" w:fill="FFFFFF"/>
          <w:lang w:eastAsia="zh-CN"/>
        </w:rPr>
        <w:t>skills among students</w:t>
      </w:r>
      <w:r>
        <w:rPr>
          <w:rFonts w:ascii="Times New Roman" w:eastAsia="Times New Roman" w:hAnsi="Times New Roman" w:cs="Times New Roman"/>
          <w:sz w:val="24"/>
          <w:szCs w:val="24"/>
          <w:shd w:val="clear" w:color="auto" w:fill="FFFFFF"/>
          <w:lang w:val="zh-CN" w:eastAsia="zh-CN"/>
        </w:rPr>
        <w:t>.</w:t>
      </w:r>
      <w:r>
        <w:rPr>
          <w:rFonts w:ascii="Times New Roman" w:eastAsia="Times New Roman" w:hAnsi="Times New Roman" w:cs="Times New Roman"/>
          <w:sz w:val="24"/>
          <w:szCs w:val="24"/>
          <w:lang w:eastAsia="zh-CN"/>
        </w:rPr>
        <w:t xml:space="preserve">  </w:t>
      </w:r>
    </w:p>
    <w:p w14:paraId="6BFD6E74" w14:textId="77777777" w:rsidR="00B01D46" w:rsidRDefault="0067013E">
      <w:pPr>
        <w:tabs>
          <w:tab w:val="left" w:pos="8581"/>
        </w:tabs>
        <w:spacing w:before="120" w:line="480" w:lineRule="auto"/>
        <w:ind w:right="65"/>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val="zh-CN" w:eastAsia="zh-CN"/>
        </w:rPr>
        <w:lastRenderedPageBreak/>
        <w:t xml:space="preserve">The study sought to </w:t>
      </w:r>
      <w:r>
        <w:rPr>
          <w:rFonts w:ascii="Times New Roman" w:eastAsia="Times New Roman" w:hAnsi="Times New Roman" w:cs="Times New Roman"/>
          <w:sz w:val="24"/>
          <w:szCs w:val="24"/>
          <w:lang w:eastAsia="zh-CN"/>
        </w:rPr>
        <w:t xml:space="preserve">establish if there was an </w:t>
      </w:r>
      <w:r>
        <w:rPr>
          <w:rFonts w:ascii="Times New Roman" w:eastAsia="Times New Roman" w:hAnsi="Times New Roman" w:cs="Times New Roman"/>
          <w:sz w:val="24"/>
          <w:szCs w:val="24"/>
          <w:lang w:val="zh-CN" w:eastAsia="zh-CN"/>
        </w:rPr>
        <w:t xml:space="preserve">ILS curriculum in place </w:t>
      </w:r>
      <w:r>
        <w:rPr>
          <w:rFonts w:ascii="Times New Roman" w:eastAsia="Times New Roman" w:hAnsi="Times New Roman" w:cs="Times New Roman"/>
          <w:sz w:val="24"/>
          <w:szCs w:val="24"/>
          <w:lang w:eastAsia="zh-CN"/>
        </w:rPr>
        <w:t>and ascertain the various methods used to facilitate the</w:t>
      </w:r>
      <w:r>
        <w:rPr>
          <w:rFonts w:ascii="Times New Roman" w:eastAsia="Times New Roman" w:hAnsi="Times New Roman" w:cs="Times New Roman"/>
          <w:sz w:val="24"/>
          <w:szCs w:val="24"/>
          <w:lang w:val="zh-CN" w:eastAsia="zh-CN"/>
        </w:rPr>
        <w:t xml:space="preserve"> training</w:t>
      </w:r>
      <w:r>
        <w:rPr>
          <w:rFonts w:ascii="Times New Roman" w:eastAsia="Times New Roman" w:hAnsi="Times New Roman" w:cs="Times New Roman"/>
          <w:sz w:val="24"/>
          <w:szCs w:val="24"/>
          <w:lang w:eastAsia="zh-CN"/>
        </w:rPr>
        <w:t xml:space="preserve"> and assessment</w:t>
      </w:r>
      <w:r>
        <w:rPr>
          <w:rFonts w:ascii="Times New Roman" w:eastAsia="Times New Roman" w:hAnsi="Times New Roman" w:cs="Times New Roman"/>
          <w:sz w:val="24"/>
          <w:szCs w:val="24"/>
          <w:lang w:val="zh-CN" w:eastAsia="zh-CN"/>
        </w:rPr>
        <w:t xml:space="preserve"> of information literacy skills among undergraduate medical students. </w:t>
      </w:r>
    </w:p>
    <w:p w14:paraId="748352F2" w14:textId="77777777" w:rsidR="00B01D46" w:rsidRDefault="0067013E">
      <w:pPr>
        <w:pStyle w:val="Heading4"/>
      </w:pPr>
      <w:bookmarkStart w:id="2065" w:name="_Toc165365305"/>
      <w:bookmarkStart w:id="2066" w:name="_Toc164664116"/>
      <w:bookmarkStart w:id="2067" w:name="_Toc165369339"/>
      <w:bookmarkStart w:id="2068" w:name="_Toc165975905"/>
      <w:bookmarkStart w:id="2069" w:name="_Toc165973184"/>
      <w:bookmarkStart w:id="2070" w:name="_Toc184272987"/>
      <w:bookmarkStart w:id="2071" w:name="_Toc165363531"/>
      <w:r>
        <w:t>6.3.2.1 Existence of ILS Curriculum</w:t>
      </w:r>
      <w:bookmarkEnd w:id="2065"/>
      <w:bookmarkEnd w:id="2066"/>
      <w:bookmarkEnd w:id="2067"/>
      <w:bookmarkEnd w:id="2068"/>
      <w:bookmarkEnd w:id="2069"/>
      <w:bookmarkEnd w:id="2070"/>
      <w:bookmarkEnd w:id="2071"/>
    </w:p>
    <w:p w14:paraId="6D120306"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respondents were asked if their institutions had an ILS curriculum. The findings revealed that 186(72.94%) of the students’ respondents stated that their universities had an ILS curriculum as illustrated in figure 5. 4. Similarly, 109(85.15%) of the lecturers stated that their institutions had an ILS curriculum, as illustrated in figure 5.5. Additionally, interview results showed that institutions had an ILS curriculum that is used to impart ILS to students. The findings suggest that there are active initiatives for training medical students in ILS, as a result, therefore, students will acquire appropriate and relevant information literacy skills in line with the medical field. The findings are in line with the </w:t>
      </w:r>
      <w:r>
        <w:rPr>
          <w:rFonts w:ascii="Times New Roman" w:eastAsia="Calibri" w:hAnsi="Times New Roman" w:cs="Times New Roman"/>
          <w:bCs/>
          <w:color w:val="000000"/>
          <w:sz w:val="24"/>
          <w:szCs w:val="24"/>
        </w:rPr>
        <w:t>relational frame from in Bruce's six frames for information literacy education approach (Bruce et al., 2006) which among other factors is concern with the availability of an ILS curriculum to guide the learning and teaching of ILS.</w:t>
      </w:r>
    </w:p>
    <w:p w14:paraId="670AF9C9" w14:textId="77777777" w:rsidR="00B01D46" w:rsidRDefault="0067013E">
      <w:pPr>
        <w:shd w:val="clear" w:color="auto" w:fill="FFFFFF"/>
        <w:spacing w:before="120" w:after="0" w:line="480" w:lineRule="auto"/>
        <w:ind w:right="65"/>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 xml:space="preserve">The finding concurs with Kavulya (2003); Mathangani and Irura (2005); Saunders (2012); Kingori (2015); Anyaoku et al (2015); Kanguha (2016) in their various studies which found that </w:t>
      </w:r>
      <w:r>
        <w:rPr>
          <w:rFonts w:ascii="Times New Roman" w:eastAsia="Times New Roman" w:hAnsi="Times New Roman" w:cs="Times New Roman"/>
          <w:color w:val="000000"/>
          <w:sz w:val="24"/>
          <w:szCs w:val="24"/>
        </w:rPr>
        <w:t>training on the use of library resources has been an integral part of university academic training for ages.  This was done through orientation programs and various user education initiatives involving one-</w:t>
      </w:r>
      <w:r>
        <w:rPr>
          <w:rFonts w:ascii="Times New Roman" w:eastAsia="Times New Roman" w:hAnsi="Times New Roman" w:cs="Times New Roman"/>
          <w:color w:val="000000"/>
          <w:spacing w:val="-1"/>
          <w:sz w:val="24"/>
          <w:szCs w:val="24"/>
        </w:rPr>
        <w:t>on</w:t>
      </w:r>
      <w:r>
        <w:rPr>
          <w:rFonts w:ascii="Times New Roman" w:eastAsia="Times New Roman" w:hAnsi="Times New Roman" w:cs="Times New Roman"/>
          <w:color w:val="000000"/>
          <w:sz w:val="24"/>
          <w:szCs w:val="24"/>
        </w:rPr>
        <w:t xml:space="preserve">-one and classroom-based instruction. Moreover, Dubicki, (2013), states that the basic and foremost important focus of institutions of higher learning is to ensure that all faculties work in tandem to graduate </w:t>
      </w:r>
      <w:r>
        <w:rPr>
          <w:rFonts w:ascii="Times New Roman" w:eastAsia="Times New Roman" w:hAnsi="Times New Roman" w:cs="Times New Roman"/>
          <w:color w:val="000000"/>
          <w:spacing w:val="1"/>
          <w:sz w:val="24"/>
          <w:szCs w:val="24"/>
        </w:rPr>
        <w:t>information</w:t>
      </w:r>
      <w:r>
        <w:rPr>
          <w:rFonts w:ascii="Times New Roman" w:eastAsia="Times New Roman" w:hAnsi="Times New Roman" w:cs="Times New Roman"/>
          <w:color w:val="000000"/>
          <w:sz w:val="24"/>
          <w:szCs w:val="24"/>
        </w:rPr>
        <w:t xml:space="preserve">-literate students who can effectively utilize information literacy skills in the workplace, as well as make informed decisions in </w:t>
      </w:r>
      <w:r>
        <w:rPr>
          <w:rFonts w:ascii="Times New Roman" w:eastAsia="Times New Roman" w:hAnsi="Times New Roman" w:cs="Times New Roman"/>
          <w:color w:val="000000"/>
          <w:sz w:val="24"/>
          <w:szCs w:val="24"/>
        </w:rPr>
        <w:lastRenderedPageBreak/>
        <w:t>their personal lives, long after leaving the institutions of higher learning. This according to Dubicki (2013) is achieved through the development of a viable ILS curriculum that could help train ILS competencies to students.</w:t>
      </w:r>
    </w:p>
    <w:p w14:paraId="2B1D708F" w14:textId="77777777" w:rsidR="00B01D46" w:rsidRDefault="00B01D46">
      <w:pPr>
        <w:spacing w:after="0"/>
        <w:ind w:right="65"/>
        <w:rPr>
          <w:rFonts w:ascii="Times New Roman" w:hAnsi="Times New Roman" w:cs="Times New Roman"/>
          <w:sz w:val="24"/>
          <w:szCs w:val="24"/>
        </w:rPr>
      </w:pPr>
      <w:bookmarkStart w:id="2072" w:name="_Toc164664117"/>
    </w:p>
    <w:p w14:paraId="2373DDF1" w14:textId="77777777" w:rsidR="00B01D46" w:rsidRDefault="0067013E">
      <w:pPr>
        <w:pStyle w:val="Heading4"/>
      </w:pPr>
      <w:bookmarkStart w:id="2073" w:name="_Toc165973185"/>
      <w:bookmarkStart w:id="2074" w:name="_Toc165369340"/>
      <w:bookmarkStart w:id="2075" w:name="_Toc184272988"/>
      <w:bookmarkStart w:id="2076" w:name="_Toc165363532"/>
      <w:bookmarkStart w:id="2077" w:name="_Toc165975906"/>
      <w:bookmarkStart w:id="2078" w:name="_Toc165365306"/>
      <w:r>
        <w:t>6.3.2.2 Topics Covered by the ILS Curriculum</w:t>
      </w:r>
      <w:bookmarkEnd w:id="2072"/>
      <w:bookmarkEnd w:id="2073"/>
      <w:bookmarkEnd w:id="2074"/>
      <w:bookmarkEnd w:id="2075"/>
      <w:bookmarkEnd w:id="2076"/>
      <w:bookmarkEnd w:id="2077"/>
      <w:bookmarkEnd w:id="2078"/>
      <w:r>
        <w:t xml:space="preserve"> </w:t>
      </w:r>
    </w:p>
    <w:p w14:paraId="2F161EAC"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sought to establish the topics covered by the ILS curriculum. The findings revealed the majority of </w:t>
      </w:r>
      <w:r>
        <w:rPr>
          <w:rFonts w:ascii="Times New Roman" w:eastAsia="Calibri" w:hAnsi="Times New Roman" w:cs="Times New Roman"/>
          <w:bCs/>
          <w:sz w:val="24"/>
          <w:szCs w:val="24"/>
        </w:rPr>
        <w:t xml:space="preserve">204(79.99%), 174(68.22%), 186(72.94%), 186(72.94%), 215(84.31%), 169(64.26%), 210(82.34%), and 153(58.99%) of the students' respondents, together with, majority 57(91.94%), 56(90.33), 59(95.16%), 56 (90.33%), 58 (93.55%), 57 (91.94%), 59 (95.16%), and 58 (93.55%) of the lecturers agreed that </w:t>
      </w:r>
      <w:r>
        <w:rPr>
          <w:rFonts w:ascii="Times New Roman" w:eastAsia="Calibri" w:hAnsi="Times New Roman" w:cs="Times New Roman"/>
          <w:sz w:val="24"/>
          <w:szCs w:val="24"/>
        </w:rPr>
        <w:t>problem-solving and critical thinking skills; information search and retrieval; legal issues in information use; computer use and effective communication skills; integration of information; basic library guidelines on how to access library materials; and research skills were the topics covered by the ILS curriculum, in that order. Similarly, interviews results revealed that the ILS curriculum covered information search techniques, information use, plagiarism check and avoidance, citation methods, referencing techniques, integration of information, effective communication, writing skills, basic research skills, and computer literacy skills.</w:t>
      </w:r>
    </w:p>
    <w:p w14:paraId="7EA38831"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eastAsia="Calibri" w:hAnsi="Times New Roman" w:cs="Times New Roman"/>
          <w:sz w:val="24"/>
          <w:szCs w:val="24"/>
        </w:rPr>
        <w:t xml:space="preserve">The findings suggest that common information literacy skills programs offered to university medical undergraduate students include training on an information database search, communication skills, critical thinking skills, library usage skills, information ethics, information retrieval techniques, research skills, and basic computer studies. These findings clearly indicates that an ILS curriculum covers all the aspects that make a complete information literate student, that is, if the ILS curriculum is effectively delivered. The relational frame from Bruce’s six frames for </w:t>
      </w:r>
      <w:r>
        <w:rPr>
          <w:rFonts w:ascii="Times New Roman" w:eastAsia="Calibri" w:hAnsi="Times New Roman" w:cs="Times New Roman"/>
          <w:sz w:val="24"/>
          <w:szCs w:val="24"/>
        </w:rPr>
        <w:lastRenderedPageBreak/>
        <w:t>information literacy education approach states that a student and information literacy skills should be viewed and treated as one entity rather than separate entities. The model further alludes that an ILS curriculum should cover more complex information areas so as to enable students develop complex ILS understandings.  Thereby, aligning students to learn how to learn, become independent learners and lifelong learners</w:t>
      </w:r>
      <w:r>
        <w:rPr>
          <w:rFonts w:ascii="Times New Roman" w:hAnsi="Times New Roman" w:cs="Times New Roman"/>
          <w:sz w:val="24"/>
          <w:szCs w:val="24"/>
        </w:rPr>
        <w:t xml:space="preserve"> (Bruce, 2006)</w:t>
      </w:r>
      <w:r>
        <w:rPr>
          <w:rFonts w:ascii="Times New Roman" w:eastAsia="Calibri" w:hAnsi="Times New Roman" w:cs="Times New Roman"/>
          <w:sz w:val="24"/>
          <w:szCs w:val="24"/>
        </w:rPr>
        <w:t>. Thus, the relational frame advocates for designing instructing and learning areas that enhance developing complex understanding among students. These findings concur with Breivik, (2018) study which revealed that instructing</w:t>
      </w:r>
      <w:r>
        <w:rPr>
          <w:rFonts w:ascii="Times New Roman" w:hAnsi="Times New Roman" w:cs="Times New Roman"/>
          <w:sz w:val="24"/>
          <w:szCs w:val="24"/>
        </w:rPr>
        <w:t xml:space="preserve"> students to successfully access, critically assess and utilize information, and put into use skills learned to solve current and foreseeable challenges is a crucial goal of an ILS curriculum.</w:t>
      </w:r>
    </w:p>
    <w:p w14:paraId="62ACCC97" w14:textId="77777777" w:rsidR="00B01D46" w:rsidRDefault="00B01D46">
      <w:pPr>
        <w:spacing w:after="0" w:line="240" w:lineRule="auto"/>
        <w:ind w:right="65"/>
        <w:jc w:val="both"/>
        <w:rPr>
          <w:rFonts w:ascii="Times New Roman" w:eastAsia="Calibri" w:hAnsi="Times New Roman" w:cs="Times New Roman"/>
          <w:sz w:val="24"/>
          <w:szCs w:val="24"/>
        </w:rPr>
      </w:pPr>
    </w:p>
    <w:p w14:paraId="1A31A263" w14:textId="77777777" w:rsidR="00B01D46" w:rsidRDefault="0067013E">
      <w:pPr>
        <w:pStyle w:val="Heading4"/>
      </w:pPr>
      <w:bookmarkStart w:id="2079" w:name="_Toc165363533"/>
      <w:bookmarkStart w:id="2080" w:name="_Toc164664118"/>
      <w:bookmarkStart w:id="2081" w:name="_Toc165369341"/>
      <w:bookmarkStart w:id="2082" w:name="_Toc184272989"/>
      <w:bookmarkStart w:id="2083" w:name="_Toc165365307"/>
      <w:r>
        <w:t>6.3.2.3 Methods of ILS Delivery</w:t>
      </w:r>
      <w:bookmarkEnd w:id="2079"/>
      <w:bookmarkEnd w:id="2080"/>
      <w:bookmarkEnd w:id="2081"/>
      <w:bookmarkEnd w:id="2082"/>
      <w:bookmarkEnd w:id="2083"/>
    </w:p>
    <w:p w14:paraId="7D2F6828"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study sought to find out from the students and lecturers the various methods that were used to deliver the ILS curriculum to medical undergraduate students. The findings revealed that computers, face-to-face teaching, online materials, handouts, library orientation, WhatsApp group engagements, peer training, pre-recorded audio-video clips, and weekly librarian-student engagements, were the most common methods used for ILS delivery to medical undergraduate students, as noted by </w:t>
      </w:r>
      <w:r>
        <w:rPr>
          <w:rFonts w:ascii="Times New Roman" w:eastAsia="Calibri" w:hAnsi="Times New Roman" w:cs="Times New Roman"/>
          <w:bCs/>
          <w:sz w:val="24"/>
          <w:szCs w:val="24"/>
        </w:rPr>
        <w:t xml:space="preserve">224(87.84%), 234(91.76%), 241(94.50%), 190(74.50%) and 241(94.50%) </w:t>
      </w:r>
      <w:r>
        <w:rPr>
          <w:rFonts w:ascii="Times New Roman" w:hAnsi="Times New Roman" w:cs="Times New Roman"/>
          <w:sz w:val="24"/>
          <w:szCs w:val="24"/>
        </w:rPr>
        <w:t>of the students in that order as shown in table 5.14. Similarly,</w:t>
      </w:r>
      <w:r>
        <w:rPr>
          <w:rFonts w:ascii="Times New Roman" w:eastAsia="Calibri" w:hAnsi="Times New Roman" w:cs="Times New Roman"/>
          <w:bCs/>
          <w:sz w:val="24"/>
          <w:szCs w:val="24"/>
        </w:rPr>
        <w:t xml:space="preserve"> 58 (93.55%), 58(93.55%), 42 (67.74), 46 (74.20%), 49 (79.03%) and 55 (88.71%) of the lecturers stated that handouts, library orientation, WhatsApp group engagements, peer training, weekly librarian-student engagements/discourse and pre-recorded audio-visual video clips were used to impart ILS to undergraduate medical students respectively</w:t>
      </w:r>
      <w:r>
        <w:rPr>
          <w:rFonts w:ascii="Times New Roman" w:eastAsia="Calibri" w:hAnsi="Times New Roman" w:cs="Times New Roman"/>
          <w:sz w:val="24"/>
          <w:szCs w:val="24"/>
        </w:rPr>
        <w:t xml:space="preserve"> as illustrated in table 5.14.</w:t>
      </w:r>
    </w:p>
    <w:p w14:paraId="1EBBCF94"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lastRenderedPageBreak/>
        <w:t>In the same breath, interview responses revealed that computers</w:t>
      </w:r>
      <w:r>
        <w:rPr>
          <w:rFonts w:ascii="Times New Roman" w:hAnsi="Times New Roman" w:cs="Times New Roman"/>
          <w:b/>
          <w:bCs/>
          <w:i/>
          <w:iCs/>
          <w:sz w:val="24"/>
          <w:szCs w:val="24"/>
        </w:rPr>
        <w:t xml:space="preserve">, </w:t>
      </w:r>
      <w:r>
        <w:rPr>
          <w:rFonts w:ascii="Times New Roman" w:hAnsi="Times New Roman" w:cs="Times New Roman"/>
          <w:sz w:val="24"/>
          <w:szCs w:val="24"/>
        </w:rPr>
        <w:t>the formation of social media groups where the department engages with students on issues concerning access to information materials</w:t>
      </w:r>
      <w:r>
        <w:rPr>
          <w:rFonts w:ascii="Times New Roman" w:hAnsi="Times New Roman" w:cs="Times New Roman"/>
          <w:b/>
          <w:bCs/>
          <w:i/>
          <w:iCs/>
          <w:sz w:val="24"/>
          <w:szCs w:val="24"/>
        </w:rPr>
        <w:t>,</w:t>
      </w:r>
      <w:r>
        <w:rPr>
          <w:rFonts w:ascii="Times New Roman" w:hAnsi="Times New Roman" w:cs="Times New Roman"/>
          <w:sz w:val="24"/>
          <w:szCs w:val="24"/>
        </w:rPr>
        <w:t xml:space="preserve"> peer training, one on one teaching, and online materials offered to students are some of the methods used to deliver ILS to medical undergraduate students. Additionally, interview responses found that most of the institutions offer ILS classes via online platforms, library websites and library engagement forum. The findings also seem to suggest that computers facilitated utilization of (Information Technology) IT solutions like Google MEET and ZOOM to train information literacy skills to undergraduate medical students. This indicates the mode of ILS instruction is technology orientated and that there are variations in channels used to train students contributing high uptake of ILS among students. The relational frame of Bruce’s Six Frames Model supports these findings by stating that learning occurs when variations in ways of understanding are recognized. That is, ILS are learned when different means and ways are recognized and used to deliver the ILS content. The model states that “bringing about learning through widening experience and thus revealing variation, is the underlying principle” of ILS learning and teaching (Bruce, 2006).</w:t>
      </w:r>
    </w:p>
    <w:p w14:paraId="26171CC9" w14:textId="77777777" w:rsidR="00B01D46" w:rsidRDefault="0067013E">
      <w:pPr>
        <w:spacing w:before="12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rPr>
        <w:t xml:space="preserve">The findings agree with Bruce, (2009) study on information literacy training in Africa, which found that ILS instruction in higher education institutions has taken a variety of forms namely online tutorials, stand-alone courses or classes, workbooks, course-related instruction, or course-integrated instruction. In support of these findings, Kennedy-Clark (2013) study on the most common methods adopted in ILS training found that the common methods of delivering ILS are one-on-one sessions, library orientation, and formal or classroom instruction.  Similarly, in Baro and Zuokemefa's (2011) study on Information literacy programs in Nigeria: a survey of </w:t>
      </w:r>
      <w:r>
        <w:rPr>
          <w:rFonts w:ascii="Times New Roman" w:eastAsia="Calibri" w:hAnsi="Times New Roman" w:cs="Times New Roman"/>
          <w:sz w:val="24"/>
          <w:szCs w:val="24"/>
        </w:rPr>
        <w:lastRenderedPageBreak/>
        <w:t>36 university libraries revealed that the common methods of ILS delivery were</w:t>
      </w:r>
      <w:r>
        <w:rPr>
          <w:rFonts w:ascii="Times New Roman" w:eastAsia="Calibri" w:hAnsi="Times New Roman" w:cs="Times New Roman"/>
          <w:sz w:val="24"/>
          <w:szCs w:val="24"/>
          <w:shd w:val="clear" w:color="auto" w:fill="FFFFFF"/>
        </w:rPr>
        <w:t xml:space="preserve"> face‐to‐face in the library training room and face‐to‐face in a venue external to the library. However, their study found that there was limited online training because the libraries require adequate IT personnel who are skilled in using technology, absence of facilities such as modern computers with internet connectivity in some university libraries, and unreliable power supply.</w:t>
      </w:r>
    </w:p>
    <w:p w14:paraId="5FB81173" w14:textId="77777777" w:rsidR="00B01D46" w:rsidRDefault="0067013E">
      <w:pPr>
        <w:pStyle w:val="Heading4"/>
      </w:pPr>
      <w:bookmarkStart w:id="2084" w:name="_Toc165973186"/>
      <w:bookmarkStart w:id="2085" w:name="_Toc165975907"/>
      <w:bookmarkStart w:id="2086" w:name="_Toc165369342"/>
      <w:bookmarkStart w:id="2087" w:name="_Toc165365308"/>
      <w:bookmarkStart w:id="2088" w:name="_Toc164664119"/>
      <w:bookmarkStart w:id="2089" w:name="_Toc184272990"/>
      <w:bookmarkStart w:id="2090" w:name="_Toc165363534"/>
      <w:r>
        <w:t>6.3.2.4 Who Teaches ILS</w:t>
      </w:r>
      <w:bookmarkEnd w:id="2084"/>
      <w:bookmarkEnd w:id="2085"/>
      <w:bookmarkEnd w:id="2086"/>
      <w:bookmarkEnd w:id="2087"/>
      <w:bookmarkEnd w:id="2088"/>
      <w:bookmarkEnd w:id="2089"/>
      <w:bookmarkEnd w:id="2090"/>
    </w:p>
    <w:p w14:paraId="33825F17" w14:textId="77777777" w:rsidR="00B01D46" w:rsidRDefault="0067013E">
      <w:pPr>
        <w:spacing w:after="0" w:line="480" w:lineRule="auto"/>
        <w:ind w:right="65"/>
        <w:jc w:val="both"/>
        <w:rPr>
          <w:rFonts w:ascii="Times New Roman" w:hAnsi="Times New Roman" w:cs="Times New Roman"/>
          <w:color w:val="333333"/>
          <w:sz w:val="24"/>
          <w:szCs w:val="24"/>
        </w:rPr>
      </w:pPr>
      <w:r>
        <w:rPr>
          <w:rFonts w:ascii="Times New Roman" w:eastAsia="Calibri" w:hAnsi="Times New Roman" w:cs="Times New Roman"/>
          <w:sz w:val="24"/>
          <w:szCs w:val="24"/>
        </w:rPr>
        <w:t>The respondents were asked to state who teaches ILS to undergraduate medical students. The Heads of departments, heads of medical librarians, and university librarians noted</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that lecturers and librarians were involved in teaching ILS.  However, the findings further revealed that librarians are partially involved in ILS content delivery and in many occasions, they simply took instructions from the communication skills unit lecturers on what they are to teach yet the teaching is supposed to be done collaboratively. The findings suggest that ILS teaching is not done collaboratively and this might be the reason why in spite of the availability of an elaborate ILS curriculum, students have limited/ underdeveloped information literacy skills. The findings also indicate that i</w:t>
      </w:r>
      <w:r>
        <w:rPr>
          <w:rFonts w:ascii="Times New Roman" w:eastAsia="Calibri" w:hAnsi="Times New Roman" w:cs="Times New Roman"/>
          <w:sz w:val="24"/>
          <w:szCs w:val="24"/>
          <w:shd w:val="clear" w:color="auto" w:fill="FFFFFF"/>
        </w:rPr>
        <w:t xml:space="preserve">t is not enough to embed information literacy skills into the curriculum, lecturers and librarians should model information literacy skills instruction and also model collaboration to strengthen the integration. The relational frame in Bruce’s Six Frame model, argues that learning and teaching of ILS should be a collective endeavor because the process involves changing a student's perception, and that teachers must help students create new and more complex ways of learning and applying ILS. The theory further states that the trainers should be more </w:t>
      </w:r>
      <w:r>
        <w:rPr>
          <w:rFonts w:ascii="Times New Roman" w:hAnsi="Times New Roman" w:cs="Times New Roman"/>
          <w:color w:val="333333"/>
          <w:sz w:val="24"/>
          <w:szCs w:val="24"/>
        </w:rPr>
        <w:t xml:space="preserve">focused in developing learning procedures that encourage the formation of professional thinking patterns and how to assist students generate </w:t>
      </w:r>
      <w:r>
        <w:rPr>
          <w:rFonts w:ascii="Times New Roman" w:hAnsi="Times New Roman" w:cs="Times New Roman"/>
          <w:color w:val="333333"/>
          <w:sz w:val="24"/>
          <w:szCs w:val="24"/>
        </w:rPr>
        <w:lastRenderedPageBreak/>
        <w:t>knowledge effectively. Furthermore, the theory states that this will not be achieved if the training is not conducted collaboratively among the stakeholders involved in content delivery.</w:t>
      </w:r>
    </w:p>
    <w:p w14:paraId="2B86C7EE"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shd w:val="clear" w:color="auto" w:fill="FFFFFF"/>
        </w:rPr>
        <w:t>The findings corroborate with</w:t>
      </w:r>
      <w:r>
        <w:rPr>
          <w:rFonts w:ascii="Times New Roman" w:eastAsia="Calibri" w:hAnsi="Times New Roman" w:cs="Times New Roman"/>
          <w:sz w:val="24"/>
          <w:szCs w:val="24"/>
        </w:rPr>
        <w:t xml:space="preserve"> Derakhshan and Singh's (2011) study on the integration of information literacy into the curriculum: a meta-synthesis that found that lecturers and some faculty members were/ are unwilling to collaborate with librarians, they do not view librarians as partners and they are reluctant to integrate ILS into their curriculum. This view is supported by Wheeler and McKinney (2015) who assert that despite librarians being well placed to teach ILS as an extension of library skills, they are overlooked by faculty members. </w:t>
      </w:r>
    </w:p>
    <w:p w14:paraId="6CB0AF61"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eastAsia="Calibri" w:hAnsi="Times New Roman" w:cs="Times New Roman"/>
          <w:sz w:val="24"/>
          <w:szCs w:val="24"/>
        </w:rPr>
        <w:t>Similarly, Lwehabura</w:t>
      </w:r>
      <w:r>
        <w:rPr>
          <w:rFonts w:ascii="Times New Roman" w:hAnsi="Times New Roman" w:cs="Times New Roman"/>
          <w:sz w:val="24"/>
          <w:szCs w:val="24"/>
        </w:rPr>
        <w:t xml:space="preserve"> and Stilwell's (2008) study on impediments to information literacy implementation in Tanzanian universities, revealed that inadequacy of resources and lack of teamwork among librarians and lecturers in information literacy activities were challenges facing information literacy skills training effectiveness. They further contend that these impediments occur because most institutions are not conversant with the role that ILS play in improving research and learning among undergraduate students. </w:t>
      </w:r>
    </w:p>
    <w:p w14:paraId="514505BD" w14:textId="77777777" w:rsidR="00B01D46" w:rsidRDefault="0067013E">
      <w:pPr>
        <w:spacing w:before="120"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rPr>
        <w:t xml:space="preserve">Scholars in ILS </w:t>
      </w:r>
      <w:r>
        <w:rPr>
          <w:rFonts w:ascii="Times New Roman" w:hAnsi="Times New Roman" w:cs="Times New Roman"/>
          <w:sz w:val="24"/>
          <w:szCs w:val="24"/>
        </w:rPr>
        <w:t xml:space="preserve">(Kavulya, 2003; Nyamboga, 2005; Kanguha, 2016; Tewell, 2015 ; Hearn, 2005; Edzan, 2008; Lwehabura, 2018; and Baro and Zuokemefa, 2011) in their various study findings have found that absence of collaboration between librarians and faculty is a major hindrance to successful ILS teaching and learning. As a result, they have separately advocated for collaboration between librarians and lectures to develop and deliver ILS to students in higher institutions of learning. </w:t>
      </w:r>
    </w:p>
    <w:p w14:paraId="5FF9F3E8" w14:textId="77777777" w:rsidR="00B01D46" w:rsidRDefault="0067013E">
      <w:pPr>
        <w:spacing w:before="12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rPr>
        <w:lastRenderedPageBreak/>
        <w:t>These findings differ B</w:t>
      </w:r>
      <w:r>
        <w:rPr>
          <w:rFonts w:ascii="Times New Roman" w:eastAsia="Calibri" w:hAnsi="Times New Roman" w:cs="Times New Roman"/>
          <w:sz w:val="24"/>
          <w:szCs w:val="24"/>
          <w:shd w:val="clear" w:color="auto" w:fill="FFFFFF"/>
        </w:rPr>
        <w:t>ruce's (2001) study on f</w:t>
      </w:r>
      <w:r>
        <w:rPr>
          <w:rFonts w:ascii="Times New Roman" w:eastAsia="Calibri" w:hAnsi="Times New Roman" w:cs="Times New Roman"/>
          <w:sz w:val="24"/>
          <w:szCs w:val="24"/>
        </w:rPr>
        <w:t>aculty‐librarian partnerships in Australian higher education: critical dimensions which revealed that l</w:t>
      </w:r>
      <w:r>
        <w:rPr>
          <w:rFonts w:ascii="Times New Roman" w:eastAsia="Calibri" w:hAnsi="Times New Roman" w:cs="Times New Roman"/>
          <w:sz w:val="24"/>
          <w:szCs w:val="24"/>
          <w:shd w:val="clear" w:color="auto" w:fill="FFFFFF"/>
        </w:rPr>
        <w:t>ibrarians have established successful partnerships at a variety of levels and have discerned the critical features of the university agenda which enable them to contribute effectively. Some librarians have been able to use the broad interest in lifelong learning to work closely with faculty in raising the profile of information literacy skills and constructing a university‐wide focus on information literacy skills as a key to student learning. Examples of such institutions as elaborated by Bruce (2001) are the University of Ballarat, the Australian Catholic University, Central Queensland University (Orr &amp; Appleton, 2001), and the University of South Australia (George et al, 2001). In many institutions, the emphasis on flexible delivery has enabled collaborative work on product development or curriculum design.</w:t>
      </w:r>
    </w:p>
    <w:p w14:paraId="130EF9BB" w14:textId="77777777" w:rsidR="00B01D46" w:rsidRDefault="0067013E">
      <w:pPr>
        <w:pStyle w:val="Heading4"/>
      </w:pPr>
      <w:bookmarkStart w:id="2091" w:name="_Toc165975908"/>
      <w:bookmarkStart w:id="2092" w:name="_Toc165369343"/>
      <w:bookmarkStart w:id="2093" w:name="_Toc165973187"/>
      <w:bookmarkStart w:id="2094" w:name="_Toc165363535"/>
      <w:bookmarkStart w:id="2095" w:name="_Toc165365309"/>
      <w:bookmarkStart w:id="2096" w:name="_Toc184272991"/>
      <w:r>
        <w:t>6.3.2.5 Techniques for Assessing the Effectiveness of the ILS Curriculum</w:t>
      </w:r>
      <w:bookmarkEnd w:id="2091"/>
      <w:bookmarkEnd w:id="2092"/>
      <w:bookmarkEnd w:id="2093"/>
      <w:bookmarkEnd w:id="2094"/>
      <w:bookmarkEnd w:id="2095"/>
      <w:bookmarkEnd w:id="2096"/>
      <w:r>
        <w:t xml:space="preserve">  </w:t>
      </w:r>
    </w:p>
    <w:p w14:paraId="408F245F"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University librarians, heads of departments, and heads of medical librarians were asked to state the various techniques used to assess the effectiveness of the ILS curriculum delivery. The findings revealed that several methods were used such as focus groups, concept maps, CATs, information assessment techniques, written examination in the Communication Skills Unit, </w:t>
      </w:r>
      <w:r>
        <w:rPr>
          <w:rFonts w:ascii="Times New Roman" w:eastAsia="Calibri" w:hAnsi="Times New Roman" w:cs="Times New Roman"/>
          <w:sz w:val="24"/>
          <w:szCs w:val="24"/>
        </w:rPr>
        <w:t xml:space="preserve">on the spot assessment, </w:t>
      </w:r>
      <w:r>
        <w:rPr>
          <w:rFonts w:ascii="Times New Roman" w:hAnsi="Times New Roman" w:cs="Times New Roman"/>
          <w:sz w:val="24"/>
          <w:szCs w:val="24"/>
        </w:rPr>
        <w:t xml:space="preserve">clinical presentations, ng, knowledge tests through creative clinical and research papers, and ILS feedback forms. In addition, the findings revealed that Librarians more often use concept maps. Because concept maps offer unique opportunities to help students integrate new concepts into their existing understanding of information seeking, evaluation and use, and to allow the instructors to gauge the understanding level. </w:t>
      </w:r>
      <w:bookmarkStart w:id="2097" w:name="_Hlk147487823"/>
      <w:r>
        <w:rPr>
          <w:rFonts w:ascii="Times New Roman" w:hAnsi="Times New Roman" w:cs="Times New Roman"/>
          <w:sz w:val="24"/>
          <w:szCs w:val="24"/>
        </w:rPr>
        <w:t xml:space="preserve">The findings suggest that assessment on ILS learning is conducted through summative assessment which seeks to gauge what students have learned at the conclusion of a </w:t>
      </w:r>
      <w:r>
        <w:rPr>
          <w:rFonts w:ascii="Times New Roman" w:hAnsi="Times New Roman" w:cs="Times New Roman"/>
          <w:sz w:val="24"/>
          <w:szCs w:val="24"/>
        </w:rPr>
        <w:lastRenderedPageBreak/>
        <w:t>learning session by juxtaposing it to some norm or guideline</w:t>
      </w:r>
      <w:bookmarkEnd w:id="2097"/>
      <w:r>
        <w:rPr>
          <w:rFonts w:ascii="Times New Roman" w:hAnsi="Times New Roman" w:cs="Times New Roman"/>
          <w:sz w:val="24"/>
          <w:szCs w:val="24"/>
        </w:rPr>
        <w:t>. These findings indicate that this form of assessment might be another reason why students have underdeveloped ILS, because once the assessment is done at end of a training exercise, there</w:t>
      </w:r>
      <w:r>
        <w:rPr>
          <w:rFonts w:ascii="Times New Roman" w:hAnsi="Times New Roman" w:cs="Times New Roman"/>
          <w:color w:val="000000"/>
          <w:sz w:val="24"/>
          <w:szCs w:val="24"/>
          <w:shd w:val="clear" w:color="auto" w:fill="FFFFFF"/>
        </w:rPr>
        <w:t xml:space="preserve"> isn’t time or another session to address students’ weaknesses found by assessments. Also, the method puts students under stress which affect ILS learning among the students. the suggestions are supported by the assessment techniques of the relational frame of the six frames model, which </w:t>
      </w:r>
      <w:r>
        <w:rPr>
          <w:rFonts w:ascii="Times New Roman" w:hAnsi="Times New Roman" w:cs="Times New Roman"/>
          <w:sz w:val="24"/>
          <w:szCs w:val="24"/>
          <w:shd w:val="clear" w:color="auto" w:fill="FFFFFF"/>
        </w:rPr>
        <w:t>argue that a</w:t>
      </w:r>
      <w:r>
        <w:rPr>
          <w:rFonts w:ascii="Times New Roman" w:hAnsi="Times New Roman" w:cs="Times New Roman"/>
          <w:sz w:val="24"/>
          <w:szCs w:val="24"/>
        </w:rPr>
        <w:t>ssessment is designed to identify which ways of seeing IL, or other relevant phenomenon, students have learned to discern.</w:t>
      </w:r>
    </w:p>
    <w:p w14:paraId="4E731525" w14:textId="77777777" w:rsidR="00B01D46" w:rsidRDefault="0067013E">
      <w:pPr>
        <w:spacing w:before="120" w:line="480" w:lineRule="auto"/>
        <w:ind w:right="65"/>
        <w:jc w:val="both"/>
        <w:rPr>
          <w:rFonts w:ascii="Times New Roman" w:hAnsi="Times New Roman" w:cs="Times New Roman"/>
          <w:sz w:val="24"/>
          <w:szCs w:val="24"/>
        </w:rPr>
      </w:pPr>
      <w:r>
        <w:rPr>
          <w:rFonts w:ascii="Times New Roman" w:hAnsi="Times New Roman" w:cs="Times New Roman"/>
          <w:sz w:val="24"/>
          <w:szCs w:val="24"/>
        </w:rPr>
        <w:t>In support of these findings, Bruce (2013) states that the effectiveness of ILS training is an examination and assessment testing. Furthermore, Bundy (2004) posits that the effectiveness and efficiency of information literacy skills, should be assessed on sound elements which include generic skills – that is problem-solving, collaboration, teamwork, communication, and critical thinking; information skills- that is information seeking, information use, information technology fluency; and values and beliefs- that is using information wisely and ethically, social responsibility and community participation. This will ensure that the students have the necessary knowledge and skills for long-life learning.</w:t>
      </w:r>
    </w:p>
    <w:p w14:paraId="2FFF14F8" w14:textId="77777777" w:rsidR="00B01D46" w:rsidRDefault="0067013E">
      <w:pPr>
        <w:pStyle w:val="Heading2"/>
      </w:pPr>
      <w:bookmarkStart w:id="2098" w:name="_Toc164664120"/>
      <w:bookmarkStart w:id="2099" w:name="_Toc165363536"/>
      <w:bookmarkStart w:id="2100" w:name="_Toc165973188"/>
      <w:bookmarkStart w:id="2101" w:name="_Toc165975909"/>
      <w:bookmarkStart w:id="2102" w:name="_Toc165365310"/>
      <w:bookmarkStart w:id="2103" w:name="_Toc165369344"/>
      <w:bookmarkStart w:id="2104" w:name="_Toc184272992"/>
      <w:r>
        <w:t xml:space="preserve">6.4 </w:t>
      </w:r>
      <w:bookmarkStart w:id="2105" w:name="_Hlk115198777"/>
      <w:r>
        <w:t>ILS</w:t>
      </w:r>
      <w:bookmarkEnd w:id="2105"/>
      <w:r>
        <w:t xml:space="preserve"> Understanding among Medical Undergraduate Students</w:t>
      </w:r>
      <w:bookmarkEnd w:id="2098"/>
      <w:bookmarkEnd w:id="2099"/>
      <w:bookmarkEnd w:id="2100"/>
      <w:bookmarkEnd w:id="2101"/>
      <w:bookmarkEnd w:id="2102"/>
      <w:bookmarkEnd w:id="2103"/>
      <w:bookmarkEnd w:id="2104"/>
    </w:p>
    <w:p w14:paraId="67D4307A" w14:textId="77777777" w:rsidR="00B01D46" w:rsidRDefault="0067013E">
      <w:pPr>
        <w:shd w:val="clear" w:color="auto" w:fill="FFFFFF"/>
        <w:spacing w:after="0" w:line="480" w:lineRule="auto"/>
        <w:ind w:right="65"/>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According to Adekunle et al (2019) attitude determines not only altitude but everything in life. It dictates how individuals respond to situations and shapes decisions and actions. It sums up individual perceptions, dispositions, notions, ideas, fears, convictions, inclinations and worldview about a given phenomenon or topic. Gajalakshmi (2013) notes that attitudes have three components which are affective, cognitive and behavioral towards a particular entity. Furthermore, Gajalakshmi </w:t>
      </w:r>
      <w:r>
        <w:rPr>
          <w:rFonts w:ascii="Times New Roman" w:eastAsia="Calibri" w:hAnsi="Times New Roman" w:cs="Times New Roman"/>
          <w:bCs/>
          <w:sz w:val="24"/>
          <w:szCs w:val="24"/>
        </w:rPr>
        <w:lastRenderedPageBreak/>
        <w:t>(2011) state that attitude is the most powerful determinant of information literacy skills acquisition by students and students’ perception, attitude and experience are significantly related to information literacy skills.</w:t>
      </w:r>
    </w:p>
    <w:p w14:paraId="5254B5F9" w14:textId="77777777" w:rsidR="00B01D46" w:rsidRDefault="00B01D46">
      <w:pPr>
        <w:shd w:val="clear" w:color="auto" w:fill="FFFFFF"/>
        <w:spacing w:after="0" w:line="240" w:lineRule="auto"/>
        <w:ind w:right="65"/>
        <w:jc w:val="both"/>
        <w:rPr>
          <w:rFonts w:ascii="Times New Roman" w:eastAsia="Calibri" w:hAnsi="Times New Roman" w:cs="Times New Roman"/>
          <w:bCs/>
          <w:sz w:val="24"/>
          <w:szCs w:val="24"/>
        </w:rPr>
      </w:pPr>
    </w:p>
    <w:p w14:paraId="16D602C0" w14:textId="77777777" w:rsidR="00B01D46" w:rsidRDefault="0067013E">
      <w:pPr>
        <w:pStyle w:val="Heading3"/>
        <w:ind w:right="65"/>
        <w:rPr>
          <w:szCs w:val="24"/>
        </w:rPr>
      </w:pPr>
      <w:bookmarkStart w:id="2106" w:name="_Toc164664121"/>
      <w:bookmarkStart w:id="2107" w:name="_Toc165975910"/>
      <w:bookmarkStart w:id="2108" w:name="_Toc165973189"/>
      <w:bookmarkStart w:id="2109" w:name="_Toc165365311"/>
      <w:bookmarkStart w:id="2110" w:name="_Toc165363537"/>
      <w:bookmarkStart w:id="2111" w:name="_Toc184272993"/>
      <w:bookmarkStart w:id="2112" w:name="_Toc165369345"/>
      <w:r>
        <w:rPr>
          <w:szCs w:val="24"/>
        </w:rPr>
        <w:t>6.4.1 Students’ Views towards ILS Training and Learning</w:t>
      </w:r>
      <w:bookmarkEnd w:id="2106"/>
      <w:bookmarkEnd w:id="2107"/>
      <w:bookmarkEnd w:id="2108"/>
      <w:bookmarkEnd w:id="2109"/>
      <w:bookmarkEnd w:id="2110"/>
      <w:bookmarkEnd w:id="2111"/>
      <w:bookmarkEnd w:id="2112"/>
    </w:p>
    <w:p w14:paraId="2B344BCE" w14:textId="77777777" w:rsidR="00B01D46" w:rsidRDefault="0067013E">
      <w:pPr>
        <w:spacing w:after="0" w:line="480" w:lineRule="auto"/>
        <w:ind w:right="65"/>
        <w:jc w:val="both"/>
        <w:rPr>
          <w:rFonts w:ascii="Times New Roman" w:hAnsi="Times New Roman" w:cs="Times New Roman"/>
          <w:sz w:val="24"/>
          <w:szCs w:val="24"/>
        </w:rPr>
      </w:pPr>
      <w:r>
        <w:rPr>
          <w:rFonts w:ascii="Times New Roman" w:eastAsia="Calibri" w:hAnsi="Times New Roman" w:cs="Times New Roman"/>
          <w:sz w:val="24"/>
          <w:szCs w:val="24"/>
        </w:rPr>
        <w:t xml:space="preserve">The study sought to find out students' and staff's attitudes toward ILS training and learning. The findings revealed that 143 (63.56%) of the students and 32(51%) of the lecturers stated that students had a negative attitude toward ILS training and learning.  The results indicated that many students don’t show interest during the ILS training, few show up for the ILS training, students think ILS training is all about library tours, and they don’t ask any questions during the training Likewise, interviews conducted with university librarians, heads of departments, and heads of medical librarians revealed that revealed that students have a negative attitude towards ILS learning and training and as such, </w:t>
      </w:r>
      <w:r>
        <w:rPr>
          <w:rFonts w:ascii="Times New Roman" w:hAnsi="Times New Roman" w:cs="Times New Roman"/>
          <w:sz w:val="24"/>
          <w:szCs w:val="24"/>
        </w:rPr>
        <w:t>that they display casual attitudes when they are called upon to attend orientation programs, webinar seminar trainings on ILS and one-on-one ILS training.</w:t>
      </w:r>
    </w:p>
    <w:p w14:paraId="104CDF54"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students who were negative towards ILS cited the reasons for their indifference as trainers were not audible enough when they were teaching them, the class was overpopulated, the learned skills have not helped them in their academic journey, some topics were difficult to understand, inadequate time spent on training sessions and lack of awareness about library resource usage training. </w:t>
      </w:r>
    </w:p>
    <w:p w14:paraId="7020438C" w14:textId="77777777" w:rsidR="00B01D46" w:rsidRDefault="0067013E">
      <w:pPr>
        <w:pStyle w:val="inline"/>
        <w:spacing w:before="120" w:beforeAutospacing="0" w:after="0" w:afterAutospacing="0" w:line="480" w:lineRule="auto"/>
        <w:ind w:right="65"/>
        <w:jc w:val="both"/>
        <w:rPr>
          <w:color w:val="333333"/>
        </w:rPr>
      </w:pPr>
      <w:r>
        <w:rPr>
          <w:rFonts w:eastAsia="Calibri"/>
        </w:rPr>
        <w:t xml:space="preserve">The findings suggest that medical students have not developed firm self-efficacy which in turn make them unsuccessful in learning ILS due to decreased motivation. This is an indication that the pedagogical strategies applied by trainers were ineffective and hence did not motivate students enough to develop eagerness to learn </w:t>
      </w:r>
      <w:r>
        <w:rPr>
          <w:rFonts w:eastAsia="Calibri"/>
        </w:rPr>
        <w:lastRenderedPageBreak/>
        <w:t xml:space="preserve">ILS. </w:t>
      </w:r>
      <w:r>
        <w:t xml:space="preserve">The relational frame of the six frames concurs with these findings by stating that information literacy skills gained by a learner are directly proportional to the learner’s attitude. In addition, the model advocates for learning of pedagogical skills among the trainers to enable them (trainers) develop and sustain the interest of a learner. The relational frame state that </w:t>
      </w:r>
      <w:r>
        <w:rPr>
          <w:color w:val="333333"/>
        </w:rPr>
        <w:t>learning is about changes in conception — teachers need to assist students in developing new and more complex ways of experiencing information literacy skills.</w:t>
      </w:r>
    </w:p>
    <w:p w14:paraId="20CC4E3E" w14:textId="77777777" w:rsidR="00B01D46" w:rsidRDefault="0067013E">
      <w:pPr>
        <w:pStyle w:val="inline"/>
        <w:spacing w:before="120" w:beforeAutospacing="0" w:after="0" w:afterAutospacing="0" w:line="480" w:lineRule="auto"/>
        <w:ind w:right="65"/>
        <w:jc w:val="both"/>
        <w:rPr>
          <w:color w:val="333333"/>
        </w:rPr>
      </w:pPr>
      <w:r>
        <w:rPr>
          <w:rFonts w:eastAsia="Calibri"/>
          <w:shd w:val="clear" w:color="auto" w:fill="FFFFFF"/>
        </w:rPr>
        <w:t xml:space="preserve">A study by Bandura, </w:t>
      </w:r>
      <w:r>
        <w:rPr>
          <w:rFonts w:eastAsia="Calibri"/>
          <w:u w:val="single"/>
          <w:shd w:val="clear" w:color="auto" w:fill="FFFFFF"/>
        </w:rPr>
        <w:t>(</w:t>
      </w:r>
      <w:r>
        <w:rPr>
          <w:rFonts w:eastAsia="Calibri"/>
          <w:shd w:val="clear" w:color="auto" w:fill="FFFFFF"/>
        </w:rPr>
        <w:t>1997) found that students with firm self-efficacy beliefs achieve successful outcomes due to increased motivation, effort, and focus on the task at hand while having decreasing anxiety and dispelling negative thinking. Additionally, students with higher self-efficacy will most likely aim for higher goals and use more effective self-monitoring strategies (Waldman, 2003).</w:t>
      </w:r>
    </w:p>
    <w:p w14:paraId="58E26814"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Furthermore, these findings mirror Adekunle (2019) study on the attitude of undergraduate Students to Information Literacy: Bowen University which revealed that students had a negative perception on ILS training because they felt that the course was not helpful to them, information materials used were difficult to understand, instructors were boring and very unfriendly. Furthermore, Ondari-Okemwa (2016) study allude to the imperative nature someone’s perception as a reagent of learning experience. Additionally, ILS scholars (Ahmed and Bora, 2012; Beetham, 2011; Gajalakshmi, 2013) agree that perception is a crucial factor in ILS learning and teaching. They observe that there is a direct correlation between learner’s attitude and academic prowess, concluding that undergraduates who have a positive attitude gain more in the learning process. </w:t>
      </w:r>
    </w:p>
    <w:p w14:paraId="00BFB304"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However, these findings are in contrary to the results of a study conducted by Lanning (2002) on information literacy attitudes of students in Malaysia which outlined that ILS instruction enables students to become information literate, hence able to recognize when information is needed and have the ability to locate, evaluate and use effectively the needed information. In addition, Brant (2001) states that ILS learning and training enable individuals to use computers, databases, and other techniques to gain a wide range of academic information. Likewise, State </w:t>
      </w:r>
      <w:r>
        <w:rPr>
          <w:rFonts w:ascii="Times New Roman" w:eastAsia="Calibri" w:hAnsi="Times New Roman" w:cs="Times New Roman"/>
          <w:i/>
          <w:iCs/>
          <w:sz w:val="24"/>
          <w:szCs w:val="24"/>
        </w:rPr>
        <w:t>et al.</w:t>
      </w:r>
      <w:r>
        <w:rPr>
          <w:rFonts w:ascii="Times New Roman" w:eastAsia="Calibri" w:hAnsi="Times New Roman" w:cs="Times New Roman"/>
          <w:sz w:val="24"/>
          <w:szCs w:val="24"/>
        </w:rPr>
        <w:t> (2013) investigated and analyzed students' perceptions, attitudes, and experience of IL skills in three Nigerian universities by applying the quantitative method. The results showed that students' perceptions of IL skills were high. It further revealed that students' perceptions, attitudes, and experiences were significantly associated with IL skills.</w:t>
      </w:r>
    </w:p>
    <w:p w14:paraId="55435B92" w14:textId="77777777" w:rsidR="00B01D46" w:rsidRDefault="00B01D46">
      <w:pPr>
        <w:spacing w:after="0" w:line="240" w:lineRule="auto"/>
        <w:ind w:right="65"/>
        <w:jc w:val="both"/>
        <w:rPr>
          <w:rFonts w:ascii="Times New Roman" w:eastAsia="Calibri" w:hAnsi="Times New Roman" w:cs="Times New Roman"/>
          <w:sz w:val="24"/>
          <w:szCs w:val="24"/>
        </w:rPr>
      </w:pPr>
    </w:p>
    <w:p w14:paraId="141CD5F2" w14:textId="77777777" w:rsidR="00B01D46" w:rsidRDefault="0067013E">
      <w:pPr>
        <w:pStyle w:val="Heading3"/>
      </w:pPr>
      <w:bookmarkStart w:id="2113" w:name="_Toc165975911"/>
      <w:bookmarkStart w:id="2114" w:name="_Toc164664122"/>
      <w:bookmarkStart w:id="2115" w:name="_Toc165973190"/>
      <w:bookmarkStart w:id="2116" w:name="_Toc184272994"/>
      <w:bookmarkStart w:id="2117" w:name="_Toc165363538"/>
      <w:bookmarkStart w:id="2118" w:name="_Toc165365312"/>
      <w:bookmarkStart w:id="2119" w:name="_Toc165369346"/>
      <w:r>
        <w:t>6.4.2 Students’ Library Experience after ILS Training and Learning</w:t>
      </w:r>
      <w:bookmarkEnd w:id="2113"/>
      <w:bookmarkEnd w:id="2114"/>
      <w:bookmarkEnd w:id="2115"/>
      <w:bookmarkEnd w:id="2116"/>
      <w:bookmarkEnd w:id="2117"/>
      <w:bookmarkEnd w:id="2118"/>
      <w:bookmarkEnd w:id="2119"/>
    </w:p>
    <w:p w14:paraId="3148650E"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The respondents were asked to rate their library experience after undergoing ILS training. </w:t>
      </w:r>
      <w:r>
        <w:rPr>
          <w:rFonts w:ascii="Times New Roman" w:eastAsia="Calibri" w:hAnsi="Times New Roman" w:cs="Times New Roman"/>
          <w:sz w:val="24"/>
          <w:szCs w:val="24"/>
        </w:rPr>
        <w:t xml:space="preserve">The results revealed that 189(74.11%), 198(77.64%), </w:t>
      </w:r>
      <w:r>
        <w:rPr>
          <w:rFonts w:ascii="Times New Roman" w:eastAsia="Times New Roman" w:hAnsi="Times New Roman" w:cs="Times New Roman"/>
          <w:color w:val="000000"/>
          <w:sz w:val="24"/>
          <w:szCs w:val="24"/>
        </w:rPr>
        <w:t>186 (72.94%), and 183(71.76%) of the students</w:t>
      </w:r>
      <w:r>
        <w:rPr>
          <w:rFonts w:ascii="Times New Roman" w:eastAsia="Calibri" w:hAnsi="Times New Roman" w:cs="Times New Roman"/>
          <w:sz w:val="24"/>
          <w:szCs w:val="24"/>
        </w:rPr>
        <w:t xml:space="preserve">, together with 52 (83.87%), 53 (85.48%), </w:t>
      </w:r>
      <w:r>
        <w:rPr>
          <w:rFonts w:ascii="Times New Roman" w:eastAsia="Times New Roman" w:hAnsi="Times New Roman" w:cs="Times New Roman"/>
          <w:color w:val="000000"/>
          <w:sz w:val="24"/>
          <w:szCs w:val="24"/>
        </w:rPr>
        <w:t xml:space="preserve">56 (90.32%), 54 (87.09%) and 51 (82.26%) of the lecturers, </w:t>
      </w:r>
      <w:r>
        <w:rPr>
          <w:rFonts w:ascii="Times New Roman" w:eastAsia="Calibri" w:hAnsi="Times New Roman" w:cs="Times New Roman"/>
          <w:sz w:val="24"/>
          <w:szCs w:val="24"/>
        </w:rPr>
        <w:t xml:space="preserve">agreed that students use the library resources to write their term papers and to satisfy their general information needs, know </w:t>
      </w:r>
      <w:r>
        <w:rPr>
          <w:rFonts w:ascii="Times New Roman" w:eastAsia="Times New Roman" w:hAnsi="Times New Roman" w:cs="Times New Roman"/>
          <w:color w:val="000000"/>
          <w:sz w:val="24"/>
          <w:szCs w:val="24"/>
        </w:rPr>
        <w:t xml:space="preserve">how to get specific titles easily using the library’s online public access library catalog, and can find and use various library resources like books, journals, and audiovisual videos, in that order. Similarly, university librarians, heads of departments, and heads of medical librarians who were interviewed stated that after undergoing ILS training and learning undergraduate medical students can search for information in the library without any problems, they know the various sources of information available in the library, usage of online information resources had greatly improved, </w:t>
      </w:r>
      <w:r>
        <w:rPr>
          <w:rFonts w:ascii="Times New Roman" w:eastAsia="Calibri" w:hAnsi="Times New Roman" w:cs="Times New Roman"/>
          <w:sz w:val="24"/>
          <w:szCs w:val="24"/>
        </w:rPr>
        <w:t xml:space="preserve">there was a remarkable reduction in the number of reference questions at </w:t>
      </w:r>
      <w:r>
        <w:rPr>
          <w:rFonts w:ascii="Times New Roman" w:eastAsia="Calibri" w:hAnsi="Times New Roman" w:cs="Times New Roman"/>
          <w:sz w:val="24"/>
          <w:szCs w:val="24"/>
        </w:rPr>
        <w:lastRenderedPageBreak/>
        <w:t>the information/reference desk in the library,  there was satisfactory behavior in the library</w:t>
      </w:r>
      <w:r>
        <w:rPr>
          <w:rFonts w:ascii="Times New Roman" w:eastAsia="Times New Roman" w:hAnsi="Times New Roman" w:cs="Times New Roman"/>
          <w:color w:val="000000"/>
          <w:sz w:val="24"/>
          <w:szCs w:val="24"/>
        </w:rPr>
        <w:t xml:space="preserve">, the ability to use multiple information sources when writing their research papers, students were able to </w:t>
      </w:r>
      <w:r>
        <w:rPr>
          <w:rFonts w:ascii="Times New Roman" w:eastAsia="Calibri" w:hAnsi="Times New Roman" w:cs="Times New Roman"/>
          <w:sz w:val="24"/>
          <w:szCs w:val="24"/>
        </w:rPr>
        <w:t>organize information to present a sound central idea supported by relevant material in a logical order</w:t>
      </w:r>
      <w:r>
        <w:rPr>
          <w:rFonts w:ascii="Times New Roman" w:eastAsia="Times New Roman" w:hAnsi="Times New Roman" w:cs="Times New Roman"/>
          <w:color w:val="000000"/>
          <w:sz w:val="24"/>
          <w:szCs w:val="24"/>
        </w:rPr>
        <w:t>, students were able</w:t>
      </w:r>
      <w:r>
        <w:rPr>
          <w:rFonts w:ascii="Times New Roman" w:eastAsia="Calibri" w:hAnsi="Times New Roman" w:cs="Times New Roman"/>
          <w:sz w:val="24"/>
          <w:szCs w:val="24"/>
        </w:rPr>
        <w:t xml:space="preserve"> to determine the authoritativeness,   correctness, and reliability of the information sources.</w:t>
      </w:r>
    </w:p>
    <w:p w14:paraId="41599025" w14:textId="77777777" w:rsidR="00B01D46" w:rsidRDefault="0067013E">
      <w:pPr>
        <w:spacing w:before="120" w:after="0" w:line="480" w:lineRule="auto"/>
        <w:ind w:right="65"/>
        <w:jc w:val="both"/>
        <w:rPr>
          <w:rFonts w:ascii="Times New Roman" w:eastAsia="Calibri" w:hAnsi="Times New Roman" w:cs="Times New Roman"/>
          <w:sz w:val="24"/>
          <w:szCs w:val="24"/>
          <w:shd w:val="clear" w:color="auto" w:fill="FFFFFF"/>
        </w:rPr>
      </w:pPr>
      <w:r>
        <w:rPr>
          <w:rFonts w:ascii="Times New Roman" w:eastAsia="Times New Roman" w:hAnsi="Times New Roman" w:cs="Times New Roman"/>
          <w:color w:val="000000"/>
          <w:sz w:val="24"/>
          <w:szCs w:val="24"/>
        </w:rPr>
        <w:t xml:space="preserve">The findings suggest that after ILS training, students </w:t>
      </w:r>
      <w:r>
        <w:rPr>
          <w:rFonts w:ascii="Times New Roman" w:eastAsia="Calibri" w:hAnsi="Times New Roman" w:cs="Times New Roman"/>
          <w:sz w:val="24"/>
          <w:szCs w:val="24"/>
          <w:shd w:val="clear" w:color="auto" w:fill="FFFFFF"/>
        </w:rPr>
        <w:t>gained some skills of an information-literate student,</w:t>
      </w:r>
      <w:r>
        <w:rPr>
          <w:rFonts w:ascii="Times New Roman" w:eastAsia="Times New Roman" w:hAnsi="Times New Roman" w:cs="Times New Roman"/>
          <w:color w:val="000000"/>
          <w:sz w:val="24"/>
          <w:szCs w:val="24"/>
        </w:rPr>
        <w:t xml:space="preserve"> though limited</w:t>
      </w:r>
      <w:r>
        <w:rPr>
          <w:rFonts w:ascii="Times New Roman" w:eastAsia="Calibri" w:hAnsi="Times New Roman" w:cs="Times New Roman"/>
          <w:sz w:val="24"/>
          <w:szCs w:val="24"/>
          <w:shd w:val="clear" w:color="auto" w:fill="FFFFFF"/>
        </w:rPr>
        <w:t xml:space="preserve">. The skills gained include the ability to; formulate an information query, determine the type and format of the information source, assess the quality of information, and to use and share information.  </w:t>
      </w:r>
    </w:p>
    <w:p w14:paraId="23FBAEEA" w14:textId="77777777" w:rsidR="00B01D46" w:rsidRDefault="0067013E">
      <w:pPr>
        <w:spacing w:before="120"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These findings are in agreement with Grassian and Kaplowitz, (2001) study on information literacy instruction theory and practice, which revealed that the training on the process of research that students underwent made them acquire lifelong learning skills that enabled them to function independently inside the library to meet their information needs. Furthermore, the ACRL (2000) avers those learners who have undergone ILS training become lifelong learners, more self-directed, and can master content, extend their investigations and assume greater control over their learning and information searching in a library.  Additionally, (Mackey and Jacobson, (2004) state that learners who are information literate are better equipped for today's complex information landscape and environment than students who do not possess such skills and abilities </w:t>
      </w:r>
    </w:p>
    <w:p w14:paraId="097207D3" w14:textId="77777777" w:rsidR="00B01D46" w:rsidRDefault="0067013E">
      <w:pPr>
        <w:spacing w:before="120"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rPr>
        <w:t>Underscoring the importance of ILS training and learning especially in the internet era.  Foo</w:t>
      </w:r>
      <w:r>
        <w:rPr>
          <w:rFonts w:ascii="Times New Roman" w:eastAsia="Calibri" w:hAnsi="Times New Roman" w:cs="Times New Roman"/>
          <w:sz w:val="24"/>
          <w:szCs w:val="24"/>
          <w:shd w:val="clear" w:color="auto" w:fill="FFFFFF"/>
        </w:rPr>
        <w:t xml:space="preserve"> et al., (2017) assert that with the proliferation of false information on the Internet and in social media, information literacy skills training and learning has </w:t>
      </w:r>
      <w:r>
        <w:rPr>
          <w:rFonts w:ascii="Times New Roman" w:eastAsia="Calibri" w:hAnsi="Times New Roman" w:cs="Times New Roman"/>
          <w:sz w:val="24"/>
          <w:szCs w:val="24"/>
          <w:shd w:val="clear" w:color="auto" w:fill="FFFFFF"/>
        </w:rPr>
        <w:lastRenderedPageBreak/>
        <w:t xml:space="preserve">become a critical skill for students to identify which information is reliable and which one is not. </w:t>
      </w:r>
    </w:p>
    <w:p w14:paraId="76A2E1B2" w14:textId="77777777" w:rsidR="00B01D46" w:rsidRDefault="00B01D46">
      <w:pPr>
        <w:spacing w:after="0" w:line="240" w:lineRule="auto"/>
        <w:ind w:right="65"/>
        <w:jc w:val="both"/>
        <w:rPr>
          <w:rFonts w:ascii="Times New Roman" w:eastAsia="Calibri" w:hAnsi="Times New Roman" w:cs="Times New Roman"/>
          <w:sz w:val="24"/>
          <w:szCs w:val="24"/>
          <w:shd w:val="clear" w:color="auto" w:fill="FFFFFF"/>
        </w:rPr>
      </w:pPr>
    </w:p>
    <w:p w14:paraId="61B964C5" w14:textId="77777777" w:rsidR="00B01D46" w:rsidRDefault="0067013E">
      <w:pPr>
        <w:pStyle w:val="Heading2"/>
        <w:ind w:left="450" w:hanging="450"/>
        <w:rPr>
          <w:rFonts w:eastAsia="Times New Roman"/>
        </w:rPr>
      </w:pPr>
      <w:bookmarkStart w:id="2120" w:name="_Toc164664123"/>
      <w:bookmarkStart w:id="2121" w:name="_Toc165369347"/>
      <w:bookmarkStart w:id="2122" w:name="_Toc165365313"/>
      <w:bookmarkStart w:id="2123" w:name="_Toc165363539"/>
      <w:bookmarkStart w:id="2124" w:name="_Toc165975912"/>
      <w:bookmarkStart w:id="2125" w:name="_Toc165973191"/>
      <w:bookmarkStart w:id="2126" w:name="_Toc184272995"/>
      <w:r>
        <w:t xml:space="preserve">6.5 Knowledge and Skills Possessed by Staff Facilitating ILS among </w:t>
      </w:r>
      <w:r>
        <w:rPr>
          <w:rFonts w:eastAsia="Times New Roman"/>
        </w:rPr>
        <w:t>Medical Undergraduate Students</w:t>
      </w:r>
      <w:bookmarkEnd w:id="2120"/>
      <w:bookmarkEnd w:id="2121"/>
      <w:bookmarkEnd w:id="2122"/>
      <w:bookmarkEnd w:id="2123"/>
      <w:bookmarkEnd w:id="2124"/>
      <w:bookmarkEnd w:id="2125"/>
      <w:bookmarkEnd w:id="2126"/>
      <w:r>
        <w:rPr>
          <w:rFonts w:eastAsia="Times New Roman"/>
        </w:rPr>
        <w:t xml:space="preserve"> </w:t>
      </w:r>
    </w:p>
    <w:p w14:paraId="205BC431" w14:textId="77777777" w:rsidR="00B01D46" w:rsidRDefault="0067013E">
      <w:pPr>
        <w:spacing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A rising appreciation of the importance and nature of information literacy skills and the need for contextualization in specific institutions and disciplines is discernible (Bruce, 2001). Similarly, Foo et al (2013) state that an ideal information literacy skills conception includes life-long learning, fostering students' capacity for self‐directed independent inquiry (the emancipatory view), and making possible ongoing reskilling (the corporate view) through continuing education. For reskilling to be successful, competent and skilled staff is required to bring these approaches together through the introduction of action learning, action research, and problem‐based learning. </w:t>
      </w:r>
    </w:p>
    <w:p w14:paraId="7B82517B"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As such, the study sought to find out the knowledge and skills possessed by staff facilitating ILS among medical undergraduate students. The results revealed that majority 210 (82.35%) of the students and majority 59 (95.16%) of the lecturers gainsaid that staff can select the information that is relevant to their information needs,</w:t>
      </w:r>
      <w:r>
        <w:rPr>
          <w:rFonts w:ascii="Times New Roman" w:eastAsia="Times New Roman" w:hAnsi="Times New Roman" w:cs="Times New Roman"/>
          <w:color w:val="000000"/>
          <w:sz w:val="24"/>
          <w:szCs w:val="24"/>
        </w:rPr>
        <w:t xml:space="preserve"> can create tactics for finding information, </w:t>
      </w:r>
      <w:r>
        <w:rPr>
          <w:rFonts w:ascii="Times New Roman" w:eastAsia="Calibri" w:hAnsi="Times New Roman" w:cs="Times New Roman"/>
          <w:color w:val="000000"/>
          <w:sz w:val="24"/>
          <w:szCs w:val="24"/>
          <w:shd w:val="clear" w:color="auto" w:fill="FFFFFF"/>
        </w:rPr>
        <w:t>can contrast and analyze information obtained from different sources</w:t>
      </w:r>
      <w:r>
        <w:rPr>
          <w:rFonts w:ascii="Times New Roman" w:eastAsia="Calibri" w:hAnsi="Times New Roman" w:cs="Times New Roman"/>
          <w:sz w:val="24"/>
          <w:szCs w:val="24"/>
        </w:rPr>
        <w:t xml:space="preserve">, and can </w:t>
      </w:r>
      <w:r>
        <w:rPr>
          <w:rFonts w:ascii="Times New Roman" w:eastAsia="Times New Roman" w:hAnsi="Times New Roman" w:cs="Times New Roman"/>
          <w:color w:val="000000"/>
          <w:sz w:val="24"/>
          <w:szCs w:val="24"/>
        </w:rPr>
        <w:t>generate information and expand on existing information.</w:t>
      </w:r>
      <w:r>
        <w:rPr>
          <w:rFonts w:ascii="Times New Roman" w:eastAsia="Calibri" w:hAnsi="Times New Roman" w:cs="Times New Roman"/>
          <w:sz w:val="24"/>
          <w:szCs w:val="24"/>
        </w:rPr>
        <w:t xml:space="preserve"> </w:t>
      </w:r>
    </w:p>
    <w:p w14:paraId="517CD90A" w14:textId="77777777" w:rsidR="00B01D46" w:rsidRDefault="0067013E">
      <w:pPr>
        <w:shd w:val="clear" w:color="auto" w:fill="FFFFFF"/>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Similarly, according to the responses of the heads of medical librarians interviewed, majority of the staff require technical, technological, digital, intellectual, and communicative capabilities that are meant to empower them to serve students competently and satisfactorily. Equally, the heads of departments affirmed that </w:t>
      </w:r>
      <w:r>
        <w:rPr>
          <w:rFonts w:ascii="Times New Roman" w:eastAsia="Calibri" w:hAnsi="Times New Roman" w:cs="Times New Roman"/>
          <w:sz w:val="24"/>
          <w:szCs w:val="24"/>
        </w:rPr>
        <w:lastRenderedPageBreak/>
        <w:t xml:space="preserve">librarians especially the aged ones require skills on </w:t>
      </w:r>
      <w:r>
        <w:rPr>
          <w:rFonts w:ascii="Times New Roman" w:eastAsia="Calibri" w:hAnsi="Times New Roman" w:cs="Times New Roman"/>
          <w:sz w:val="24"/>
          <w:szCs w:val="24"/>
          <w:shd w:val="clear" w:color="auto" w:fill="FFFFFF"/>
        </w:rPr>
        <w:t xml:space="preserve">effective search strategies and adequate technological skills on how to check the relevancy, currency, authenticity, and purpose of retrieved information materials. </w:t>
      </w:r>
    </w:p>
    <w:p w14:paraId="3D9F2A20" w14:textId="77777777" w:rsidR="00B01D46" w:rsidRDefault="0067013E">
      <w:pPr>
        <w:shd w:val="clear" w:color="auto" w:fill="FFFFFF"/>
        <w:spacing w:before="120" w:after="0" w:line="480" w:lineRule="auto"/>
        <w:ind w:right="65"/>
        <w:jc w:val="both"/>
        <w:rPr>
          <w:rFonts w:ascii="Times New Roman" w:hAnsi="Times New Roman" w:cs="Times New Roman"/>
          <w:sz w:val="24"/>
          <w:szCs w:val="24"/>
        </w:rPr>
      </w:pPr>
      <w:r>
        <w:rPr>
          <w:rFonts w:ascii="Times New Roman" w:eastAsia="Calibri" w:hAnsi="Times New Roman" w:cs="Times New Roman"/>
          <w:sz w:val="24"/>
          <w:szCs w:val="24"/>
          <w:shd w:val="clear" w:color="auto" w:fill="FFFFFF"/>
        </w:rPr>
        <w:t>These findings suggest that staff</w:t>
      </w:r>
      <w:r>
        <w:rPr>
          <w:rFonts w:ascii="Times New Roman" w:eastAsia="Calibri" w:hAnsi="Times New Roman" w:cs="Times New Roman"/>
          <w:sz w:val="24"/>
          <w:szCs w:val="24"/>
        </w:rPr>
        <w:t xml:space="preserve"> facilitating ILS among </w:t>
      </w:r>
      <w:r>
        <w:rPr>
          <w:rFonts w:ascii="Times New Roman" w:eastAsia="Times New Roman" w:hAnsi="Times New Roman" w:cs="Times New Roman"/>
          <w:sz w:val="24"/>
          <w:szCs w:val="24"/>
        </w:rPr>
        <w:t>medical undergraduate students do not possess the requisite ILS to successfully impart ILS to students. this is an indication that the staff either they don’t have the right tools for imparting ILS or they have traditional library skills hence require reskilling and retooling. This is true because with the advent of Web 2.0 technologies the current child is technology savvy, therefore, for the staff to serve these students they (staff) require training on the modern information technologies. The higher skills facet of Bond’s Sauce Model (2012) advocate for constant building up, learning, and sharing of one’s information and knowledge skills in a field of interest, especially in the ever-changing information rich platforms and technologies. These skills are then applied to engage students in information tasks that facilitate them to develop</w:t>
      </w:r>
      <w:r>
        <w:rPr>
          <w:rFonts w:ascii="Times New Roman" w:hAnsi="Times New Roman" w:cs="Times New Roman"/>
          <w:sz w:val="24"/>
          <w:szCs w:val="24"/>
        </w:rPr>
        <w:t xml:space="preserve"> higher thinking skills.</w:t>
      </w:r>
    </w:p>
    <w:p w14:paraId="1E1FF122" w14:textId="77777777" w:rsidR="00B01D46" w:rsidRDefault="0067013E">
      <w:pPr>
        <w:spacing w:before="120"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These findings corroborate the results of a study conducted by Asibey et al</w:t>
      </w:r>
      <w:r>
        <w:rPr>
          <w:rFonts w:ascii="Times New Roman" w:eastAsia="Calibri" w:hAnsi="Times New Roman" w:cs="Times New Roman"/>
          <w:color w:val="007377"/>
          <w:sz w:val="24"/>
          <w:szCs w:val="24"/>
          <w:shd w:val="clear" w:color="auto" w:fill="FFFFFF"/>
        </w:rPr>
        <w:t>.</w:t>
      </w:r>
      <w:r>
        <w:rPr>
          <w:rFonts w:ascii="Times New Roman" w:eastAsia="Calibri" w:hAnsi="Times New Roman" w:cs="Times New Roman"/>
          <w:sz w:val="24"/>
          <w:szCs w:val="24"/>
          <w:shd w:val="clear" w:color="auto" w:fill="FFFFFF"/>
        </w:rPr>
        <w:t xml:space="preserve"> (2017) on the student's use of the internet for health information at Ghanaian universities which revealed that universities require qualified professionals to successfully teach and impart ILS among the students. On the same note, Bruce (2013) observes that recent discussions regarding the skills needed by information professionals have focused on several factors including employer needs, generic skills vs specific skills, and the competencies needed by staff working in more information technology or digital environments. Similarly, Buarki et al. (2011), note that the trend of ILS training and learning programs has been to shift the emphasis from library to information. However, despite this trend of integrating more information technology or digital courses into ILS programs, research suggests that, although there is an </w:t>
      </w:r>
      <w:r>
        <w:rPr>
          <w:rFonts w:ascii="Times New Roman" w:eastAsia="Calibri" w:hAnsi="Times New Roman" w:cs="Times New Roman"/>
          <w:sz w:val="24"/>
          <w:szCs w:val="24"/>
          <w:shd w:val="clear" w:color="auto" w:fill="FFFFFF"/>
        </w:rPr>
        <w:lastRenderedPageBreak/>
        <w:t>emphasis on technical skills and knowledge in today's digital environment, traditional ILS skills are still sought and needed (Chow et al</w:t>
      </w:r>
      <w:r>
        <w:rPr>
          <w:rFonts w:ascii="Times New Roman" w:eastAsia="Calibri" w:hAnsi="Times New Roman" w:cs="Times New Roman"/>
          <w:i/>
          <w:iCs/>
          <w:sz w:val="24"/>
          <w:szCs w:val="24"/>
          <w:shd w:val="clear" w:color="auto" w:fill="FFFFFF"/>
        </w:rPr>
        <w:t>.</w:t>
      </w:r>
      <w:r>
        <w:rPr>
          <w:rFonts w:ascii="Times New Roman" w:eastAsia="Calibri" w:hAnsi="Times New Roman" w:cs="Times New Roman"/>
          <w:sz w:val="24"/>
          <w:szCs w:val="24"/>
          <w:shd w:val="clear" w:color="auto" w:fill="FFFFFF"/>
        </w:rPr>
        <w:t xml:space="preserve">, 2011; Stephens &amp; Hamblin, 2006). </w:t>
      </w:r>
    </w:p>
    <w:p w14:paraId="4A726138"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shd w:val="clear" w:color="auto" w:fill="FFFFFF"/>
        </w:rPr>
        <w:t>Another study conducted at one LIS school in the US, to investigate if the LIS curriculum being delivered that teaches skills and knowledge to equip students in a rapidly changing environment, found that library managers were satisfied with the skills of graduates from the LIS program (Chow, 2011). The study also found that the most successful skills managers were looking for were more general skills such as communication and that some skills such as cataloging were seen as skills that could be learned on the job. This is a clear indication that staff teaching ILS have general and specific LIS skills and knowledge, but most importantly the staff can be flexible and adaptable in the constantly changing digital environment.</w:t>
      </w:r>
    </w:p>
    <w:p w14:paraId="21088035" w14:textId="77777777" w:rsidR="00B01D46" w:rsidRDefault="0067013E">
      <w:pPr>
        <w:spacing w:before="12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Similarly, the use of digital information tools in libraries and information centers demands technical competencies to successfully navigate through digital information. Librarians and faculty require new skills to work effectively in this digital environment and to meet the challenges of digital librarianship. Equally, Singh and Pinki (2009) stressed that library professionals must develop digital competencies and skills to manage change and fulfill the information needs of users. Additionally, the new information environment demands modern skills and library and information science (LIS) professionals to become adaptable to this new environment (Chinen &amp; Boutin, 2011). McDonald (2004) stated that library professionals should acquire technical and analytical skills to meet the future demands of digital librarianship. Raju (2014) concluded that librarians must possess knowledge of digitization, metadata creation and management, preservation of digital information, and computer skills, which are useful to work in online information environments. Mendez (2002) highlighted that librarians should play their dynamic </w:t>
      </w:r>
      <w:r>
        <w:rPr>
          <w:rFonts w:ascii="Times New Roman" w:eastAsia="Calibri" w:hAnsi="Times New Roman" w:cs="Times New Roman"/>
          <w:sz w:val="24"/>
          <w:szCs w:val="24"/>
          <w:shd w:val="clear" w:color="auto" w:fill="FFFFFF"/>
        </w:rPr>
        <w:lastRenderedPageBreak/>
        <w:t>role in the emerging digital culture by demonstrating digital skills to serve library users efficiently. Yakel (2007) explained that librarians with sufficient digital skills will remain successful and relevant in working with modern information systems. Gorny </w:t>
      </w:r>
      <w:r>
        <w:rPr>
          <w:rFonts w:ascii="Times New Roman" w:eastAsia="Calibri" w:hAnsi="Times New Roman" w:cs="Times New Roman"/>
          <w:i/>
          <w:iCs/>
          <w:sz w:val="24"/>
          <w:szCs w:val="24"/>
          <w:shd w:val="clear" w:color="auto" w:fill="FFFFFF"/>
        </w:rPr>
        <w:t>et al.</w:t>
      </w:r>
      <w:r>
        <w:rPr>
          <w:rFonts w:ascii="Times New Roman" w:eastAsia="Calibri" w:hAnsi="Times New Roman" w:cs="Times New Roman"/>
          <w:sz w:val="24"/>
          <w:szCs w:val="24"/>
          <w:shd w:val="clear" w:color="auto" w:fill="FFFFFF"/>
        </w:rPr>
        <w:t> (2010) were alarmed those librarians, who are not technically skilled, should perceive digital libraries as a threat to their employment.</w:t>
      </w:r>
    </w:p>
    <w:p w14:paraId="5E2B2314" w14:textId="77777777" w:rsidR="00B01D46" w:rsidRDefault="0067013E">
      <w:pPr>
        <w:pStyle w:val="Heading2"/>
      </w:pPr>
      <w:bookmarkStart w:id="2127" w:name="_Toc165975913"/>
      <w:bookmarkStart w:id="2128" w:name="_Toc165363540"/>
      <w:bookmarkStart w:id="2129" w:name="_Toc184272996"/>
      <w:bookmarkStart w:id="2130" w:name="_Toc164664124"/>
      <w:bookmarkStart w:id="2131" w:name="_Toc165369348"/>
      <w:bookmarkStart w:id="2132" w:name="_Toc165973192"/>
      <w:bookmarkStart w:id="2133" w:name="_Toc165365314"/>
      <w:r>
        <w:t xml:space="preserve">6.6 </w:t>
      </w:r>
      <w:bookmarkStart w:id="2134" w:name="_Hlk145946835"/>
      <w:r>
        <w:t>Role of ICT in Facilitating and Promoting Information Literacy Skills</w:t>
      </w:r>
      <w:bookmarkEnd w:id="2127"/>
      <w:bookmarkEnd w:id="2128"/>
      <w:bookmarkEnd w:id="2129"/>
      <w:bookmarkEnd w:id="2130"/>
      <w:bookmarkEnd w:id="2131"/>
      <w:bookmarkEnd w:id="2132"/>
      <w:bookmarkEnd w:id="2133"/>
      <w:r>
        <w:t xml:space="preserve"> </w:t>
      </w:r>
      <w:bookmarkEnd w:id="2134"/>
    </w:p>
    <w:p w14:paraId="37EDAE74" w14:textId="77777777" w:rsidR="00B01D46" w:rsidRDefault="0067013E">
      <w:pPr>
        <w:spacing w:line="480" w:lineRule="auto"/>
        <w:ind w:right="65"/>
        <w:jc w:val="both"/>
        <w:rPr>
          <w:rFonts w:ascii="Times New Roman" w:eastAsia="Times New Roman" w:hAnsi="Times New Roman" w:cs="Times New Roman"/>
          <w:sz w:val="24"/>
          <w:szCs w:val="24"/>
        </w:rPr>
      </w:pPr>
      <w:r>
        <w:rPr>
          <w:rFonts w:ascii="Times New Roman" w:eastAsia="Calibri" w:hAnsi="Times New Roman" w:cs="Times New Roman"/>
          <w:sz w:val="24"/>
          <w:szCs w:val="24"/>
        </w:rPr>
        <w:t>The study sought to find out the role that ICT played in facilitating information literacy among medical undergraduate students. The findings revealed that ICT play a great role in effective ILS training and learning, because it enables ILS content creation, offer channel of communicating the content and acts as a catalyst to ILS training and learning process. This could mean that librarians and lecturers can create ILS learning and training tools faster using ICT tools that can be made accessible to students whenever and wherever they are. This has an impact on the efforts expended by lecturers and librarians in improving the teaching and learning of ILS This gives an indication that ICT is critical in the teaching and learning process of information literacy skills. Furthermore, the discussions delved into two areas namely students’ integration of ICT skills and ILS; and types</w:t>
      </w:r>
      <w:r>
        <w:rPr>
          <w:rFonts w:ascii="Times New Roman" w:eastAsia="Times New Roman" w:hAnsi="Times New Roman" w:cs="Times New Roman"/>
          <w:sz w:val="24"/>
          <w:szCs w:val="24"/>
        </w:rPr>
        <w:t xml:space="preserve"> of ICT tools and devices used for ILS learning and training for medical undergraduate students</w:t>
      </w:r>
    </w:p>
    <w:p w14:paraId="344A591B" w14:textId="77777777" w:rsidR="00B01D46" w:rsidRDefault="0067013E">
      <w:pPr>
        <w:pStyle w:val="Heading3"/>
      </w:pPr>
      <w:bookmarkStart w:id="2135" w:name="_Toc165973193"/>
      <w:bookmarkStart w:id="2136" w:name="_Toc184272997"/>
      <w:bookmarkStart w:id="2137" w:name="_Toc164664125"/>
      <w:bookmarkStart w:id="2138" w:name="_Toc165363541"/>
      <w:bookmarkStart w:id="2139" w:name="_Toc165369349"/>
      <w:bookmarkStart w:id="2140" w:name="_Toc165975914"/>
      <w:bookmarkStart w:id="2141" w:name="_Toc165365315"/>
      <w:r>
        <w:t>6.6.1 Students’ Integration of ICT Skills with ILS</w:t>
      </w:r>
      <w:bookmarkEnd w:id="2135"/>
      <w:bookmarkEnd w:id="2136"/>
      <w:bookmarkEnd w:id="2137"/>
      <w:bookmarkEnd w:id="2138"/>
      <w:bookmarkEnd w:id="2139"/>
      <w:bookmarkEnd w:id="2140"/>
      <w:bookmarkEnd w:id="2141"/>
    </w:p>
    <w:p w14:paraId="234926CB" w14:textId="77777777" w:rsidR="00B01D46" w:rsidRDefault="0067013E">
      <w:pPr>
        <w:spacing w:after="0" w:line="480" w:lineRule="auto"/>
        <w:ind w:right="65"/>
        <w:jc w:val="both"/>
        <w:rPr>
          <w:rFonts w:ascii="Times New Roman" w:hAnsi="Times New Roman" w:cs="Times New Roman"/>
          <w:sz w:val="24"/>
          <w:szCs w:val="24"/>
        </w:rPr>
      </w:pPr>
      <w:r>
        <w:rPr>
          <w:rFonts w:ascii="Times New Roman" w:eastAsia="Calibri" w:hAnsi="Times New Roman" w:cs="Times New Roman"/>
          <w:iCs/>
          <w:sz w:val="24"/>
          <w:szCs w:val="24"/>
        </w:rPr>
        <w:t xml:space="preserve">The study sought to find out how students are integrating ICT skills with ILS learning. The results show that </w:t>
      </w:r>
      <w:r>
        <w:rPr>
          <w:rFonts w:ascii="Times New Roman" w:eastAsia="Calibri" w:hAnsi="Times New Roman" w:cs="Times New Roman"/>
          <w:sz w:val="24"/>
          <w:szCs w:val="24"/>
          <w:shd w:val="clear" w:color="auto" w:fill="FFFFFF"/>
        </w:rPr>
        <w:t>230(90.20%)</w:t>
      </w:r>
      <w:r>
        <w:rPr>
          <w:rFonts w:ascii="Times New Roman" w:eastAsia="Times New Roman" w:hAnsi="Times New Roman" w:cs="Times New Roman"/>
          <w:color w:val="000000"/>
          <w:sz w:val="24"/>
          <w:szCs w:val="24"/>
        </w:rPr>
        <w:t xml:space="preserve">, 227(89.01%), 220(86.27%) of the students </w:t>
      </w:r>
      <w:r>
        <w:rPr>
          <w:rFonts w:ascii="Times New Roman" w:eastAsia="Times New Roman" w:hAnsi="Times New Roman" w:cs="Times New Roman"/>
          <w:sz w:val="24"/>
          <w:szCs w:val="24"/>
        </w:rPr>
        <w:t xml:space="preserve">and </w:t>
      </w:r>
      <w:r>
        <w:rPr>
          <w:rFonts w:ascii="Times New Roman" w:eastAsia="Calibri" w:hAnsi="Times New Roman" w:cs="Times New Roman"/>
          <w:iCs/>
          <w:sz w:val="24"/>
          <w:szCs w:val="24"/>
        </w:rPr>
        <w:t xml:space="preserve">learning. The results show that </w:t>
      </w:r>
      <w:r>
        <w:rPr>
          <w:rFonts w:ascii="Times New Roman" w:eastAsia="Calibri" w:hAnsi="Times New Roman" w:cs="Times New Roman"/>
          <w:sz w:val="24"/>
          <w:szCs w:val="24"/>
          <w:shd w:val="clear" w:color="auto" w:fill="FFFFFF"/>
        </w:rPr>
        <w:t>230(90.20%)</w:t>
      </w:r>
      <w:r>
        <w:rPr>
          <w:rFonts w:ascii="Times New Roman" w:eastAsia="Times New Roman" w:hAnsi="Times New Roman" w:cs="Times New Roman"/>
          <w:sz w:val="24"/>
          <w:szCs w:val="24"/>
        </w:rPr>
        <w:t xml:space="preserve">, 227(89.01%) of the students and </w:t>
      </w:r>
      <w:r>
        <w:rPr>
          <w:rFonts w:ascii="Times New Roman" w:eastAsia="Calibri" w:hAnsi="Times New Roman" w:cs="Times New Roman"/>
          <w:sz w:val="24"/>
          <w:szCs w:val="24"/>
          <w:shd w:val="clear" w:color="auto" w:fill="FFFFFF"/>
        </w:rPr>
        <w:t xml:space="preserve">47 (75.81%), </w:t>
      </w:r>
      <w:r>
        <w:rPr>
          <w:rFonts w:ascii="Times New Roman" w:eastAsia="Times New Roman" w:hAnsi="Times New Roman" w:cs="Times New Roman"/>
          <w:sz w:val="24"/>
          <w:szCs w:val="24"/>
        </w:rPr>
        <w:t xml:space="preserve">46 (74.19%) of the lecturers stated that students use computers to prepare reports of assignments and for email or other online communication. However, 213(83.52%), 223 (87.45%), 181(70.98%) and </w:t>
      </w:r>
      <w:r>
        <w:rPr>
          <w:rFonts w:ascii="Times New Roman" w:eastAsia="Times New Roman" w:hAnsi="Times New Roman" w:cs="Times New Roman"/>
          <w:sz w:val="24"/>
          <w:szCs w:val="24"/>
        </w:rPr>
        <w:lastRenderedPageBreak/>
        <w:t>133(52.16%) of the students stated that they</w:t>
      </w:r>
      <w:r>
        <w:rPr>
          <w:rFonts w:ascii="Times New Roman" w:eastAsia="Times New Roman" w:hAnsi="Times New Roman" w:cs="Times New Roman"/>
          <w:color w:val="000000"/>
          <w:sz w:val="24"/>
          <w:szCs w:val="24"/>
        </w:rPr>
        <w:t xml:space="preserve"> cannot use electronic databases adequately, they cannot evaluate information on the internet for validity, electronic resources are not their first priority when looking for information and that they cannot perform data analysis using computer software. These findings are in tandem with the lecturers responses, where majority 52 (83.87%), 33 (53.3%), 45 (72.59%), 46 (74.19%) and 48 (77.41%) of the  lecturers disagreed that students use the internet to search for course-related materials, use electronic databases with ease to get the needed information, understand how to evaluate free information on the internet for validity, use electronic sources as their priority source of information when looking for information, and can carry out analysis of data using computer packages correspondingly as shown in Table 5.26. </w:t>
      </w:r>
      <w:r>
        <w:rPr>
          <w:rFonts w:ascii="Times New Roman" w:hAnsi="Times New Roman" w:cs="Times New Roman"/>
          <w:sz w:val="24"/>
          <w:szCs w:val="24"/>
        </w:rPr>
        <w:t xml:space="preserve">Results from interviews with university librarians, department directors, and heads of medical librarians demonstrated that students require appropriate ICT competencies to search and evaluate databases, as well as access legitimate information resources on the internet. </w:t>
      </w:r>
    </w:p>
    <w:p w14:paraId="4862063F" w14:textId="77777777" w:rsidR="00B01D46" w:rsidRDefault="0067013E">
      <w:pPr>
        <w:spacing w:before="120" w:after="0" w:line="480" w:lineRule="auto"/>
        <w:ind w:right="6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These findings suggest that students are yet to master Web 2.0 ICT</w:t>
      </w:r>
      <w:r>
        <w:rPr>
          <w:rFonts w:ascii="Times New Roman" w:eastAsia="Calibri" w:hAnsi="Times New Roman" w:cs="Times New Roman"/>
          <w:sz w:val="24"/>
          <w:szCs w:val="24"/>
        </w:rPr>
        <w:t xml:space="preserve"> skills which are essential in ensuring that access and use retrieved information resources effectively by the students. The ICT integration facet in the Sauce Model which advocates for the application and exploitation of various ICT technologies for ILS instruction and learning (Bond, 2009). The ICT integration facet emphasizes the need for proficiency in ICT. Because ICT integration with ILS increases the skills of teachers, students and librarians for problem solving and appropriate decision making.</w:t>
      </w:r>
    </w:p>
    <w:p w14:paraId="73968A2E" w14:textId="77777777" w:rsidR="00B01D46" w:rsidRDefault="0067013E">
      <w:pPr>
        <w:spacing w:before="120"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rPr>
        <w:t>The findings agree with Okafor's (2015) study on ICT skills acquisition and competencies of students: Implications for a digital and electronic environment in Nigerian universities, which found t</w:t>
      </w:r>
      <w:r>
        <w:rPr>
          <w:rFonts w:ascii="Times New Roman" w:eastAsia="Calibri" w:hAnsi="Times New Roman" w:cs="Times New Roman"/>
          <w:sz w:val="24"/>
          <w:szCs w:val="24"/>
          <w:shd w:val="clear" w:color="auto" w:fill="FFFFFF"/>
        </w:rPr>
        <w:t xml:space="preserve">hat many of the students do have knowledge and skills of email use and word processing tasks but lack knowledge of search engines </w:t>
      </w:r>
      <w:r>
        <w:rPr>
          <w:rFonts w:ascii="Times New Roman" w:eastAsia="Calibri" w:hAnsi="Times New Roman" w:cs="Times New Roman"/>
          <w:sz w:val="24"/>
          <w:szCs w:val="24"/>
          <w:shd w:val="clear" w:color="auto" w:fill="FFFFFF"/>
        </w:rPr>
        <w:lastRenderedPageBreak/>
        <w:t xml:space="preserve">and directories other than Google and Yahoo, respectively. Moreover, many of them do not know how to evaluate and catalog e-resources; have no knowledge of subject gateways, specialized databases, and some open-access library databases. </w:t>
      </w:r>
    </w:p>
    <w:p w14:paraId="71400B1B"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Gatero (2010) noted that because of the convergence of computer technology and information technology, it is no longer sufficient to educate those in academia on how to use the library but how to harness the various ICT technologies in information evaluation. Hence students and researchers must know not only how to access this information using computers but also how to evaluate it most effectively. </w:t>
      </w:r>
    </w:p>
    <w:p w14:paraId="40F70983"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Similarly, </w:t>
      </w:r>
      <w:r>
        <w:rPr>
          <w:rFonts w:ascii="Times New Roman" w:eastAsia="Calibri" w:hAnsi="Times New Roman" w:cs="Times New Roman"/>
          <w:sz w:val="24"/>
          <w:szCs w:val="24"/>
        </w:rPr>
        <w:t xml:space="preserve">Bothman (2007) asserts that ICT is the backbone of the delivery of quality information services. Additionally, Ghuloum &amp; Ahmed (2011) assert that the ICTs used in academic libraries attempt to deliver numerous applications such as wide-area network applications, local area networks, online information services (the Internet), online databases, library databases, CD-ROMs, online access catalogs, retrieval networks, digital online archives, mainframe computers, microcomputer labs, and other digital content services. With increasing online learning comes the need to equip students with skills to search and evaluate information available in online platforms. </w:t>
      </w:r>
    </w:p>
    <w:p w14:paraId="6034C66C" w14:textId="77777777" w:rsidR="00B01D46" w:rsidRDefault="0067013E">
      <w:pPr>
        <w:pStyle w:val="Heading3"/>
        <w:ind w:left="630" w:hanging="630"/>
      </w:pPr>
      <w:bookmarkStart w:id="2142" w:name="_Toc165975915"/>
      <w:bookmarkStart w:id="2143" w:name="_Toc164664126"/>
      <w:bookmarkStart w:id="2144" w:name="_Toc165973194"/>
      <w:bookmarkStart w:id="2145" w:name="_Toc165369350"/>
      <w:bookmarkStart w:id="2146" w:name="_Toc165363542"/>
      <w:bookmarkStart w:id="2147" w:name="_Toc165365316"/>
      <w:bookmarkStart w:id="2148" w:name="_Toc184272998"/>
      <w:r>
        <w:t>6.6.2 Types of ICT Tools and Devices Used for ILS Learning and Training for Medical Undergraduate Students</w:t>
      </w:r>
      <w:bookmarkEnd w:id="2142"/>
      <w:bookmarkEnd w:id="2143"/>
      <w:bookmarkEnd w:id="2144"/>
      <w:bookmarkEnd w:id="2145"/>
      <w:bookmarkEnd w:id="2146"/>
      <w:bookmarkEnd w:id="2147"/>
      <w:bookmarkEnd w:id="2148"/>
      <w:r>
        <w:t xml:space="preserve"> </w:t>
      </w:r>
    </w:p>
    <w:p w14:paraId="63AD0349" w14:textId="77777777" w:rsidR="00B01D46" w:rsidRDefault="0067013E">
      <w:pPr>
        <w:spacing w:after="0" w:line="480" w:lineRule="auto"/>
        <w:ind w:right="65"/>
        <w:jc w:val="both"/>
        <w:rPr>
          <w:rFonts w:ascii="Times New Roman" w:eastAsia="Calibri" w:hAnsi="Times New Roman" w:cs="Times New Roman"/>
          <w:color w:val="000000"/>
          <w:sz w:val="24"/>
          <w:szCs w:val="24"/>
        </w:rPr>
      </w:pPr>
      <w:r>
        <w:rPr>
          <w:rFonts w:ascii="Times New Roman" w:eastAsia="Calibri" w:hAnsi="Times New Roman" w:cs="Times New Roman"/>
          <w:bCs/>
          <w:color w:val="000000"/>
          <w:sz w:val="24"/>
          <w:szCs w:val="24"/>
        </w:rPr>
        <w:t xml:space="preserve">Equally, the study sought to find out the various </w:t>
      </w:r>
      <w:r>
        <w:rPr>
          <w:rFonts w:ascii="Times New Roman" w:eastAsia="Calibri" w:hAnsi="Times New Roman" w:cs="Times New Roman"/>
          <w:color w:val="000000"/>
          <w:sz w:val="24"/>
          <w:szCs w:val="24"/>
        </w:rPr>
        <w:t xml:space="preserve">ICT tools and devices that were used for teaching ILS to medical undergraduate students. The findings revealed that the majority </w:t>
      </w:r>
      <w:r>
        <w:rPr>
          <w:rFonts w:ascii="Times New Roman" w:eastAsia="Calibri" w:hAnsi="Times New Roman" w:cs="Times New Roman"/>
          <w:sz w:val="24"/>
          <w:szCs w:val="24"/>
        </w:rPr>
        <w:t xml:space="preserve">215 (84.31%), 220 (97.78%), 218 (87.5%), 92 (40.89%), 86(33.73%), and 186 (82.67%) of the students agreed that projectors, computers/laptops, the internet, smartboards, mobile phones, iPad/tablets, and cameras were ICT tools and devices </w:t>
      </w:r>
      <w:r>
        <w:rPr>
          <w:rFonts w:ascii="Times New Roman" w:eastAsia="Calibri" w:hAnsi="Times New Roman" w:cs="Times New Roman"/>
          <w:sz w:val="24"/>
          <w:szCs w:val="24"/>
        </w:rPr>
        <w:lastRenderedPageBreak/>
        <w:t>used for ILS learning and training</w:t>
      </w:r>
      <w:r>
        <w:rPr>
          <w:rFonts w:ascii="Times New Roman" w:eastAsia="Calibri" w:hAnsi="Times New Roman" w:cs="Times New Roman"/>
          <w:color w:val="000000"/>
          <w:sz w:val="24"/>
          <w:szCs w:val="24"/>
        </w:rPr>
        <w:t xml:space="preserve"> respectively. Similarly, interview responses from heads of departments, head medical librarians, and university librarians revealed that iPad, laptops, software programs, public address systems, smartboards, projectors, internet, smartphones, printers,</w:t>
      </w:r>
      <w:r>
        <w:rPr>
          <w:rFonts w:ascii="Times New Roman" w:eastAsia="Calibri" w:hAnsi="Times New Roman" w:cs="Times New Roman"/>
          <w:color w:val="333333"/>
          <w:sz w:val="24"/>
          <w:szCs w:val="24"/>
          <w:shd w:val="clear" w:color="auto" w:fill="FFFFFF"/>
        </w:rPr>
        <w:t xml:space="preserve"> clicker devices, </w:t>
      </w:r>
      <w:r>
        <w:rPr>
          <w:rFonts w:ascii="Times New Roman" w:eastAsia="Calibri" w:hAnsi="Times New Roman" w:cs="Times New Roman"/>
          <w:color w:val="000000"/>
          <w:sz w:val="24"/>
          <w:szCs w:val="24"/>
        </w:rPr>
        <w:t>WI FI, and cameras were the ICT tools and devices that are used to impart ILS to undergraduate medical students.</w:t>
      </w:r>
    </w:p>
    <w:p w14:paraId="7F63F07E" w14:textId="77777777" w:rsidR="00B01D46" w:rsidRDefault="0067013E">
      <w:pPr>
        <w:spacing w:before="120"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These findings seem to suggest that usage of ICT tools enable lecturers and librarians to work with contents that are packaged, such as digital files for manuals or procedures, as well as wikis, ZOOM, Google forms, blogs, and platforms that allow the students to collaborate for information sharing. Additionally, the findings could suggest that with prudent utilization and application of the ICT tools makes ILS training and learning process more enjoyable and fun.  </w:t>
      </w:r>
    </w:p>
    <w:p w14:paraId="380DFDF8" w14:textId="77777777" w:rsidR="00B01D46" w:rsidRDefault="0067013E">
      <w:pPr>
        <w:pStyle w:val="NoSpacing"/>
        <w:spacing w:before="120" w:line="480" w:lineRule="auto"/>
        <w:ind w:left="0" w:right="65"/>
        <w:rPr>
          <w:rFonts w:ascii="Times New Roman" w:hAnsi="Times New Roman" w:cs="Times New Roman"/>
          <w:sz w:val="24"/>
          <w:szCs w:val="24"/>
        </w:rPr>
      </w:pPr>
      <w:r>
        <w:rPr>
          <w:rFonts w:ascii="Times New Roman" w:eastAsia="Times New Roman" w:hAnsi="Times New Roman" w:cs="Times New Roman"/>
          <w:sz w:val="24"/>
          <w:szCs w:val="24"/>
        </w:rPr>
        <w:t xml:space="preserve">Various studies conducted by Ghavifekr (2015), Kanguha (2016, Makori (2014), Majid (2008), Singh (2008), Kanguha (2016), Obegi (2022) and Nyamboga (2021) on ICT and information </w:t>
      </w:r>
      <w:r>
        <w:rPr>
          <w:rFonts w:ascii="Times New Roman" w:hAnsi="Times New Roman" w:cs="Times New Roman"/>
          <w:sz w:val="24"/>
          <w:szCs w:val="24"/>
        </w:rPr>
        <w:t>literacy skills found that ICT tools are digital infrastructures like computers, laptops, printers, scanners, clicker devices, software programs, multimedia projectors, and interactive teaching boxes.</w:t>
      </w:r>
    </w:p>
    <w:p w14:paraId="0BD4F807"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Similarly, Mahmood, et al (2007), AI-Ansari (2011), Ahmad (2011), </w:t>
      </w:r>
      <w:r>
        <w:rPr>
          <w:rFonts w:ascii="Times New Roman" w:eastAsia="Calibri" w:hAnsi="Times New Roman" w:cs="Times New Roman"/>
          <w:sz w:val="24"/>
          <w:szCs w:val="24"/>
          <w:shd w:val="clear" w:color="auto" w:fill="FFFFFF"/>
        </w:rPr>
        <w:t xml:space="preserve">Berners-Lee (2006) and </w:t>
      </w:r>
      <w:r>
        <w:rPr>
          <w:rFonts w:ascii="Times New Roman" w:eastAsia="Calibri" w:hAnsi="Times New Roman" w:cs="Times New Roman"/>
          <w:sz w:val="24"/>
          <w:szCs w:val="24"/>
        </w:rPr>
        <w:t xml:space="preserve">Dawes (2001) in their various research studies on the role of ICT and information literacy skills, agree with the findings by stating that new technologies have the potential to upkeep education across the curriculum and deliver opportunities for efficient student‐teacher communication in ways not possible before.  Furthermore, they state that ICT in education has the potential to transform teaching.  Correspondingly, Gurney and Wilkes (2008) studied the impact of ICT on teaching and learning ILS to first-year applied science students at the University of </w:t>
      </w:r>
      <w:r>
        <w:rPr>
          <w:rFonts w:ascii="Times New Roman" w:eastAsia="Calibri" w:hAnsi="Times New Roman" w:cs="Times New Roman"/>
          <w:sz w:val="24"/>
          <w:szCs w:val="24"/>
        </w:rPr>
        <w:lastRenderedPageBreak/>
        <w:t xml:space="preserve">New England. In their study, they found that students who applied ICTs and various search strategies learnt to find resources they needed for a given unit gave more and complete citations of articles and got higher grades compared to those who did not bother to use the library’s ILS instructions and trainings. The implication of these studies to the current one is that, the rapidly changing ICT environment requires ILS instruction to be at par, in order to provide effective ILS learning. </w:t>
      </w:r>
    </w:p>
    <w:p w14:paraId="043BCB5C" w14:textId="77777777" w:rsidR="00B01D46" w:rsidRDefault="00B01D46">
      <w:pPr>
        <w:spacing w:after="0" w:line="240" w:lineRule="auto"/>
        <w:ind w:right="65"/>
        <w:jc w:val="both"/>
        <w:rPr>
          <w:rFonts w:ascii="Times New Roman" w:eastAsia="Calibri" w:hAnsi="Times New Roman" w:cs="Times New Roman"/>
          <w:sz w:val="24"/>
          <w:szCs w:val="24"/>
        </w:rPr>
      </w:pPr>
    </w:p>
    <w:p w14:paraId="04F53F59" w14:textId="77777777" w:rsidR="00B01D46" w:rsidRDefault="0067013E">
      <w:pPr>
        <w:pStyle w:val="Heading3"/>
        <w:ind w:left="630" w:hanging="630"/>
      </w:pPr>
      <w:bookmarkStart w:id="2149" w:name="_Toc165363543"/>
      <w:bookmarkStart w:id="2150" w:name="_Toc165369351"/>
      <w:bookmarkStart w:id="2151" w:name="_Toc165975916"/>
      <w:bookmarkStart w:id="2152" w:name="_Toc165973195"/>
      <w:bookmarkStart w:id="2153" w:name="_Toc165365317"/>
      <w:bookmarkStart w:id="2154" w:name="_Toc184272999"/>
      <w:bookmarkStart w:id="2155" w:name="_Toc164664127"/>
      <w:r>
        <w:t>6.6.3 Adequacy of the ICT Infrastructure in Moi University and University of Nairobi</w:t>
      </w:r>
      <w:bookmarkEnd w:id="2149"/>
      <w:bookmarkEnd w:id="2150"/>
      <w:bookmarkEnd w:id="2151"/>
      <w:bookmarkEnd w:id="2152"/>
      <w:bookmarkEnd w:id="2153"/>
      <w:bookmarkEnd w:id="2154"/>
      <w:bookmarkEnd w:id="2155"/>
      <w:r>
        <w:t xml:space="preserve"> </w:t>
      </w:r>
    </w:p>
    <w:p w14:paraId="4F8BF247" w14:textId="77777777" w:rsidR="00B01D46" w:rsidRDefault="0067013E">
      <w:pPr>
        <w:shd w:val="clear" w:color="auto" w:fill="FFFFFF"/>
        <w:spacing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interviews conducted with university librarians, heads of departments, and heads of medical librarians revealed that institutions had unstable internet connectivity, outdated computers, inadequate computer laboratories with limited internet connection, projectors were available but not in good working conditions, outdated Microsoft application, available Wi-FI networks all-round the universities compound were very weak, subscription fee meant for internet and e-resource providers had not been paid. The findings seem to suggest that the institutions have not kept abreast with the changing technologies. This might indicate that these institutions have misplaced responsibilities or/both absence of university management support</w:t>
      </w:r>
    </w:p>
    <w:p w14:paraId="46DA696E" w14:textId="77777777" w:rsidR="00B01D46" w:rsidRDefault="0067013E">
      <w:pPr>
        <w:pStyle w:val="Heading3"/>
        <w:ind w:left="630" w:hanging="630"/>
      </w:pPr>
      <w:bookmarkStart w:id="2156" w:name="_Toc165363544"/>
      <w:bookmarkStart w:id="2157" w:name="_Toc165975917"/>
      <w:bookmarkStart w:id="2158" w:name="_Toc165973196"/>
      <w:bookmarkStart w:id="2159" w:name="_Toc165369352"/>
      <w:bookmarkStart w:id="2160" w:name="_Toc164664128"/>
      <w:bookmarkStart w:id="2161" w:name="_Toc165365318"/>
      <w:bookmarkStart w:id="2162" w:name="_Toc184273000"/>
      <w:r>
        <w:t>6.6.4 Challenges Hindering Effective Utilization of ICT Tools and Devices Facilitating ILS</w:t>
      </w:r>
      <w:bookmarkEnd w:id="2156"/>
      <w:bookmarkEnd w:id="2157"/>
      <w:bookmarkEnd w:id="2158"/>
      <w:bookmarkEnd w:id="2159"/>
      <w:bookmarkEnd w:id="2160"/>
      <w:bookmarkEnd w:id="2161"/>
      <w:bookmarkEnd w:id="2162"/>
    </w:p>
    <w:p w14:paraId="440B806B" w14:textId="77777777" w:rsidR="00B01D46" w:rsidRDefault="0067013E">
      <w:pPr>
        <w:spacing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Universities are faced with many ICT challenges in their quest to train and equip students with appropriate ILS. The findings revealed majority 207 (92.00%), 206 (91.56%), 207 (92.00%), 211 (83.45%) and 205 (93.78%) and 213 (94.67%) of the students  and majority </w:t>
      </w:r>
      <w:r>
        <w:rPr>
          <w:rFonts w:ascii="Times New Roman" w:eastAsia="Calibri" w:hAnsi="Times New Roman" w:cs="Times New Roman"/>
          <w:color w:val="000000"/>
          <w:sz w:val="24"/>
          <w:szCs w:val="24"/>
        </w:rPr>
        <w:t xml:space="preserve">58(93.74%), 59(97.64%), 57(92.96%), 59(95.21%) 57(92.96%) and 59(97.64%) of the lecturers </w:t>
      </w:r>
      <w:r>
        <w:rPr>
          <w:rFonts w:ascii="Times New Roman" w:eastAsia="Calibri" w:hAnsi="Times New Roman" w:cs="Times New Roman"/>
          <w:sz w:val="24"/>
          <w:szCs w:val="24"/>
        </w:rPr>
        <w:t xml:space="preserve">affirmed that unreliable internet </w:t>
      </w:r>
      <w:r>
        <w:rPr>
          <w:rFonts w:ascii="Times New Roman" w:eastAsia="Calibri" w:hAnsi="Times New Roman" w:cs="Times New Roman"/>
          <w:sz w:val="24"/>
          <w:szCs w:val="24"/>
        </w:rPr>
        <w:lastRenderedPageBreak/>
        <w:t xml:space="preserve">connectivity and limited accessibility, limited ICT tools and infrastructure, absence of effectual tutelage (training), limited ICT training time, trainers’ ICT incompetency and lack of interest among lecturers in using ICT technologies, respectively, were factors contributing to the underutilization of ICT in ILS learning as illustrated in Table 5.29. </w:t>
      </w:r>
    </w:p>
    <w:p w14:paraId="084A7273"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Similarly, interviews with </w:t>
      </w:r>
      <w:r>
        <w:rPr>
          <w:rFonts w:ascii="Times New Roman" w:eastAsia="Times New Roman" w:hAnsi="Times New Roman" w:cs="Times New Roman"/>
          <w:sz w:val="24"/>
          <w:szCs w:val="24"/>
        </w:rPr>
        <w:t xml:space="preserve">university librarians, heads of departments, and heads of medical librarians </w:t>
      </w:r>
      <w:r>
        <w:rPr>
          <w:rFonts w:ascii="Times New Roman" w:eastAsia="Calibri" w:hAnsi="Times New Roman" w:cs="Times New Roman"/>
          <w:sz w:val="24"/>
          <w:szCs w:val="24"/>
        </w:rPr>
        <w:t xml:space="preserve">established that </w:t>
      </w:r>
      <w:r>
        <w:rPr>
          <w:rFonts w:ascii="Times New Roman" w:eastAsia="Times New Roman" w:hAnsi="Times New Roman" w:cs="Times New Roman"/>
          <w:sz w:val="24"/>
          <w:szCs w:val="24"/>
        </w:rPr>
        <w:t xml:space="preserve">the challenges hindering effective utilization of ICT tools and devices facilitating ILS among students were; </w:t>
      </w:r>
      <w:r>
        <w:rPr>
          <w:rFonts w:ascii="Times New Roman" w:eastAsia="Calibri" w:hAnsi="Times New Roman" w:cs="Times New Roman"/>
          <w:sz w:val="24"/>
          <w:szCs w:val="24"/>
        </w:rPr>
        <w:t xml:space="preserve">low internet access, lack of pedagogical skills among trainers, slow speed of computers, insufficient training time, insufficient ICT systems personnel, lack of effectual tutelage (training), and poor ICT literacy among students. </w:t>
      </w:r>
    </w:p>
    <w:p w14:paraId="2B1556A2" w14:textId="77777777" w:rsidR="00B01D46" w:rsidRDefault="0067013E">
      <w:pPr>
        <w:spacing w:before="120"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rPr>
        <w:t>These findings seem to suggest that the challenges facing effective ICT utilization on ILS training are; lack of training in digital literacy, connectivity issues, lack of pedagogic and didactic training in how to use ICT in the classroom and lack of training concerning technology use in specific subject areas were obstacles to using new technologies ILS in classroom.</w:t>
      </w:r>
      <w:r>
        <w:rPr>
          <w:rFonts w:ascii="Times New Roman" w:eastAsia="Calibri" w:hAnsi="Times New Roman" w:cs="Times New Roman"/>
          <w:sz w:val="24"/>
          <w:szCs w:val="24"/>
          <w:shd w:val="clear" w:color="auto" w:fill="FFFFFF"/>
        </w:rPr>
        <w:t xml:space="preserve"> This is an indication of limited support from the university management. </w:t>
      </w:r>
    </w:p>
    <w:p w14:paraId="6CA948CF" w14:textId="77777777" w:rsidR="00B01D46" w:rsidRDefault="0067013E">
      <w:pPr>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shd w:val="clear" w:color="auto" w:fill="FFFFFF"/>
        </w:rPr>
        <w:t>The findings are consistent with a study conducted by Polepalli and Ramesh, (2016) which revealed that the respondents faced slow internet access speed, computers with limited memory and capacity.</w:t>
      </w:r>
      <w:r>
        <w:rPr>
          <w:rFonts w:ascii="Times New Roman" w:eastAsia="Calibri" w:hAnsi="Times New Roman" w:cs="Times New Roman"/>
          <w:sz w:val="24"/>
          <w:szCs w:val="24"/>
        </w:rPr>
        <w:t xml:space="preserve"> Correspondingly, the findings agree with Cox et al (1999a) in his study on use of ICT tools and pedagogical training for teachers, assert that if teachers are to be convinced of the value of using ICT tools in their teaching, their training should focus on the pedagogical issues. In addition, a study by Ghavifekr et al (2015) on teaching and learning with ICT tools: issues and challenges </w:t>
      </w:r>
      <w:r>
        <w:rPr>
          <w:rFonts w:ascii="Times New Roman" w:eastAsia="Calibri" w:hAnsi="Times New Roman" w:cs="Times New Roman"/>
          <w:sz w:val="24"/>
          <w:szCs w:val="24"/>
        </w:rPr>
        <w:lastRenderedPageBreak/>
        <w:t>from teachers’ perceptions found that teachers’ deficiency of technological competence is a main barrier to their acceptance and adoption of ICT</w:t>
      </w:r>
    </w:p>
    <w:p w14:paraId="355B23BD" w14:textId="77777777" w:rsidR="00B01D46" w:rsidRDefault="0067013E">
      <w:pPr>
        <w:pStyle w:val="Heading2"/>
      </w:pPr>
      <w:bookmarkStart w:id="2163" w:name="_Toc165369353"/>
      <w:bookmarkStart w:id="2164" w:name="_Toc165363545"/>
      <w:bookmarkStart w:id="2165" w:name="_Toc165975918"/>
      <w:bookmarkStart w:id="2166" w:name="_Toc165365319"/>
      <w:bookmarkStart w:id="2167" w:name="_Toc165973197"/>
      <w:bookmarkStart w:id="2168" w:name="_Toc184273001"/>
      <w:r>
        <w:t>6.7 Challenges Hindering ILS Delivery to Medical Undergraduate Students</w:t>
      </w:r>
      <w:bookmarkEnd w:id="2163"/>
      <w:bookmarkEnd w:id="2164"/>
      <w:bookmarkEnd w:id="2165"/>
      <w:bookmarkEnd w:id="2166"/>
      <w:bookmarkEnd w:id="2167"/>
      <w:bookmarkEnd w:id="2168"/>
    </w:p>
    <w:p w14:paraId="0476CAED"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This section addresses the challenges of ILS delivery. The study established that the challenges hindering ILS delivery to </w:t>
      </w:r>
      <w:r>
        <w:rPr>
          <w:rFonts w:ascii="Times New Roman" w:eastAsia="Times New Roman" w:hAnsi="Times New Roman" w:cs="Times New Roman"/>
          <w:sz w:val="24"/>
          <w:szCs w:val="24"/>
        </w:rPr>
        <w:t>medical undergraduate students</w:t>
      </w:r>
      <w:r>
        <w:rPr>
          <w:rFonts w:ascii="Times New Roman" w:hAnsi="Times New Roman" w:cs="Times New Roman"/>
          <w:b/>
          <w:bCs/>
          <w:sz w:val="24"/>
          <w:szCs w:val="24"/>
        </w:rPr>
        <w:t xml:space="preserve"> </w:t>
      </w:r>
      <w:r>
        <w:rPr>
          <w:rFonts w:ascii="Times New Roman" w:hAnsi="Times New Roman" w:cs="Times New Roman"/>
          <w:sz w:val="24"/>
          <w:szCs w:val="24"/>
        </w:rPr>
        <w:t>in the two universities were: l</w:t>
      </w:r>
      <w:r>
        <w:rPr>
          <w:rFonts w:ascii="Times New Roman" w:hAnsi="Times New Roman" w:cs="Times New Roman"/>
          <w:iCs/>
          <w:sz w:val="24"/>
          <w:szCs w:val="24"/>
        </w:rPr>
        <w:t xml:space="preserve">arge classes, unstable power supply, inadequate support from management organs in the university, poor and unstable internet connectivity, limited internet bandwidth from the internet service providers, </w:t>
      </w:r>
      <w:r>
        <w:rPr>
          <w:rFonts w:ascii="Times New Roman" w:eastAsia="Times New Roman" w:hAnsi="Times New Roman" w:cs="Times New Roman"/>
          <w:sz w:val="24"/>
          <w:szCs w:val="24"/>
        </w:rPr>
        <w:t xml:space="preserve">information literacy skills are not well-integrated or embedded in the universities’ curriculum, </w:t>
      </w:r>
      <w:r>
        <w:rPr>
          <w:rFonts w:ascii="Times New Roman" w:hAnsi="Times New Roman" w:cs="Times New Roman"/>
          <w:iCs/>
          <w:sz w:val="24"/>
          <w:szCs w:val="24"/>
        </w:rPr>
        <w:t xml:space="preserve">students lack interest in learning ILS, </w:t>
      </w:r>
      <w:r>
        <w:rPr>
          <w:rFonts w:ascii="Times New Roman" w:hAnsi="Times New Roman" w:cs="Times New Roman"/>
          <w:sz w:val="24"/>
          <w:szCs w:val="24"/>
        </w:rPr>
        <w:t xml:space="preserve">inadequate support from university management, </w:t>
      </w:r>
      <w:r>
        <w:rPr>
          <w:rFonts w:ascii="Times New Roman" w:eastAsia="Times New Roman" w:hAnsi="Times New Roman" w:cs="Times New Roman"/>
          <w:sz w:val="24"/>
          <w:szCs w:val="24"/>
        </w:rPr>
        <w:t>ILS policies not fully adopted,</w:t>
      </w:r>
      <w:r>
        <w:rPr>
          <w:rFonts w:ascii="Times New Roman" w:hAnsi="Times New Roman" w:cs="Times New Roman"/>
          <w:sz w:val="24"/>
          <w:szCs w:val="24"/>
        </w:rPr>
        <w:t xml:space="preserve"> students misconceptions that they already possess information literacy skills and competencies, </w:t>
      </w:r>
      <w:r>
        <w:rPr>
          <w:rFonts w:ascii="Times New Roman" w:hAnsi="Times New Roman" w:cs="Times New Roman"/>
          <w:iCs/>
          <w:sz w:val="24"/>
          <w:szCs w:val="24"/>
        </w:rPr>
        <w:t>inadequate time for instruction,</w:t>
      </w:r>
      <w:r>
        <w:rPr>
          <w:rFonts w:ascii="Times New Roman" w:hAnsi="Times New Roman" w:cs="Times New Roman"/>
          <w:sz w:val="24"/>
          <w:szCs w:val="24"/>
        </w:rPr>
        <w:t xml:space="preserve"> limited number of skilled staff, inadequate time allocated to the program, </w:t>
      </w:r>
      <w:r>
        <w:rPr>
          <w:rFonts w:ascii="Times New Roman" w:hAnsi="Times New Roman" w:cs="Times New Roman"/>
          <w:iCs/>
          <w:sz w:val="24"/>
          <w:szCs w:val="24"/>
        </w:rPr>
        <w:t xml:space="preserve">inadequate and outdated computers and software in the computer laboratories, </w:t>
      </w:r>
      <w:r>
        <w:rPr>
          <w:rFonts w:ascii="Times New Roman" w:hAnsi="Times New Roman" w:cs="Times New Roman"/>
          <w:sz w:val="24"/>
          <w:szCs w:val="24"/>
        </w:rPr>
        <w:t>reluctance by faculty staff to adopt an information literacy skills approach in their teaching</w:t>
      </w:r>
      <w:r>
        <w:rPr>
          <w:rFonts w:ascii="Times New Roman" w:hAnsi="Times New Roman" w:cs="Times New Roman"/>
          <w:iCs/>
          <w:sz w:val="24"/>
          <w:szCs w:val="24"/>
        </w:rPr>
        <w:t xml:space="preserve">, </w:t>
      </w:r>
      <w:r>
        <w:rPr>
          <w:rFonts w:ascii="Times New Roman" w:eastAsia="Times New Roman" w:hAnsi="Times New Roman" w:cs="Times New Roman"/>
          <w:sz w:val="24"/>
          <w:szCs w:val="24"/>
        </w:rPr>
        <w:t>ICT skills of students is low, and this affects their internet search skills, a</w:t>
      </w:r>
      <w:r>
        <w:rPr>
          <w:rFonts w:ascii="Times New Roman" w:hAnsi="Times New Roman" w:cs="Times New Roman"/>
          <w:iCs/>
          <w:sz w:val="24"/>
          <w:szCs w:val="24"/>
        </w:rPr>
        <w:t>nd limited pedagogical skills among the lecturers and librarians</w:t>
      </w:r>
      <w:r>
        <w:rPr>
          <w:rFonts w:ascii="Times New Roman" w:hAnsi="Times New Roman" w:cs="Times New Roman"/>
          <w:sz w:val="24"/>
          <w:szCs w:val="24"/>
        </w:rPr>
        <w:t xml:space="preserve">. </w:t>
      </w:r>
    </w:p>
    <w:p w14:paraId="5C53A197" w14:textId="77777777" w:rsidR="00B01D46" w:rsidRDefault="0067013E">
      <w:pPr>
        <w:shd w:val="clear" w:color="auto" w:fill="FFFFFF"/>
        <w:spacing w:before="120" w:after="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findings are supported by Dennis (2004) study on the user education program at the University of Ghana, findings that, identified inadequate number of qualified staff to instruct students during orientation, and inadequate time allocated to the program as some of the challenges facing information literacy skills training and learning. Similarly, Dadzie (2007) in her study on information literacy: assessing the readiness of Ghanaian universities, identified several problems hindering the implementation of ILS programs at the university of Ghana and the University of Cape Coast. The problems were; lack of university commitment to the project, </w:t>
      </w:r>
      <w:r>
        <w:rPr>
          <w:rFonts w:ascii="Times New Roman" w:eastAsia="Times New Roman" w:hAnsi="Times New Roman" w:cs="Times New Roman"/>
          <w:sz w:val="24"/>
          <w:szCs w:val="24"/>
        </w:rPr>
        <w:lastRenderedPageBreak/>
        <w:t>inadequate information about what ILS is, the unwillingness of the various departments already handling components of the ILS programs to collaborate to form a campus‐wide project, unwillingness to accept innovations in curricula planning, inadequate technological infrastructure/computers, inadequate electronic resources, and inadequate human resources (</w:t>
      </w:r>
      <w:r>
        <w:rPr>
          <w:rFonts w:ascii="Times New Roman" w:eastAsia="Times New Roman" w:hAnsi="Times New Roman" w:cs="Times New Roman"/>
          <w:sz w:val="24"/>
          <w:szCs w:val="24"/>
          <w:shd w:val="clear" w:color="auto" w:fill="FFFFFF"/>
        </w:rPr>
        <w:t>Anunobi, &amp; Ukwoma, 2016)</w:t>
      </w:r>
      <w:r>
        <w:rPr>
          <w:rFonts w:ascii="Times New Roman" w:eastAsia="Times New Roman" w:hAnsi="Times New Roman" w:cs="Times New Roman"/>
          <w:sz w:val="24"/>
          <w:szCs w:val="24"/>
        </w:rPr>
        <w:t>.</w:t>
      </w:r>
    </w:p>
    <w:p w14:paraId="0F6B003D" w14:textId="77777777" w:rsidR="00B01D46" w:rsidRDefault="0067013E">
      <w:pPr>
        <w:shd w:val="clear" w:color="auto" w:fill="FFFFFF"/>
        <w:spacing w:before="120" w:after="0" w:line="48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Likewise, Lwehabura (2008) identified several factors hindering the ILS delivery in Tanzania universities. They are lack of clear ILS policy, inadequate time, the teaching of IL as a stand‐alone course voluntarily, and non‐involvement of teaching staff. Similarly, Lwehabura and Stilwell (2008) in their study, pointed out that, to a large extent, ILS instruction is weak in terms of its effectiveness in imparting ILS knowledge and skills in Tanzania. Among the reasons given are</w:t>
      </w:r>
    </w:p>
    <w:p w14:paraId="16F4EA98" w14:textId="77777777" w:rsidR="00B01D46" w:rsidRDefault="0067013E">
      <w:pPr>
        <w:numPr>
          <w:ilvl w:val="0"/>
          <w:numId w:val="16"/>
        </w:numPr>
        <w:shd w:val="clear" w:color="auto" w:fill="FFFFFF"/>
        <w:tabs>
          <w:tab w:val="clear" w:pos="720"/>
        </w:tabs>
        <w:spacing w:after="0" w:line="480" w:lineRule="auto"/>
        <w:ind w:left="426" w:right="65"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no dedicated ILS policy to guide ILS practice;</w:t>
      </w:r>
    </w:p>
    <w:p w14:paraId="4CD8992B" w14:textId="77777777" w:rsidR="00B01D46" w:rsidRDefault="0067013E">
      <w:pPr>
        <w:numPr>
          <w:ilvl w:val="0"/>
          <w:numId w:val="16"/>
        </w:numPr>
        <w:shd w:val="clear" w:color="auto" w:fill="FFFFFF"/>
        <w:tabs>
          <w:tab w:val="clear" w:pos="720"/>
        </w:tabs>
        <w:spacing w:after="0" w:line="480" w:lineRule="auto"/>
        <w:ind w:left="426" w:right="65"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 lack of awareness among students about the IL instruction sessions;</w:t>
      </w:r>
    </w:p>
    <w:p w14:paraId="2C78D932" w14:textId="77777777" w:rsidR="00B01D46" w:rsidRDefault="0067013E">
      <w:pPr>
        <w:numPr>
          <w:ilvl w:val="0"/>
          <w:numId w:val="16"/>
        </w:numPr>
        <w:shd w:val="clear" w:color="auto" w:fill="FFFFFF"/>
        <w:tabs>
          <w:tab w:val="clear" w:pos="720"/>
        </w:tabs>
        <w:spacing w:after="0" w:line="480" w:lineRule="auto"/>
        <w:ind w:left="426" w:right="65"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instruction sessions are affected by time constraints because IL is not allocated official time for university academic timetables;</w:t>
      </w:r>
    </w:p>
    <w:p w14:paraId="33310D16" w14:textId="77777777" w:rsidR="00B01D46" w:rsidRDefault="0067013E">
      <w:pPr>
        <w:numPr>
          <w:ilvl w:val="0"/>
          <w:numId w:val="16"/>
        </w:numPr>
        <w:shd w:val="clear" w:color="auto" w:fill="FFFFFF"/>
        <w:tabs>
          <w:tab w:val="clear" w:pos="720"/>
        </w:tabs>
        <w:spacing w:after="0" w:line="480" w:lineRule="auto"/>
        <w:ind w:left="426" w:right="65"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attendance by students is voluntary and as a result, not all students take advantage of the sessions that are in place;</w:t>
      </w:r>
    </w:p>
    <w:p w14:paraId="7BCFC820" w14:textId="77777777" w:rsidR="00B01D46" w:rsidRDefault="0067013E">
      <w:pPr>
        <w:numPr>
          <w:ilvl w:val="0"/>
          <w:numId w:val="16"/>
        </w:numPr>
        <w:shd w:val="clear" w:color="auto" w:fill="FFFFFF"/>
        <w:tabs>
          <w:tab w:val="clear" w:pos="720"/>
        </w:tabs>
        <w:spacing w:after="0" w:line="480" w:lineRule="auto"/>
        <w:ind w:left="426" w:right="65"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 lack of resources such as computers and CD‐ROMs to support hands-on practice, and information skills sessions are not integrated into the curriculum.</w:t>
      </w:r>
    </w:p>
    <w:p w14:paraId="6D3D6A3C"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shd w:val="clear" w:color="auto" w:fill="FFFFFF"/>
        </w:rPr>
        <w:t xml:space="preserve">Correspondingly, Kavulya (2003) observed that there is a failure on the part of librarians to push ILS to the fore as a function of the university library.  </w:t>
      </w:r>
      <w:r>
        <w:rPr>
          <w:rFonts w:ascii="Times New Roman" w:eastAsia="Calibri" w:hAnsi="Times New Roman" w:cs="Times New Roman"/>
          <w:sz w:val="24"/>
          <w:szCs w:val="24"/>
        </w:rPr>
        <w:t xml:space="preserve">Equally, Amunga (2007) identified over-dependence on one-day orientation programs; lack of collective curriculum for user education program in Kenyan universities; and use of unqualified personnel to teach the course as challenges facing ILS training and learning. Likewise, Odero-Musakali and Mutula (2007) identified lack of trained </w:t>
      </w:r>
      <w:r>
        <w:rPr>
          <w:rFonts w:ascii="Times New Roman" w:eastAsia="Calibri" w:hAnsi="Times New Roman" w:cs="Times New Roman"/>
          <w:sz w:val="24"/>
          <w:szCs w:val="24"/>
        </w:rPr>
        <w:lastRenderedPageBreak/>
        <w:t>personnel and a negative attitude of university management toward IT as major factors that impede the effective adoption of ILS in university libraries.</w:t>
      </w:r>
    </w:p>
    <w:p w14:paraId="68216E50" w14:textId="77777777" w:rsidR="00B01D46" w:rsidRDefault="00B01D46">
      <w:pPr>
        <w:spacing w:after="0" w:line="240" w:lineRule="auto"/>
        <w:ind w:right="65"/>
        <w:jc w:val="both"/>
        <w:rPr>
          <w:rFonts w:ascii="Times New Roman" w:eastAsia="Calibri" w:hAnsi="Times New Roman" w:cs="Times New Roman"/>
          <w:sz w:val="24"/>
          <w:szCs w:val="24"/>
        </w:rPr>
      </w:pPr>
    </w:p>
    <w:p w14:paraId="6591F044" w14:textId="77777777" w:rsidR="00B01D46" w:rsidRDefault="0067013E">
      <w:pPr>
        <w:pStyle w:val="Heading2"/>
      </w:pPr>
      <w:bookmarkStart w:id="2169" w:name="_Toc165365320"/>
      <w:bookmarkStart w:id="2170" w:name="_Toc165363546"/>
      <w:bookmarkStart w:id="2171" w:name="_Toc165369354"/>
      <w:bookmarkStart w:id="2172" w:name="_Toc184273002"/>
      <w:bookmarkStart w:id="2173" w:name="_Toc165975919"/>
      <w:bookmarkStart w:id="2174" w:name="_Toc165973198"/>
      <w:r>
        <w:t>6.8 Strategies to Improve ILS Learning and Training</w:t>
      </w:r>
      <w:bookmarkEnd w:id="2169"/>
      <w:bookmarkEnd w:id="2170"/>
      <w:bookmarkEnd w:id="2171"/>
      <w:bookmarkEnd w:id="2172"/>
      <w:bookmarkEnd w:id="2173"/>
      <w:bookmarkEnd w:id="2174"/>
    </w:p>
    <w:p w14:paraId="2ABB4E8D" w14:textId="77777777" w:rsidR="00B01D46" w:rsidRDefault="0067013E">
      <w:pPr>
        <w:shd w:val="clear" w:color="auto" w:fill="FFFFFF"/>
        <w:spacing w:after="0" w:line="480" w:lineRule="auto"/>
        <w:ind w:right="65"/>
        <w:jc w:val="both"/>
        <w:rPr>
          <w:rFonts w:ascii="Times New Roman" w:eastAsia="Times New Roman" w:hAnsi="Times New Roman" w:cs="Times New Roman"/>
          <w:color w:val="2F5496"/>
          <w:sz w:val="24"/>
          <w:szCs w:val="24"/>
        </w:rPr>
      </w:pPr>
      <w:r>
        <w:rPr>
          <w:rFonts w:ascii="Times New Roman" w:eastAsia="Times New Roman" w:hAnsi="Times New Roman" w:cs="Times New Roman"/>
          <w:sz w:val="24"/>
          <w:szCs w:val="24"/>
        </w:rPr>
        <w:t xml:space="preserve">The respondents proposed the following as mitigation measures to improve ILS learning and training. Institutions of higher learning should establish a partnership with mobile phone (smartphone) manufacturers to enable students to purchase subsidized smartphones. </w:t>
      </w:r>
      <w:r>
        <w:rPr>
          <w:rFonts w:ascii="Times New Roman" w:eastAsia="Times New Roman" w:hAnsi="Times New Roman" w:cs="Times New Roman"/>
          <w:sz w:val="24"/>
          <w:szCs w:val="24"/>
          <w:shd w:val="clear" w:color="auto" w:fill="FFFFFF"/>
        </w:rPr>
        <w:t>To further sensitize lecturers on the importance of information literacy skills, l</w:t>
      </w:r>
      <w:r>
        <w:rPr>
          <w:rFonts w:ascii="Times New Roman" w:eastAsia="Times New Roman" w:hAnsi="Times New Roman" w:cs="Times New Roman"/>
          <w:sz w:val="24"/>
          <w:szCs w:val="24"/>
        </w:rPr>
        <w:t>ibrarians and teachers must collaborate to evolve the information literacy skills course and periodically revise the course according to new developments; l</w:t>
      </w:r>
      <w:r>
        <w:rPr>
          <w:rFonts w:ascii="Times New Roman" w:eastAsia="Times New Roman" w:hAnsi="Times New Roman" w:cs="Times New Roman"/>
          <w:sz w:val="24"/>
          <w:szCs w:val="24"/>
          <w:shd w:val="clear" w:color="auto" w:fill="FFFFFF"/>
        </w:rPr>
        <w:t>ibrary resources and ILS infrastructure facilities should be strengthened;  </w:t>
      </w:r>
      <w:r>
        <w:rPr>
          <w:rFonts w:ascii="Times New Roman" w:eastAsia="Times New Roman" w:hAnsi="Times New Roman" w:cs="Times New Roman"/>
          <w:sz w:val="24"/>
          <w:szCs w:val="24"/>
        </w:rPr>
        <w:t>librarians should develop interest and zeal to acquire the needed IT skills;</w:t>
      </w:r>
      <w:r>
        <w:rPr>
          <w:rFonts w:ascii="Times New Roman" w:eastAsia="Times New Roman" w:hAnsi="Times New Roman" w:cs="Times New Roman"/>
          <w:sz w:val="24"/>
          <w:szCs w:val="24"/>
          <w:shd w:val="clear" w:color="auto" w:fill="FFFFFF"/>
        </w:rPr>
        <w:t xml:space="preserve"> partnerships between librarians and teachers can be developed by lobbying to be involved in teaching part of information literacy skills course, such as instruction about catalog and databases, how to assess or evaluate internet sources, referencing and citation patterns; and  librarians can collaborate with other stakeholders (students, staff  and management) in their institutions to ensure proper implementation of ILS policy in their institutions. </w:t>
      </w:r>
    </w:p>
    <w:p w14:paraId="6EC135A3" w14:textId="77777777" w:rsidR="00B01D46" w:rsidRDefault="0067013E">
      <w:pPr>
        <w:spacing w:after="200" w:line="276" w:lineRule="auto"/>
        <w:ind w:right="65"/>
        <w:rPr>
          <w:rFonts w:ascii="Times New Roman" w:eastAsia="Times New Roman" w:hAnsi="Times New Roman" w:cs="Times New Roman"/>
          <w:b/>
          <w:sz w:val="24"/>
          <w:szCs w:val="24"/>
        </w:rPr>
      </w:pPr>
      <w:bookmarkStart w:id="2175" w:name="_Toc165369355"/>
      <w:bookmarkStart w:id="2176" w:name="_Toc165365321"/>
      <w:bookmarkStart w:id="2177" w:name="_Toc165973199"/>
      <w:bookmarkStart w:id="2178" w:name="_Toc165363547"/>
      <w:bookmarkStart w:id="2179" w:name="_Toc165975920"/>
      <w:bookmarkStart w:id="2180" w:name="_Toc164664129"/>
      <w:bookmarkStart w:id="2181" w:name="_Hlk159795113"/>
      <w:r>
        <w:rPr>
          <w:rFonts w:ascii="Times New Roman" w:eastAsia="Times New Roman" w:hAnsi="Times New Roman" w:cs="Times New Roman"/>
          <w:b/>
          <w:sz w:val="24"/>
          <w:szCs w:val="24"/>
        </w:rPr>
        <w:br w:type="page"/>
      </w:r>
    </w:p>
    <w:p w14:paraId="053393D2" w14:textId="77777777" w:rsidR="00B01D46" w:rsidRDefault="00B01D46">
      <w:pPr>
        <w:pStyle w:val="Caption"/>
        <w:sectPr w:rsidR="00B01D46">
          <w:pgSz w:w="11909" w:h="16834"/>
          <w:pgMar w:top="1440" w:right="1584" w:bottom="1440" w:left="2160" w:header="708" w:footer="708" w:gutter="0"/>
          <w:cols w:space="708"/>
          <w:docGrid w:linePitch="360"/>
        </w:sectPr>
      </w:pPr>
    </w:p>
    <w:p w14:paraId="26BA9E75" w14:textId="77777777" w:rsidR="00B01D46" w:rsidRDefault="0067013E">
      <w:pPr>
        <w:pStyle w:val="Caption"/>
      </w:pPr>
      <w:bookmarkStart w:id="2182" w:name="_Toc184272028"/>
      <w:bookmarkStart w:id="2183" w:name="_Toc184276938"/>
      <w:r>
        <w:lastRenderedPageBreak/>
        <w:t>Table 6.1: Summary of Findings Mapped to the Theoretical Models and the Research Questions</w:t>
      </w:r>
      <w:bookmarkEnd w:id="2175"/>
      <w:bookmarkEnd w:id="2176"/>
      <w:bookmarkEnd w:id="2177"/>
      <w:bookmarkEnd w:id="2178"/>
      <w:bookmarkEnd w:id="2179"/>
      <w:bookmarkEnd w:id="2180"/>
      <w:bookmarkEnd w:id="2182"/>
      <w:bookmarkEnd w:id="2183"/>
      <w:r>
        <w:t xml:space="preserve"> </w:t>
      </w:r>
    </w:p>
    <w:tbl>
      <w:tblPr>
        <w:tblStyle w:val="TableGrid0"/>
        <w:tblW w:w="14288" w:type="dxa"/>
        <w:jc w:val="center"/>
        <w:tblInd w:w="0" w:type="dxa"/>
        <w:tblCellMar>
          <w:left w:w="107" w:type="dxa"/>
          <w:right w:w="49" w:type="dxa"/>
        </w:tblCellMar>
        <w:tblLook w:val="04A0" w:firstRow="1" w:lastRow="0" w:firstColumn="1" w:lastColumn="0" w:noHBand="0" w:noVBand="1"/>
      </w:tblPr>
      <w:tblGrid>
        <w:gridCol w:w="2335"/>
        <w:gridCol w:w="1800"/>
        <w:gridCol w:w="3943"/>
        <w:gridCol w:w="6210"/>
      </w:tblGrid>
      <w:tr w:rsidR="00B01D46" w14:paraId="5F6689DC" w14:textId="77777777">
        <w:trPr>
          <w:trHeight w:val="20"/>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9D9D9"/>
          </w:tcPr>
          <w:bookmarkEnd w:id="2181"/>
          <w:p w14:paraId="605DA6B3"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Theoretical models </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cPr>
          <w:p w14:paraId="03D103B6"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Key variables addressed </w:t>
            </w:r>
          </w:p>
        </w:tc>
        <w:tc>
          <w:tcPr>
            <w:tcW w:w="3943" w:type="dxa"/>
            <w:tcBorders>
              <w:top w:val="single" w:sz="4" w:space="0" w:color="000000"/>
              <w:left w:val="single" w:sz="4" w:space="0" w:color="000000"/>
              <w:bottom w:val="single" w:sz="4" w:space="0" w:color="000000"/>
              <w:right w:val="single" w:sz="4" w:space="0" w:color="000000"/>
            </w:tcBorders>
            <w:shd w:val="clear" w:color="auto" w:fill="D9D9D9"/>
          </w:tcPr>
          <w:p w14:paraId="04881910"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Research question </w:t>
            </w:r>
          </w:p>
        </w:tc>
        <w:tc>
          <w:tcPr>
            <w:tcW w:w="6210" w:type="dxa"/>
            <w:tcBorders>
              <w:top w:val="single" w:sz="4" w:space="0" w:color="000000"/>
              <w:left w:val="single" w:sz="4" w:space="0" w:color="000000"/>
              <w:bottom w:val="single" w:sz="4" w:space="0" w:color="000000"/>
              <w:right w:val="single" w:sz="4" w:space="0" w:color="000000"/>
            </w:tcBorders>
            <w:shd w:val="clear" w:color="auto" w:fill="D9D9D9"/>
          </w:tcPr>
          <w:p w14:paraId="74363A46"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Summary of findings </w:t>
            </w:r>
          </w:p>
        </w:tc>
      </w:tr>
      <w:tr w:rsidR="00B01D46" w14:paraId="57088A88" w14:textId="77777777">
        <w:trPr>
          <w:trHeight w:val="20"/>
          <w:jc w:val="center"/>
        </w:trPr>
        <w:tc>
          <w:tcPr>
            <w:tcW w:w="2335" w:type="dxa"/>
            <w:tcBorders>
              <w:top w:val="single" w:sz="4" w:space="0" w:color="000000"/>
              <w:left w:val="single" w:sz="4" w:space="0" w:color="000000"/>
              <w:bottom w:val="single" w:sz="4" w:space="0" w:color="000000"/>
              <w:right w:val="single" w:sz="4" w:space="0" w:color="000000"/>
            </w:tcBorders>
          </w:tcPr>
          <w:p w14:paraId="7BC3B5A1"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Sauce Model (Bond, 2009)</w:t>
            </w:r>
          </w:p>
        </w:tc>
        <w:tc>
          <w:tcPr>
            <w:tcW w:w="1800" w:type="dxa"/>
            <w:tcBorders>
              <w:top w:val="single" w:sz="4" w:space="0" w:color="000000"/>
              <w:left w:val="single" w:sz="4" w:space="0" w:color="000000"/>
              <w:bottom w:val="single" w:sz="4" w:space="0" w:color="000000"/>
              <w:right w:val="single" w:sz="4" w:space="0" w:color="000000"/>
            </w:tcBorders>
          </w:tcPr>
          <w:p w14:paraId="1E1BD33B"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Status of Information literacy skills</w:t>
            </w:r>
          </w:p>
        </w:tc>
        <w:tc>
          <w:tcPr>
            <w:tcW w:w="3943" w:type="dxa"/>
            <w:tcBorders>
              <w:top w:val="single" w:sz="4" w:space="0" w:color="000000"/>
              <w:left w:val="single" w:sz="4" w:space="0" w:color="000000"/>
              <w:bottom w:val="single" w:sz="4" w:space="0" w:color="000000"/>
              <w:right w:val="single" w:sz="4" w:space="0" w:color="000000"/>
            </w:tcBorders>
          </w:tcPr>
          <w:p w14:paraId="2C834E15"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What is the status of ILS </w:t>
            </w:r>
            <w:r>
              <w:rPr>
                <w:rFonts w:ascii="Times New Roman" w:hAnsi="Times New Roman" w:cs="Times New Roman"/>
                <w:sz w:val="24"/>
                <w:szCs w:val="24"/>
              </w:rPr>
              <w:t>among medical undergraduate students at the University of Nairobi and Moi University?</w:t>
            </w:r>
          </w:p>
        </w:tc>
        <w:tc>
          <w:tcPr>
            <w:tcW w:w="6210" w:type="dxa"/>
            <w:tcBorders>
              <w:top w:val="single" w:sz="4" w:space="0" w:color="000000"/>
              <w:left w:val="single" w:sz="4" w:space="0" w:color="000000"/>
              <w:bottom w:val="single" w:sz="4" w:space="0" w:color="000000"/>
              <w:right w:val="single" w:sz="4" w:space="0" w:color="000000"/>
            </w:tcBorders>
          </w:tcPr>
          <w:p w14:paraId="445758B1"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students have basic information literacy skills such as general internet search skills, referencing, print and electronic sources, etc</w:t>
            </w:r>
          </w:p>
          <w:p w14:paraId="65F248B4"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are deficient in advanced search skills </w:t>
            </w:r>
          </w:p>
          <w:p w14:paraId="1ADC0965"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Discussion groups are informative </w:t>
            </w:r>
          </w:p>
          <w:p w14:paraId="06611FAB"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utilize computer-based and other technologies in the search for sources </w:t>
            </w:r>
          </w:p>
        </w:tc>
      </w:tr>
      <w:tr w:rsidR="00B01D46" w14:paraId="242665C3" w14:textId="77777777">
        <w:trPr>
          <w:trHeight w:val="20"/>
          <w:jc w:val="center"/>
        </w:trPr>
        <w:tc>
          <w:tcPr>
            <w:tcW w:w="2335" w:type="dxa"/>
            <w:tcBorders>
              <w:top w:val="single" w:sz="4" w:space="0" w:color="000000"/>
              <w:left w:val="single" w:sz="4" w:space="0" w:color="000000"/>
              <w:bottom w:val="single" w:sz="4" w:space="0" w:color="000000"/>
              <w:right w:val="single" w:sz="4" w:space="0" w:color="000000"/>
            </w:tcBorders>
          </w:tcPr>
          <w:p w14:paraId="7DB77212"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Relational frame of the six frames for information instruction education mode according to Bruce, et al (2006)</w:t>
            </w:r>
          </w:p>
        </w:tc>
        <w:tc>
          <w:tcPr>
            <w:tcW w:w="1800" w:type="dxa"/>
            <w:tcBorders>
              <w:top w:val="single" w:sz="4" w:space="0" w:color="000000"/>
              <w:left w:val="single" w:sz="4" w:space="0" w:color="000000"/>
              <w:bottom w:val="single" w:sz="4" w:space="0" w:color="000000"/>
              <w:right w:val="single" w:sz="4" w:space="0" w:color="000000"/>
            </w:tcBorders>
          </w:tcPr>
          <w:p w14:paraId="01A0279C"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literacy skills policy</w:t>
            </w:r>
          </w:p>
          <w:p w14:paraId="781C43F1" w14:textId="77777777" w:rsidR="00B01D46" w:rsidRDefault="00B01D46">
            <w:pPr>
              <w:spacing w:line="240" w:lineRule="auto"/>
              <w:ind w:right="65"/>
              <w:jc w:val="both"/>
              <w:rPr>
                <w:rFonts w:ascii="Times New Roman" w:eastAsia="Times New Roman" w:hAnsi="Times New Roman" w:cs="Times New Roman"/>
                <w:sz w:val="24"/>
                <w:szCs w:val="24"/>
              </w:rPr>
            </w:pPr>
          </w:p>
          <w:p w14:paraId="6F675E33"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literacy skills procedure</w:t>
            </w:r>
          </w:p>
        </w:tc>
        <w:tc>
          <w:tcPr>
            <w:tcW w:w="3943" w:type="dxa"/>
            <w:tcBorders>
              <w:top w:val="single" w:sz="4" w:space="0" w:color="000000"/>
              <w:left w:val="single" w:sz="4" w:space="0" w:color="000000"/>
              <w:bottom w:val="single" w:sz="4" w:space="0" w:color="000000"/>
              <w:right w:val="single" w:sz="4" w:space="0" w:color="000000"/>
            </w:tcBorders>
          </w:tcPr>
          <w:p w14:paraId="6B95B440"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hAnsi="Times New Roman" w:cs="Times New Roman"/>
                <w:sz w:val="24"/>
                <w:szCs w:val="24"/>
              </w:rPr>
              <w:t xml:space="preserve">How does information literacy skills policy and curriculum guide in imparting ILS to medical, undergraduate students? </w:t>
            </w:r>
          </w:p>
        </w:tc>
        <w:tc>
          <w:tcPr>
            <w:tcW w:w="6210" w:type="dxa"/>
            <w:tcBorders>
              <w:top w:val="single" w:sz="4" w:space="0" w:color="000000"/>
              <w:left w:val="single" w:sz="4" w:space="0" w:color="000000"/>
              <w:bottom w:val="single" w:sz="4" w:space="0" w:color="000000"/>
              <w:right w:val="single" w:sz="4" w:space="0" w:color="000000"/>
            </w:tcBorders>
          </w:tcPr>
          <w:p w14:paraId="6930E07A"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time management during the data searching and organizing process is necessary for students learning</w:t>
            </w:r>
          </w:p>
          <w:p w14:paraId="13209173"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areas of information literacy skills (ILS) include identification, evaluating applying, and acknowledging sources of information on literacy learning</w:t>
            </w:r>
          </w:p>
          <w:p w14:paraId="6378962F"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ethical consideration and training in accessing certain websites</w:t>
            </w:r>
          </w:p>
        </w:tc>
      </w:tr>
      <w:tr w:rsidR="00B01D46" w14:paraId="10245507" w14:textId="77777777">
        <w:trPr>
          <w:trHeight w:val="20"/>
          <w:jc w:val="center"/>
        </w:trPr>
        <w:tc>
          <w:tcPr>
            <w:tcW w:w="2335" w:type="dxa"/>
            <w:tcBorders>
              <w:top w:val="single" w:sz="4" w:space="0" w:color="000000"/>
              <w:left w:val="single" w:sz="4" w:space="0" w:color="000000"/>
              <w:bottom w:val="single" w:sz="4" w:space="0" w:color="000000"/>
              <w:right w:val="single" w:sz="4" w:space="0" w:color="000000"/>
            </w:tcBorders>
          </w:tcPr>
          <w:p w14:paraId="701AB7C3"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Relational frame of the six frames for information instruction education mode</w:t>
            </w:r>
          </w:p>
          <w:p w14:paraId="4C08B072"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Bruce, et al (2006)</w:t>
            </w:r>
          </w:p>
        </w:tc>
        <w:tc>
          <w:tcPr>
            <w:tcW w:w="1800" w:type="dxa"/>
            <w:tcBorders>
              <w:top w:val="single" w:sz="4" w:space="0" w:color="000000"/>
              <w:left w:val="single" w:sz="4" w:space="0" w:color="000000"/>
              <w:bottom w:val="single" w:sz="4" w:space="0" w:color="000000"/>
              <w:right w:val="single" w:sz="4" w:space="0" w:color="000000"/>
            </w:tcBorders>
          </w:tcPr>
          <w:p w14:paraId="0465E1F4" w14:textId="77777777" w:rsidR="00B01D46" w:rsidRDefault="0067013E">
            <w:pPr>
              <w:spacing w:after="241" w:line="240" w:lineRule="auto"/>
              <w:ind w:right="65"/>
              <w:jc w:val="both"/>
              <w:rPr>
                <w:rFonts w:ascii="Times New Roman" w:eastAsia="Times New Roman" w:hAnsi="Times New Roman" w:cs="Times New Roman"/>
                <w:sz w:val="24"/>
                <w:szCs w:val="24"/>
              </w:rPr>
            </w:pPr>
            <w:r>
              <w:rPr>
                <w:rFonts w:ascii="Times New Roman" w:eastAsia="Calibri" w:hAnsi="Times New Roman" w:cs="Times New Roman"/>
                <w:sz w:val="24"/>
                <w:szCs w:val="24"/>
              </w:rPr>
              <w:t>Information skills curriculum adequacy</w:t>
            </w:r>
          </w:p>
        </w:tc>
        <w:tc>
          <w:tcPr>
            <w:tcW w:w="3943" w:type="dxa"/>
            <w:tcBorders>
              <w:top w:val="single" w:sz="4" w:space="0" w:color="000000"/>
              <w:left w:val="single" w:sz="4" w:space="0" w:color="000000"/>
              <w:bottom w:val="single" w:sz="4" w:space="0" w:color="000000"/>
              <w:right w:val="single" w:sz="4" w:space="0" w:color="000000"/>
            </w:tcBorders>
          </w:tcPr>
          <w:p w14:paraId="539A0DA1"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Calibri" w:hAnsi="Times New Roman" w:cs="Times New Roman"/>
                <w:sz w:val="24"/>
                <w:szCs w:val="24"/>
              </w:rPr>
              <w:t>How is the understanding of ILS among medical undergraduate students?</w:t>
            </w:r>
          </w:p>
        </w:tc>
        <w:tc>
          <w:tcPr>
            <w:tcW w:w="6210" w:type="dxa"/>
            <w:tcBorders>
              <w:top w:val="single" w:sz="4" w:space="0" w:color="000000"/>
              <w:left w:val="single" w:sz="4" w:space="0" w:color="000000"/>
              <w:bottom w:val="single" w:sz="4" w:space="0" w:color="000000"/>
              <w:right w:val="single" w:sz="4" w:space="0" w:color="000000"/>
            </w:tcBorders>
          </w:tcPr>
          <w:p w14:paraId="5809B7F9" w14:textId="77777777" w:rsidR="00B01D46" w:rsidRDefault="0067013E">
            <w:pPr>
              <w:spacing w:after="237"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ILS training help students differentiate between primary and secondary sources of information and evaluate information resources found.</w:t>
            </w:r>
          </w:p>
          <w:p w14:paraId="07E3A72C"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also learn orientation and e-resources.</w:t>
            </w:r>
          </w:p>
          <w:p w14:paraId="4391030C"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learned was library orientation. </w:t>
            </w:r>
          </w:p>
          <w:p w14:paraId="2D2EC8D0"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students physically borrow books from the library and use their online portal </w:t>
            </w:r>
          </w:p>
          <w:p w14:paraId="76DAAB27"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training enhances the technological literacy of students</w:t>
            </w:r>
          </w:p>
          <w:p w14:paraId="3DE4DDF8"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computers, one on one teaching, and online materials offered to students are some of the ways of learning adopted</w:t>
            </w:r>
          </w:p>
        </w:tc>
      </w:tr>
      <w:tr w:rsidR="00B01D46" w14:paraId="046B92BC" w14:textId="77777777">
        <w:trPr>
          <w:trHeight w:val="20"/>
          <w:jc w:val="center"/>
        </w:trPr>
        <w:tc>
          <w:tcPr>
            <w:tcW w:w="2335" w:type="dxa"/>
            <w:tcBorders>
              <w:top w:val="single" w:sz="4" w:space="0" w:color="000000"/>
              <w:left w:val="single" w:sz="4" w:space="0" w:color="000000"/>
              <w:bottom w:val="single" w:sz="4" w:space="0" w:color="000000"/>
              <w:right w:val="single" w:sz="4" w:space="0" w:color="000000"/>
            </w:tcBorders>
          </w:tcPr>
          <w:p w14:paraId="5CDEB087"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Sauce Model (Bond, 2009)</w:t>
            </w:r>
          </w:p>
        </w:tc>
        <w:tc>
          <w:tcPr>
            <w:tcW w:w="1800" w:type="dxa"/>
            <w:tcBorders>
              <w:top w:val="single" w:sz="4" w:space="0" w:color="000000"/>
              <w:left w:val="single" w:sz="4" w:space="0" w:color="000000"/>
              <w:bottom w:val="single" w:sz="4" w:space="0" w:color="000000"/>
              <w:right w:val="single" w:sz="4" w:space="0" w:color="000000"/>
            </w:tcBorders>
          </w:tcPr>
          <w:p w14:paraId="662713B7"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Calibri" w:hAnsi="Times New Roman" w:cs="Times New Roman"/>
                <w:sz w:val="24"/>
                <w:szCs w:val="24"/>
              </w:rPr>
              <w:t>Perception towards ILS</w:t>
            </w:r>
          </w:p>
        </w:tc>
        <w:tc>
          <w:tcPr>
            <w:tcW w:w="3943" w:type="dxa"/>
            <w:tcBorders>
              <w:top w:val="single" w:sz="4" w:space="0" w:color="000000"/>
              <w:left w:val="single" w:sz="4" w:space="0" w:color="000000"/>
              <w:bottom w:val="single" w:sz="4" w:space="0" w:color="000000"/>
              <w:right w:val="single" w:sz="4" w:space="0" w:color="000000"/>
            </w:tcBorders>
          </w:tcPr>
          <w:p w14:paraId="042C4A2C" w14:textId="77777777" w:rsidR="00B01D46" w:rsidRDefault="0067013E">
            <w:pPr>
              <w:spacing w:after="332" w:line="240" w:lineRule="auto"/>
              <w:ind w:right="65"/>
              <w:jc w:val="both"/>
              <w:rPr>
                <w:rFonts w:ascii="Times New Roman" w:eastAsia="Times New Roman" w:hAnsi="Times New Roman" w:cs="Times New Roman"/>
                <w:sz w:val="24"/>
                <w:szCs w:val="24"/>
              </w:rPr>
            </w:pPr>
            <w:r>
              <w:rPr>
                <w:rFonts w:ascii="Times New Roman" w:eastAsia="Calibri" w:hAnsi="Times New Roman" w:cs="Times New Roman"/>
                <w:sz w:val="24"/>
                <w:szCs w:val="24"/>
              </w:rPr>
              <w:t>What is the perception of staff and medical, dentistry, and nursing undergraduate students towards ILS in Nairobi and Moi universities in Kenya?</w:t>
            </w:r>
            <w:r>
              <w:rPr>
                <w:rFonts w:ascii="Times New Roman" w:eastAsia="Times New Roman" w:hAnsi="Times New Roman" w:cs="Times New Roman"/>
                <w:sz w:val="24"/>
                <w:szCs w:val="24"/>
              </w:rPr>
              <w:t xml:space="preserve">  </w:t>
            </w:r>
          </w:p>
          <w:p w14:paraId="322622AC"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210" w:type="dxa"/>
            <w:tcBorders>
              <w:top w:val="single" w:sz="4" w:space="0" w:color="000000"/>
              <w:left w:val="single" w:sz="4" w:space="0" w:color="000000"/>
              <w:bottom w:val="single" w:sz="4" w:space="0" w:color="000000"/>
              <w:right w:val="single" w:sz="4" w:space="0" w:color="000000"/>
            </w:tcBorders>
          </w:tcPr>
          <w:p w14:paraId="7C0CEC29"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clarity in the information literacy course</w:t>
            </w:r>
          </w:p>
          <w:p w14:paraId="16CCCC45"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studies on ILS are intellectually stimulating</w:t>
            </w:r>
          </w:p>
          <w:p w14:paraId="49C531C8"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examples and illustrations are useful teaching methods</w:t>
            </w:r>
          </w:p>
          <w:p w14:paraId="2D13A0C5"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utilize online library catalogs</w:t>
            </w:r>
          </w:p>
          <w:p w14:paraId="650B7A9C"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 need for more student-librarian interaction</w:t>
            </w:r>
          </w:p>
        </w:tc>
      </w:tr>
      <w:tr w:rsidR="00B01D46" w14:paraId="4506C221" w14:textId="77777777">
        <w:trPr>
          <w:trHeight w:val="20"/>
          <w:jc w:val="center"/>
        </w:trPr>
        <w:tc>
          <w:tcPr>
            <w:tcW w:w="2335" w:type="dxa"/>
            <w:tcBorders>
              <w:top w:val="single" w:sz="4" w:space="0" w:color="000000"/>
              <w:left w:val="single" w:sz="4" w:space="0" w:color="000000"/>
              <w:bottom w:val="single" w:sz="4" w:space="0" w:color="000000"/>
              <w:right w:val="single" w:sz="4" w:space="0" w:color="000000"/>
            </w:tcBorders>
          </w:tcPr>
          <w:p w14:paraId="2DE8E487"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Sauce Model (Bond, 2009)</w:t>
            </w:r>
          </w:p>
        </w:tc>
        <w:tc>
          <w:tcPr>
            <w:tcW w:w="1800" w:type="dxa"/>
            <w:tcBorders>
              <w:top w:val="single" w:sz="4" w:space="0" w:color="000000"/>
              <w:left w:val="single" w:sz="4" w:space="0" w:color="000000"/>
              <w:bottom w:val="single" w:sz="4" w:space="0" w:color="000000"/>
              <w:right w:val="single" w:sz="4" w:space="0" w:color="000000"/>
            </w:tcBorders>
          </w:tcPr>
          <w:p w14:paraId="5A93EBA7" w14:textId="77777777" w:rsidR="00B01D46" w:rsidRDefault="0067013E">
            <w:pPr>
              <w:spacing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(1) ILS knowledge</w:t>
            </w:r>
          </w:p>
          <w:p w14:paraId="77C452FC" w14:textId="77777777" w:rsidR="00B01D46" w:rsidRDefault="00B01D46">
            <w:pPr>
              <w:spacing w:line="240" w:lineRule="auto"/>
              <w:ind w:right="65"/>
              <w:jc w:val="both"/>
              <w:rPr>
                <w:rFonts w:ascii="Times New Roman" w:eastAsia="Times New Roman" w:hAnsi="Times New Roman" w:cs="Times New Roman"/>
                <w:sz w:val="24"/>
                <w:szCs w:val="24"/>
              </w:rPr>
            </w:pPr>
          </w:p>
          <w:p w14:paraId="41B08E46" w14:textId="77777777" w:rsidR="00B01D46" w:rsidRDefault="0067013E">
            <w:pPr>
              <w:spacing w:line="24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ILS skills </w:t>
            </w:r>
          </w:p>
          <w:p w14:paraId="2D4EEFAB" w14:textId="77777777" w:rsidR="00B01D46" w:rsidRDefault="00B01D46">
            <w:pPr>
              <w:spacing w:line="240" w:lineRule="auto"/>
              <w:ind w:right="65"/>
              <w:jc w:val="both"/>
              <w:rPr>
                <w:rFonts w:ascii="Times New Roman" w:eastAsia="Times New Roman" w:hAnsi="Times New Roman" w:cs="Times New Roman"/>
                <w:sz w:val="24"/>
                <w:szCs w:val="24"/>
              </w:rPr>
            </w:pPr>
          </w:p>
          <w:p w14:paraId="484D3D9A"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(3) ILS training </w:t>
            </w:r>
          </w:p>
          <w:p w14:paraId="5641058D" w14:textId="77777777" w:rsidR="00B01D46" w:rsidRDefault="00B01D46">
            <w:pPr>
              <w:spacing w:line="240" w:lineRule="auto"/>
              <w:ind w:right="65"/>
              <w:jc w:val="both"/>
              <w:rPr>
                <w:rFonts w:ascii="Times New Roman" w:eastAsia="Times New Roman" w:hAnsi="Times New Roman" w:cs="Times New Roman"/>
                <w:sz w:val="24"/>
                <w:szCs w:val="24"/>
              </w:rPr>
            </w:pPr>
          </w:p>
        </w:tc>
        <w:tc>
          <w:tcPr>
            <w:tcW w:w="3943" w:type="dxa"/>
            <w:tcBorders>
              <w:top w:val="single" w:sz="4" w:space="0" w:color="000000"/>
              <w:left w:val="single" w:sz="4" w:space="0" w:color="000000"/>
              <w:bottom w:val="single" w:sz="4" w:space="0" w:color="000000"/>
              <w:right w:val="single" w:sz="4" w:space="0" w:color="000000"/>
            </w:tcBorders>
          </w:tcPr>
          <w:p w14:paraId="177ECC70"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What knowledge, skills, and training are possessed by the staff of Nairobi and Moi universities in facilitating ILS among </w:t>
            </w:r>
            <w:r>
              <w:rPr>
                <w:rFonts w:ascii="Times New Roman" w:eastAsia="Times New Roman" w:hAnsi="Times New Roman" w:cs="Times New Roman"/>
                <w:sz w:val="24"/>
                <w:szCs w:val="24"/>
              </w:rPr>
              <w:t>medical, dentistry, and nursing undergraduate students</w:t>
            </w:r>
            <w:r>
              <w:rPr>
                <w:rFonts w:ascii="Times New Roman" w:eastAsia="Calibri" w:hAnsi="Times New Roman" w:cs="Times New Roman"/>
                <w:sz w:val="24"/>
                <w:szCs w:val="24"/>
              </w:rPr>
              <w:t>?</w:t>
            </w:r>
          </w:p>
        </w:tc>
        <w:tc>
          <w:tcPr>
            <w:tcW w:w="6210" w:type="dxa"/>
            <w:tcBorders>
              <w:top w:val="single" w:sz="4" w:space="0" w:color="000000"/>
              <w:left w:val="single" w:sz="4" w:space="0" w:color="000000"/>
              <w:bottom w:val="single" w:sz="4" w:space="0" w:color="000000"/>
              <w:right w:val="single" w:sz="4" w:space="0" w:color="000000"/>
            </w:tcBorders>
          </w:tcPr>
          <w:p w14:paraId="7675B2D6"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Staff have skills to use several reference sources</w:t>
            </w:r>
          </w:p>
          <w:p w14:paraId="1C5AA6E4"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Staff understand the selection of materials and information on ILS</w:t>
            </w:r>
          </w:p>
          <w:p w14:paraId="5CC14913"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Staff utilize advanced search techniques in ILS such as Boolean and Truncation </w:t>
            </w:r>
          </w:p>
          <w:p w14:paraId="7E1D4C58"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staff can recognize accurate and complete information in ILS</w:t>
            </w:r>
          </w:p>
        </w:tc>
      </w:tr>
      <w:tr w:rsidR="00B01D46" w14:paraId="73F9B9C6" w14:textId="77777777">
        <w:trPr>
          <w:trHeight w:val="20"/>
          <w:jc w:val="center"/>
        </w:trPr>
        <w:tc>
          <w:tcPr>
            <w:tcW w:w="2335" w:type="dxa"/>
            <w:tcBorders>
              <w:top w:val="single" w:sz="4" w:space="0" w:color="000000"/>
              <w:left w:val="single" w:sz="4" w:space="0" w:color="000000"/>
              <w:bottom w:val="single" w:sz="4" w:space="0" w:color="000000"/>
              <w:right w:val="single" w:sz="4" w:space="0" w:color="000000"/>
            </w:tcBorders>
          </w:tcPr>
          <w:p w14:paraId="2F525710"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Sauce Model (Bond, 2009)</w:t>
            </w:r>
          </w:p>
        </w:tc>
        <w:tc>
          <w:tcPr>
            <w:tcW w:w="1800" w:type="dxa"/>
            <w:tcBorders>
              <w:top w:val="single" w:sz="4" w:space="0" w:color="000000"/>
              <w:left w:val="single" w:sz="4" w:space="0" w:color="000000"/>
              <w:bottom w:val="single" w:sz="4" w:space="0" w:color="000000"/>
              <w:right w:val="single" w:sz="4" w:space="0" w:color="000000"/>
            </w:tcBorders>
          </w:tcPr>
          <w:p w14:paraId="04E2C9F2" w14:textId="77777777" w:rsidR="00B01D46" w:rsidRDefault="0067013E">
            <w:pPr>
              <w:spacing w:after="241"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ICT(s) </w:t>
            </w:r>
          </w:p>
          <w:p w14:paraId="0B6A072F"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943" w:type="dxa"/>
            <w:tcBorders>
              <w:top w:val="single" w:sz="4" w:space="0" w:color="000000"/>
              <w:left w:val="single" w:sz="4" w:space="0" w:color="000000"/>
              <w:bottom w:val="single" w:sz="4" w:space="0" w:color="000000"/>
              <w:right w:val="single" w:sz="4" w:space="0" w:color="000000"/>
            </w:tcBorders>
          </w:tcPr>
          <w:p w14:paraId="7DA24760"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is the role of ICT in facilitating and promoting the learning of information literacy skills among</w:t>
            </w:r>
            <w:r>
              <w:rPr>
                <w:rFonts w:ascii="Times New Roman" w:eastAsia="Calibri" w:hAnsi="Times New Roman" w:cs="Times New Roman"/>
                <w:sz w:val="24"/>
                <w:szCs w:val="24"/>
              </w:rPr>
              <w:t xml:space="preserve"> </w:t>
            </w:r>
            <w:r>
              <w:rPr>
                <w:rFonts w:ascii="Times New Roman" w:eastAsia="Times New Roman" w:hAnsi="Times New Roman" w:cs="Times New Roman"/>
                <w:sz w:val="24"/>
                <w:szCs w:val="24"/>
              </w:rPr>
              <w:t xml:space="preserve">medical, dentistry, and nursing undergraduate students at the </w:t>
            </w:r>
            <w:r>
              <w:rPr>
                <w:rFonts w:ascii="Times New Roman" w:eastAsia="Times New Roman" w:hAnsi="Times New Roman" w:cs="Times New Roman"/>
                <w:sz w:val="24"/>
                <w:szCs w:val="24"/>
              </w:rPr>
              <w:lastRenderedPageBreak/>
              <w:t xml:space="preserve">University of Nairobi and Moi University?  </w:t>
            </w:r>
          </w:p>
        </w:tc>
        <w:tc>
          <w:tcPr>
            <w:tcW w:w="6210" w:type="dxa"/>
            <w:tcBorders>
              <w:top w:val="single" w:sz="4" w:space="0" w:color="000000"/>
              <w:left w:val="single" w:sz="4" w:space="0" w:color="000000"/>
              <w:bottom w:val="single" w:sz="4" w:space="0" w:color="000000"/>
              <w:right w:val="single" w:sz="4" w:space="0" w:color="000000"/>
            </w:tcBorders>
          </w:tcPr>
          <w:p w14:paraId="55991BA5"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Students utilize computers for their study needs</w:t>
            </w:r>
          </w:p>
          <w:p w14:paraId="6DC666D3"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online communication programs that effectiveness</w:t>
            </w:r>
          </w:p>
          <w:p w14:paraId="6F639D58"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can evaluate free information on the internet for validity</w:t>
            </w:r>
          </w:p>
          <w:p w14:paraId="5B981A00"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computers are necessary for learning information literacy</w:t>
            </w:r>
          </w:p>
          <w:p w14:paraId="752A5487" w14:textId="77777777" w:rsidR="00B01D46" w:rsidRDefault="00B01D46">
            <w:pPr>
              <w:spacing w:line="240" w:lineRule="auto"/>
              <w:ind w:right="65"/>
              <w:jc w:val="both"/>
              <w:rPr>
                <w:rFonts w:ascii="Times New Roman" w:eastAsia="Times New Roman" w:hAnsi="Times New Roman" w:cs="Times New Roman"/>
                <w:sz w:val="24"/>
                <w:szCs w:val="24"/>
              </w:rPr>
            </w:pPr>
          </w:p>
        </w:tc>
      </w:tr>
      <w:tr w:rsidR="00B01D46" w14:paraId="1D2D3E95" w14:textId="77777777">
        <w:trPr>
          <w:trHeight w:val="20"/>
          <w:jc w:val="center"/>
        </w:trPr>
        <w:tc>
          <w:tcPr>
            <w:tcW w:w="2335" w:type="dxa"/>
            <w:tcBorders>
              <w:top w:val="single" w:sz="4" w:space="0" w:color="000000"/>
              <w:left w:val="single" w:sz="4" w:space="0" w:color="000000"/>
              <w:bottom w:val="single" w:sz="4" w:space="0" w:color="000000"/>
              <w:right w:val="single" w:sz="4" w:space="0" w:color="000000"/>
            </w:tcBorders>
          </w:tcPr>
          <w:p w14:paraId="4E58CF26"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Sauce Model (Bond, 2009)</w:t>
            </w:r>
          </w:p>
        </w:tc>
        <w:tc>
          <w:tcPr>
            <w:tcW w:w="1800" w:type="dxa"/>
            <w:tcBorders>
              <w:top w:val="single" w:sz="4" w:space="0" w:color="000000"/>
              <w:left w:val="single" w:sz="4" w:space="0" w:color="000000"/>
              <w:bottom w:val="single" w:sz="4" w:space="0" w:color="000000"/>
              <w:right w:val="single" w:sz="4" w:space="0" w:color="000000"/>
            </w:tcBorders>
          </w:tcPr>
          <w:p w14:paraId="400FC623" w14:textId="77777777" w:rsidR="00B01D46" w:rsidRDefault="0067013E">
            <w:pPr>
              <w:spacing w:after="241"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ILS delivery, </w:t>
            </w:r>
          </w:p>
          <w:p w14:paraId="383104AE" w14:textId="77777777" w:rsidR="00B01D46" w:rsidRDefault="0067013E">
            <w:pPr>
              <w:spacing w:after="238"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B8D6A7E"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ILS challenges</w:t>
            </w:r>
          </w:p>
          <w:p w14:paraId="0B3B311A" w14:textId="77777777" w:rsidR="00B01D46" w:rsidRDefault="00B01D46">
            <w:pPr>
              <w:spacing w:line="240" w:lineRule="auto"/>
              <w:ind w:right="65"/>
              <w:jc w:val="both"/>
              <w:rPr>
                <w:rFonts w:ascii="Times New Roman" w:eastAsia="Times New Roman" w:hAnsi="Times New Roman" w:cs="Times New Roman"/>
                <w:sz w:val="24"/>
                <w:szCs w:val="24"/>
              </w:rPr>
            </w:pPr>
          </w:p>
          <w:p w14:paraId="78D7774D" w14:textId="77777777" w:rsidR="00B01D46" w:rsidRDefault="00B01D46">
            <w:pPr>
              <w:spacing w:line="240" w:lineRule="auto"/>
              <w:ind w:right="65"/>
              <w:jc w:val="both"/>
              <w:rPr>
                <w:rFonts w:ascii="Times New Roman" w:eastAsia="Times New Roman" w:hAnsi="Times New Roman" w:cs="Times New Roman"/>
                <w:sz w:val="24"/>
                <w:szCs w:val="24"/>
              </w:rPr>
            </w:pPr>
          </w:p>
          <w:p w14:paraId="7D08C266"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ILS training</w:t>
            </w:r>
          </w:p>
        </w:tc>
        <w:tc>
          <w:tcPr>
            <w:tcW w:w="3943" w:type="dxa"/>
            <w:tcBorders>
              <w:top w:val="single" w:sz="4" w:space="0" w:color="000000"/>
              <w:left w:val="single" w:sz="4" w:space="0" w:color="000000"/>
              <w:bottom w:val="single" w:sz="4" w:space="0" w:color="000000"/>
              <w:right w:val="single" w:sz="4" w:space="0" w:color="000000"/>
            </w:tcBorders>
          </w:tcPr>
          <w:p w14:paraId="5416C5F4" w14:textId="77777777" w:rsidR="00B01D46" w:rsidRDefault="0067013E">
            <w:pPr>
              <w:spacing w:after="331"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the challenges in ILS delivery and what framework should be developed to enhance ILS training among medical, dentistry, and nursing undergraduate students at the University of Nairobi and Moi University? </w:t>
            </w:r>
          </w:p>
          <w:p w14:paraId="08B50812"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210" w:type="dxa"/>
            <w:tcBorders>
              <w:top w:val="single" w:sz="4" w:space="0" w:color="000000"/>
              <w:left w:val="single" w:sz="4" w:space="0" w:color="000000"/>
              <w:bottom w:val="single" w:sz="4" w:space="0" w:color="000000"/>
              <w:right w:val="single" w:sz="4" w:space="0" w:color="000000"/>
            </w:tcBorders>
          </w:tcPr>
          <w:p w14:paraId="240359A1"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university Libraries are not well-organized and equipped </w:t>
            </w:r>
          </w:p>
          <w:p w14:paraId="2F924D15"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literacy and academic performance are correlated</w:t>
            </w:r>
          </w:p>
          <w:p w14:paraId="1AA3DF12"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 lack of well-trained lecturers</w:t>
            </w:r>
          </w:p>
          <w:p w14:paraId="1BB1711C"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no policy for continuous assessment of students’ information literacy skills</w:t>
            </w:r>
          </w:p>
          <w:p w14:paraId="014D0229"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not well-trained in information literacy in their first year</w:t>
            </w:r>
          </w:p>
          <w:p w14:paraId="0258A136" w14:textId="77777777" w:rsidR="00B01D46" w:rsidRDefault="0067013E">
            <w:pPr>
              <w:spacing w:line="240" w:lineRule="auto"/>
              <w:ind w:right="6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Universities lack the necessary infrastructure for ILS training</w:t>
            </w:r>
          </w:p>
        </w:tc>
      </w:tr>
    </w:tbl>
    <w:p w14:paraId="6BC68E50" w14:textId="77777777" w:rsidR="00B01D46" w:rsidRDefault="00B01D46">
      <w:pPr>
        <w:spacing w:before="120" w:after="0" w:line="480" w:lineRule="auto"/>
        <w:ind w:right="65"/>
        <w:jc w:val="both"/>
        <w:rPr>
          <w:rFonts w:ascii="Times New Roman" w:eastAsia="Calibri" w:hAnsi="Times New Roman" w:cs="Times New Roman"/>
          <w:sz w:val="24"/>
          <w:szCs w:val="24"/>
        </w:rPr>
        <w:sectPr w:rsidR="00B01D46">
          <w:pgSz w:w="16834" w:h="11909" w:orient="landscape"/>
          <w:pgMar w:top="1728" w:right="1440" w:bottom="1440" w:left="1440" w:header="706" w:footer="706" w:gutter="0"/>
          <w:cols w:space="708"/>
          <w:docGrid w:linePitch="360"/>
        </w:sectPr>
      </w:pPr>
    </w:p>
    <w:p w14:paraId="3B4E7CC0" w14:textId="77777777" w:rsidR="00B01D46" w:rsidRDefault="0067013E">
      <w:pPr>
        <w:pStyle w:val="Heading2"/>
      </w:pPr>
      <w:bookmarkStart w:id="2184" w:name="_Toc165365322"/>
      <w:bookmarkStart w:id="2185" w:name="_Toc184273003"/>
      <w:bookmarkStart w:id="2186" w:name="_Toc165369356"/>
      <w:bookmarkStart w:id="2187" w:name="_Toc164664130"/>
      <w:bookmarkStart w:id="2188" w:name="_Toc165363548"/>
      <w:bookmarkStart w:id="2189" w:name="_Toc165973200"/>
      <w:bookmarkStart w:id="2190" w:name="_Toc165975921"/>
      <w:r>
        <w:lastRenderedPageBreak/>
        <w:t>6.9 Chapter Summary</w:t>
      </w:r>
      <w:bookmarkEnd w:id="2184"/>
      <w:bookmarkEnd w:id="2185"/>
      <w:bookmarkEnd w:id="2186"/>
      <w:bookmarkEnd w:id="2187"/>
      <w:bookmarkEnd w:id="2188"/>
      <w:bookmarkEnd w:id="2189"/>
      <w:bookmarkEnd w:id="2190"/>
    </w:p>
    <w:p w14:paraId="4D14A059"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Chapter Six has discussed and interpreted the findings of this research study, as presented in Chapter Five. Chapter Six was systematized in themes, sections and sub-sections based on data from the seven research objectives and questions. The interpretation and discussion of findings covered the main research objectives and questions as underpinned by the Sauce Model (Bond, 2009) and Relational frame of the six frames for information instruction education mode according to Bruce, et al (2006). Furthermore, interpretations and discussions showed how the findings relates to similar studies in the literature. </w:t>
      </w:r>
    </w:p>
    <w:p w14:paraId="2B5864EE"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demonstrate that </w:t>
      </w:r>
      <w:r>
        <w:rPr>
          <w:rFonts w:ascii="Times New Roman" w:eastAsia="Calibri" w:hAnsi="Times New Roman" w:cs="Times New Roman"/>
          <w:sz w:val="24"/>
          <w:szCs w:val="24"/>
          <w:shd w:val="clear" w:color="auto" w:fill="FFFFFF"/>
        </w:rPr>
        <w:t>majority of the students were not aware of Boolean logic, field, truncation, and phrase searches.</w:t>
      </w:r>
      <w:r>
        <w:rPr>
          <w:rFonts w:ascii="Times New Roman" w:eastAsia="Calibri" w:hAnsi="Times New Roman" w:cs="Times New Roman"/>
          <w:sz w:val="24"/>
          <w:szCs w:val="24"/>
        </w:rPr>
        <w:t xml:space="preserve"> The study established that the challenges hindering ILS delivery to </w:t>
      </w:r>
      <w:r>
        <w:rPr>
          <w:rFonts w:ascii="Times New Roman" w:eastAsia="Times New Roman" w:hAnsi="Times New Roman" w:cs="Times New Roman"/>
          <w:sz w:val="24"/>
          <w:szCs w:val="24"/>
        </w:rPr>
        <w:t>medical undergraduate students</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in the selected universities were: l</w:t>
      </w:r>
      <w:r>
        <w:rPr>
          <w:rFonts w:ascii="Times New Roman" w:eastAsia="Calibri" w:hAnsi="Times New Roman" w:cs="Times New Roman"/>
          <w:iCs/>
          <w:sz w:val="24"/>
          <w:szCs w:val="24"/>
        </w:rPr>
        <w:t xml:space="preserve">arge classes, unstable power supply, inadequate support from management organs in the university, poor and unstable internet connectivity, limited internet bandwidth from the internet service providers, </w:t>
      </w:r>
      <w:r>
        <w:rPr>
          <w:rFonts w:ascii="Times New Roman" w:eastAsia="Times New Roman" w:hAnsi="Times New Roman" w:cs="Times New Roman"/>
          <w:sz w:val="24"/>
          <w:szCs w:val="24"/>
        </w:rPr>
        <w:t xml:space="preserve">Information literacy skills are not well-integrated or embedded in the University’s curriculum, </w:t>
      </w:r>
      <w:r>
        <w:rPr>
          <w:rFonts w:ascii="Times New Roman" w:eastAsia="Calibri" w:hAnsi="Times New Roman" w:cs="Times New Roman"/>
          <w:iCs/>
          <w:sz w:val="24"/>
          <w:szCs w:val="24"/>
        </w:rPr>
        <w:t xml:space="preserve">students lack of interest in learning ILS, </w:t>
      </w:r>
      <w:r>
        <w:rPr>
          <w:rFonts w:ascii="Times New Roman" w:eastAsia="Calibri" w:hAnsi="Times New Roman" w:cs="Times New Roman"/>
          <w:sz w:val="24"/>
          <w:szCs w:val="24"/>
        </w:rPr>
        <w:t xml:space="preserve">Inadequate support from university management, </w:t>
      </w:r>
      <w:r>
        <w:rPr>
          <w:rFonts w:ascii="Times New Roman" w:eastAsia="Times New Roman" w:hAnsi="Times New Roman" w:cs="Times New Roman"/>
          <w:sz w:val="24"/>
          <w:szCs w:val="24"/>
        </w:rPr>
        <w:t>ILS policies not adopted fully,</w:t>
      </w:r>
      <w:r>
        <w:rPr>
          <w:rFonts w:ascii="Times New Roman" w:eastAsia="Calibri" w:hAnsi="Times New Roman" w:cs="Times New Roman"/>
          <w:sz w:val="24"/>
          <w:szCs w:val="24"/>
        </w:rPr>
        <w:t xml:space="preserve"> </w:t>
      </w:r>
      <w:r>
        <w:rPr>
          <w:rFonts w:ascii="Times New Roman" w:eastAsia="Calibri" w:hAnsi="Times New Roman" w:cs="Times New Roman"/>
          <w:color w:val="333333"/>
          <w:sz w:val="24"/>
          <w:szCs w:val="24"/>
        </w:rPr>
        <w:t>Students’ misconceptions are shown by their belief that they already possess information literacy skills and competencies, </w:t>
      </w:r>
      <w:r>
        <w:rPr>
          <w:rFonts w:ascii="Times New Roman" w:eastAsia="Calibri" w:hAnsi="Times New Roman" w:cs="Times New Roman"/>
          <w:iCs/>
          <w:sz w:val="24"/>
          <w:szCs w:val="24"/>
        </w:rPr>
        <w:t>lack of adequate time for instruction,</w:t>
      </w:r>
      <w:r>
        <w:rPr>
          <w:rFonts w:ascii="Times New Roman" w:eastAsia="Calibri" w:hAnsi="Times New Roman" w:cs="Times New Roman"/>
          <w:sz w:val="24"/>
          <w:szCs w:val="24"/>
        </w:rPr>
        <w:t xml:space="preserve"> limited number of skilled staff, inadequate time allocated to the program, </w:t>
      </w:r>
      <w:r>
        <w:rPr>
          <w:rFonts w:ascii="Times New Roman" w:eastAsia="Calibri" w:hAnsi="Times New Roman" w:cs="Times New Roman"/>
          <w:iCs/>
          <w:sz w:val="24"/>
          <w:szCs w:val="24"/>
        </w:rPr>
        <w:t xml:space="preserve">inadequate computers in the computer laboratories, </w:t>
      </w:r>
      <w:r>
        <w:rPr>
          <w:rFonts w:ascii="Times New Roman" w:eastAsia="Calibri" w:hAnsi="Times New Roman" w:cs="Times New Roman"/>
          <w:color w:val="333333"/>
          <w:sz w:val="24"/>
          <w:szCs w:val="24"/>
        </w:rPr>
        <w:t>Reluctance by faculty staff to adopt an information literacy skills approach in their teaching</w:t>
      </w:r>
      <w:r>
        <w:rPr>
          <w:rFonts w:ascii="Times New Roman" w:eastAsia="Calibri" w:hAnsi="Times New Roman" w:cs="Times New Roman"/>
          <w:iCs/>
          <w:sz w:val="24"/>
          <w:szCs w:val="24"/>
        </w:rPr>
        <w:t xml:space="preserve">, </w:t>
      </w:r>
      <w:r>
        <w:rPr>
          <w:rFonts w:ascii="Times New Roman" w:eastAsia="Times New Roman" w:hAnsi="Times New Roman" w:cs="Times New Roman"/>
          <w:sz w:val="24"/>
          <w:szCs w:val="24"/>
        </w:rPr>
        <w:t>ICT skill of students is low, and this affects their internet search skills, a</w:t>
      </w:r>
      <w:r>
        <w:rPr>
          <w:rFonts w:ascii="Times New Roman" w:eastAsia="Calibri" w:hAnsi="Times New Roman" w:cs="Times New Roman"/>
          <w:iCs/>
          <w:sz w:val="24"/>
          <w:szCs w:val="24"/>
        </w:rPr>
        <w:t>nd lack of teaching methodology/pedagogical skills among the lecturers, especially librarians</w:t>
      </w:r>
      <w:r>
        <w:rPr>
          <w:rFonts w:ascii="Times New Roman" w:eastAsia="Calibri" w:hAnsi="Times New Roman" w:cs="Times New Roman"/>
          <w:sz w:val="24"/>
          <w:szCs w:val="24"/>
        </w:rPr>
        <w:t xml:space="preserve">. </w:t>
      </w:r>
    </w:p>
    <w:p w14:paraId="7924B5D4" w14:textId="77777777" w:rsidR="00B01D46" w:rsidRDefault="0067013E">
      <w:pPr>
        <w:spacing w:after="200" w:line="276" w:lineRule="auto"/>
        <w:ind w:right="65"/>
        <w:rPr>
          <w:rFonts w:ascii="Times New Roman" w:eastAsia="Times New Roman" w:hAnsi="Times New Roman" w:cs="Times New Roman"/>
          <w:b/>
          <w:bCs/>
          <w:sz w:val="24"/>
          <w:szCs w:val="24"/>
        </w:rPr>
      </w:pPr>
      <w:bookmarkStart w:id="2191" w:name="_Toc165365323"/>
      <w:bookmarkStart w:id="2192" w:name="_Toc165363549"/>
      <w:bookmarkStart w:id="2193" w:name="_Toc164664131"/>
      <w:bookmarkStart w:id="2194" w:name="_Toc165369357"/>
      <w:r>
        <w:rPr>
          <w:rFonts w:ascii="Times New Roman" w:eastAsia="Times New Roman" w:hAnsi="Times New Roman" w:cs="Times New Roman"/>
          <w:bCs/>
          <w:sz w:val="24"/>
          <w:szCs w:val="24"/>
        </w:rPr>
        <w:br w:type="page"/>
      </w:r>
    </w:p>
    <w:p w14:paraId="10608F23" w14:textId="77777777" w:rsidR="00B01D46" w:rsidRDefault="0067013E">
      <w:pPr>
        <w:pStyle w:val="Heading1"/>
      </w:pPr>
      <w:bookmarkStart w:id="2195" w:name="_Toc165973201"/>
      <w:bookmarkStart w:id="2196" w:name="_Toc165975922"/>
      <w:bookmarkStart w:id="2197" w:name="_Toc184273004"/>
      <w:r>
        <w:lastRenderedPageBreak/>
        <w:t>CHAPTER SEVEN</w:t>
      </w:r>
      <w:bookmarkEnd w:id="2191"/>
      <w:bookmarkEnd w:id="2192"/>
      <w:bookmarkEnd w:id="2193"/>
      <w:bookmarkEnd w:id="2194"/>
      <w:bookmarkEnd w:id="2195"/>
      <w:bookmarkEnd w:id="2196"/>
      <w:bookmarkEnd w:id="2197"/>
    </w:p>
    <w:p w14:paraId="635FF4C6" w14:textId="77777777" w:rsidR="00B01D46" w:rsidRDefault="0067013E">
      <w:pPr>
        <w:pStyle w:val="Heading1"/>
        <w:rPr>
          <w:rFonts w:eastAsia="Calibri"/>
        </w:rPr>
      </w:pPr>
      <w:bookmarkStart w:id="2198" w:name="_Toc184273005"/>
      <w:bookmarkStart w:id="2199" w:name="_Toc165363551"/>
      <w:bookmarkStart w:id="2200" w:name="_Toc165365325"/>
      <w:bookmarkStart w:id="2201" w:name="_Toc165369359"/>
      <w:bookmarkStart w:id="2202" w:name="_Toc165973203"/>
      <w:bookmarkStart w:id="2203" w:name="_Toc165975924"/>
      <w:bookmarkStart w:id="2204" w:name="_Toc164664133"/>
      <w:bookmarkStart w:id="2205" w:name="_Toc303421771"/>
      <w:bookmarkStart w:id="2206" w:name="_Toc299365864"/>
      <w:bookmarkStart w:id="2207" w:name="_Toc297553206"/>
      <w:bookmarkStart w:id="2208" w:name="_Toc303429491"/>
      <w:bookmarkStart w:id="2209" w:name="_Toc293066867"/>
      <w:bookmarkStart w:id="2210" w:name="_Toc299356497"/>
      <w:bookmarkStart w:id="2211" w:name="_Toc297557678"/>
      <w:bookmarkStart w:id="2212" w:name="_Toc303424325"/>
      <w:bookmarkStart w:id="2213" w:name="_Toc301965668"/>
      <w:bookmarkStart w:id="2214" w:name="_Toc303428480"/>
      <w:bookmarkStart w:id="2215" w:name="_Toc299372357"/>
      <w:bookmarkStart w:id="2216" w:name="_Toc298597504"/>
      <w:bookmarkStart w:id="2217" w:name="_Toc293066168"/>
      <w:bookmarkStart w:id="2218" w:name="_Toc303422830"/>
      <w:bookmarkStart w:id="2219" w:name="_Toc301965071"/>
      <w:bookmarkStart w:id="2220" w:name="_Toc297553977"/>
      <w:bookmarkStart w:id="2221" w:name="_Toc303423795"/>
      <w:bookmarkStart w:id="2222" w:name="_Toc298596140"/>
      <w:r>
        <w:t>SUMMARY, CONCLUSION AND RECOMMENDATIONS</w:t>
      </w:r>
      <w:bookmarkEnd w:id="2198"/>
      <w:r>
        <w:rPr>
          <w:rFonts w:eastAsia="Calibri"/>
        </w:rPr>
        <w:t xml:space="preserve"> </w:t>
      </w:r>
    </w:p>
    <w:p w14:paraId="733E3F92" w14:textId="77777777" w:rsidR="00B01D46" w:rsidRDefault="0067013E">
      <w:pPr>
        <w:pStyle w:val="Heading2"/>
      </w:pPr>
      <w:bookmarkStart w:id="2223" w:name="_Toc184273006"/>
      <w:r>
        <w:t>7.1 Introduction</w:t>
      </w:r>
      <w:bookmarkEnd w:id="2199"/>
      <w:bookmarkEnd w:id="2200"/>
      <w:bookmarkEnd w:id="2201"/>
      <w:bookmarkEnd w:id="2202"/>
      <w:bookmarkEnd w:id="2203"/>
      <w:bookmarkEnd w:id="2204"/>
      <w:bookmarkEnd w:id="2223"/>
    </w:p>
    <w:p w14:paraId="3619B69B" w14:textId="77777777" w:rsidR="00B01D46" w:rsidRDefault="0067013E">
      <w:pPr>
        <w:spacing w:after="0" w:line="480" w:lineRule="auto"/>
        <w:ind w:right="65"/>
        <w:jc w:val="both"/>
        <w:rPr>
          <w:rFonts w:ascii="Times New Roman" w:eastAsia="Calibri" w:hAnsi="Times New Roman" w:cs="Times New Roman"/>
          <w:bCs/>
          <w:sz w:val="24"/>
          <w:szCs w:val="24"/>
        </w:rPr>
      </w:pPr>
      <w:r>
        <w:rPr>
          <w:rFonts w:ascii="Times New Roman" w:eastAsia="Calibri" w:hAnsi="Times New Roman" w:cs="Times New Roman"/>
          <w:sz w:val="24"/>
          <w:szCs w:val="24"/>
        </w:rPr>
        <w:t>This chapter presents a summary of the key findings, conclusion and recommendations based on the objectives and</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research questions of the study as presented in chapter one.</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r>
        <w:rPr>
          <w:rFonts w:ascii="Times New Roman" w:eastAsia="Calibri" w:hAnsi="Times New Roman" w:cs="Times New Roman"/>
          <w:sz w:val="24"/>
          <w:szCs w:val="24"/>
        </w:rPr>
        <w:t xml:space="preserve"> The aim of the study was to</w:t>
      </w:r>
      <w:r>
        <w:rPr>
          <w:rFonts w:ascii="Times New Roman" w:eastAsia="Calibri" w:hAnsi="Times New Roman" w:cs="Times New Roman"/>
          <w:bCs/>
          <w:sz w:val="24"/>
          <w:szCs w:val="24"/>
        </w:rPr>
        <w:t xml:space="preserve"> investigate </w:t>
      </w:r>
      <w:r>
        <w:rPr>
          <w:rFonts w:ascii="Times New Roman" w:eastAsia="Calibri" w:hAnsi="Times New Roman" w:cs="Times New Roman"/>
          <w:sz w:val="24"/>
          <w:szCs w:val="24"/>
        </w:rPr>
        <w:t>information literacy skills of medical undergraduate students in selected public universities in Kenya with a view of establishing the challenges and</w:t>
      </w:r>
      <w:r>
        <w:rPr>
          <w:rFonts w:ascii="Times New Roman" w:eastAsia="Calibri" w:hAnsi="Times New Roman" w:cs="Times New Roman"/>
          <w:bCs/>
          <w:sz w:val="24"/>
          <w:szCs w:val="24"/>
        </w:rPr>
        <w:t xml:space="preserve"> proposing a framework to enhance ILS delivery and utilization. </w:t>
      </w:r>
    </w:p>
    <w:p w14:paraId="137F27D0"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research objectives and questions of the study are used as the organizing framework for this chapter under the following subject headings: summary of the findings, conclusion, recommendations and suggested studies for future research.</w:t>
      </w:r>
    </w:p>
    <w:p w14:paraId="1026FF54" w14:textId="77777777" w:rsidR="00B01D46" w:rsidRDefault="00B01D46">
      <w:pPr>
        <w:spacing w:after="0" w:line="240" w:lineRule="auto"/>
        <w:ind w:right="65"/>
        <w:jc w:val="both"/>
        <w:rPr>
          <w:rFonts w:ascii="Times New Roman" w:eastAsia="Calibri" w:hAnsi="Times New Roman" w:cs="Times New Roman"/>
          <w:bCs/>
          <w:sz w:val="24"/>
          <w:szCs w:val="24"/>
        </w:rPr>
      </w:pPr>
    </w:p>
    <w:p w14:paraId="431DE5CC" w14:textId="77777777" w:rsidR="00B01D46" w:rsidRDefault="0067013E">
      <w:pPr>
        <w:pStyle w:val="Heading2"/>
      </w:pPr>
      <w:bookmarkStart w:id="2224" w:name="_Toc165363552"/>
      <w:bookmarkStart w:id="2225" w:name="_Toc165973204"/>
      <w:bookmarkStart w:id="2226" w:name="_Toc165975925"/>
      <w:bookmarkStart w:id="2227" w:name="_Toc164664134"/>
      <w:bookmarkStart w:id="2228" w:name="_Toc165365326"/>
      <w:bookmarkStart w:id="2229" w:name="_Toc165369360"/>
      <w:bookmarkStart w:id="2230" w:name="_Toc184273007"/>
      <w:r>
        <w:t>7.2 Summary of the Findings</w:t>
      </w:r>
      <w:bookmarkEnd w:id="2224"/>
      <w:bookmarkEnd w:id="2225"/>
      <w:bookmarkEnd w:id="2226"/>
      <w:bookmarkEnd w:id="2227"/>
      <w:bookmarkEnd w:id="2228"/>
      <w:bookmarkEnd w:id="2229"/>
      <w:bookmarkEnd w:id="2230"/>
      <w:r>
        <w:t xml:space="preserve"> </w:t>
      </w:r>
    </w:p>
    <w:p w14:paraId="6D05AA5C"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summary of findings covers status of information literacy skills of undergraduate medical undergraduate students; information literacy skills policy and procedure used in imparting ILS; the information literacy skills curriculum and asses the methods used in delivering the curriculum; the attitude of undergraduate medical students towards ILS; knowledge and skills possessed by staff engaged in facilitating ILS training; role of ICT in facilitating and promoting the learning of information literacy skills;  challenges experienced in ILS delivery and a framework/model to guide and  enhance ILS training. </w:t>
      </w:r>
    </w:p>
    <w:p w14:paraId="0D6570CE" w14:textId="77777777" w:rsidR="00B01D46" w:rsidRDefault="00B01D46">
      <w:pPr>
        <w:spacing w:after="0" w:line="240" w:lineRule="auto"/>
        <w:ind w:right="65"/>
        <w:jc w:val="both"/>
        <w:rPr>
          <w:rFonts w:ascii="Times New Roman" w:eastAsia="Calibri" w:hAnsi="Times New Roman" w:cs="Times New Roman"/>
          <w:sz w:val="24"/>
          <w:szCs w:val="24"/>
        </w:rPr>
      </w:pPr>
    </w:p>
    <w:p w14:paraId="07A5392D" w14:textId="77777777" w:rsidR="00B01D46" w:rsidRDefault="0067013E">
      <w:pPr>
        <w:pStyle w:val="Heading3"/>
        <w:ind w:right="65"/>
        <w:rPr>
          <w:szCs w:val="24"/>
        </w:rPr>
      </w:pPr>
      <w:bookmarkStart w:id="2231" w:name="_Toc184273008"/>
      <w:bookmarkStart w:id="2232" w:name="_Toc165973205"/>
      <w:bookmarkStart w:id="2233" w:name="_Toc165365327"/>
      <w:bookmarkStart w:id="2234" w:name="_Toc165369361"/>
      <w:bookmarkStart w:id="2235" w:name="_Toc165975926"/>
      <w:bookmarkStart w:id="2236" w:name="_Toc164664135"/>
      <w:bookmarkStart w:id="2237" w:name="_Toc165363553"/>
      <w:r>
        <w:rPr>
          <w:szCs w:val="24"/>
        </w:rPr>
        <w:t>7.2.1 Background Information of the Respondents</w:t>
      </w:r>
      <w:bookmarkEnd w:id="2231"/>
      <w:bookmarkEnd w:id="2232"/>
      <w:bookmarkEnd w:id="2233"/>
      <w:bookmarkEnd w:id="2234"/>
      <w:bookmarkEnd w:id="2235"/>
      <w:bookmarkEnd w:id="2236"/>
      <w:bookmarkEnd w:id="2237"/>
      <w:r>
        <w:rPr>
          <w:szCs w:val="24"/>
        </w:rPr>
        <w:t xml:space="preserve"> </w:t>
      </w:r>
    </w:p>
    <w:p w14:paraId="688F1883"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revealed that the majority of the student respondents were from University of Nairobi that is 54.1% of the study participants, and 45.9% were from </w:t>
      </w:r>
      <w:r>
        <w:rPr>
          <w:rFonts w:ascii="Times New Roman" w:eastAsia="Calibri" w:hAnsi="Times New Roman" w:cs="Times New Roman"/>
          <w:sz w:val="24"/>
          <w:szCs w:val="24"/>
        </w:rPr>
        <w:lastRenderedPageBreak/>
        <w:t>Moi University. The students noted down the departmental fields they were studying, where 14.6% were in dentistry, 35.3% were in medicine, and 42.4% were in nursing. The findings further revealed that the majority of student respondents (61.2%) were in the 4</w:t>
      </w:r>
      <w:r>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year of their study, 16.5% were 6</w:t>
      </w:r>
      <w:r>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year students and 14.1% were in the 5</w:t>
      </w:r>
      <w:r>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year of their studies. Furthermore, the study revealed that the male respondents consisted of 58.8% of the population and 41.2% were female respondents. The researcher collected 62 filled questionnaires from the lecturers in the two public universities in the study sample. </w:t>
      </w:r>
    </w:p>
    <w:p w14:paraId="54AC3706"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Moreover, the majority of the lecturers were from University of Nairobi representing 68.8% of the study participants and 31.3% were from Moi University. Male lecturer respondents consisted of 69.5% of the population which responded, and 30.5% were female respondents. The majority of the lecturers 51.6% had attained a Ph.D. level of education while 48.4% had a master's level education. Additionally, the lecturers stated their official job title, where 53.9% were tutorial fellows, 12.5% were lecturers, 28.9% were senior lecturers and 4.7% were professors. 34 (26.6%) were in </w:t>
      </w:r>
      <w:r>
        <w:rPr>
          <w:rFonts w:ascii="Times New Roman" w:eastAsia="Calibri" w:hAnsi="Times New Roman" w:cs="Times New Roman"/>
          <w:color w:val="000000"/>
          <w:sz w:val="24"/>
          <w:szCs w:val="24"/>
        </w:rPr>
        <w:t>the Nursing department</w:t>
      </w:r>
      <w:r>
        <w:rPr>
          <w:rFonts w:ascii="Times New Roman" w:eastAsia="Calibri" w:hAnsi="Times New Roman" w:cs="Times New Roman"/>
          <w:sz w:val="24"/>
          <w:szCs w:val="24"/>
        </w:rPr>
        <w:t>, 22 (17.2%) were in Maxillofacial Surgery, 21 (16.4%) were in the obstetrics and gynecology department, 3 (2.3%) were in Surgery and Anesthesiology</w:t>
      </w:r>
      <w:r>
        <w:rPr>
          <w:rFonts w:ascii="Times New Roman" w:eastAsia="Calibri" w:hAnsi="Times New Roman" w:cs="Times New Roman"/>
          <w:color w:val="000000"/>
          <w:sz w:val="24"/>
          <w:szCs w:val="24"/>
        </w:rPr>
        <w:t xml:space="preserve"> department</w:t>
      </w:r>
      <w:r>
        <w:rPr>
          <w:rFonts w:ascii="Times New Roman" w:eastAsia="Calibri" w:hAnsi="Times New Roman" w:cs="Times New Roman"/>
          <w:sz w:val="24"/>
          <w:szCs w:val="24"/>
        </w:rPr>
        <w:t>, 9 (7%) were in Dental Sciences</w:t>
      </w:r>
      <w:r>
        <w:rPr>
          <w:rFonts w:ascii="Times New Roman" w:eastAsia="Calibri" w:hAnsi="Times New Roman" w:cs="Times New Roman"/>
          <w:color w:val="000000"/>
          <w:sz w:val="24"/>
          <w:szCs w:val="24"/>
        </w:rPr>
        <w:t xml:space="preserve"> department,</w:t>
      </w:r>
      <w:r>
        <w:rPr>
          <w:rFonts w:ascii="Times New Roman" w:eastAsia="Calibri" w:hAnsi="Times New Roman" w:cs="Times New Roman"/>
          <w:sz w:val="24"/>
          <w:szCs w:val="24"/>
        </w:rPr>
        <w:t xml:space="preserve"> 6 (4.7%) were in Clinical medicine and Therapeutics department, 14 (10.9%) were in human anatomy and physiology and human pathology while 9 (7%) indicated they were in ophthalmology.  The findings reveal that majority of lecturer respondents 46 (35.9%) of the lecturers had 15 to 20 years of experience, 31 (24.2%) had over 20 years of experience, 30 (23.4%) had 5 to 10 years of experience, 15 (11.7%) had a 10 to 15 years' experience while 6 (4.7%) had a less than 5 years’ experience. </w:t>
      </w:r>
    </w:p>
    <w:p w14:paraId="6DC7CE6C" w14:textId="77777777" w:rsidR="00B01D46" w:rsidRDefault="00B01D46">
      <w:pPr>
        <w:spacing w:before="120" w:after="0" w:line="480" w:lineRule="auto"/>
        <w:ind w:right="65"/>
        <w:jc w:val="both"/>
        <w:rPr>
          <w:rFonts w:ascii="Times New Roman" w:eastAsia="Calibri" w:hAnsi="Times New Roman" w:cs="Times New Roman"/>
          <w:sz w:val="24"/>
          <w:szCs w:val="24"/>
        </w:rPr>
      </w:pPr>
    </w:p>
    <w:p w14:paraId="2546FEFF" w14:textId="77777777" w:rsidR="00B01D46" w:rsidRDefault="0067013E">
      <w:pPr>
        <w:pStyle w:val="Heading3"/>
        <w:ind w:left="630" w:hanging="630"/>
      </w:pPr>
      <w:bookmarkStart w:id="2238" w:name="_Toc165369362"/>
      <w:bookmarkStart w:id="2239" w:name="_Toc165365328"/>
      <w:bookmarkStart w:id="2240" w:name="_Toc165363554"/>
      <w:bookmarkStart w:id="2241" w:name="_Toc165973206"/>
      <w:bookmarkStart w:id="2242" w:name="_Toc165975927"/>
      <w:bookmarkStart w:id="2243" w:name="_Toc184273009"/>
      <w:r>
        <w:lastRenderedPageBreak/>
        <w:t>7.2.2 Status of Information Literacy Skills among Medical Undergraduate Students</w:t>
      </w:r>
      <w:bookmarkEnd w:id="2238"/>
      <w:bookmarkEnd w:id="2239"/>
      <w:bookmarkEnd w:id="2240"/>
      <w:bookmarkEnd w:id="2241"/>
      <w:bookmarkEnd w:id="2242"/>
      <w:bookmarkEnd w:id="2243"/>
      <w:r>
        <w:t xml:space="preserve"> </w:t>
      </w:r>
    </w:p>
    <w:p w14:paraId="2FB1368F"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 of the study revealed that undergraduate medical students were moderately information literate, in the sense that they can define and refine their specific information needs, recognize accurate and complete information but were not able to apply the information and knowledge assimilated as shown in (Table 5.7). </w:t>
      </w:r>
    </w:p>
    <w:p w14:paraId="3C86CF16" w14:textId="77777777" w:rsidR="00B01D46" w:rsidRDefault="0067013E">
      <w:pPr>
        <w:spacing w:before="120" w:after="0" w:line="480" w:lineRule="auto"/>
        <w:ind w:right="65"/>
        <w:jc w:val="both"/>
        <w:rPr>
          <w:rFonts w:ascii="Times New Roman" w:eastAsia="Calibri" w:hAnsi="Times New Roman" w:cs="Times New Roman"/>
          <w:sz w:val="24"/>
          <w:szCs w:val="24"/>
        </w:rPr>
      </w:pPr>
      <w:bookmarkStart w:id="2244" w:name="_Hlk158379891"/>
      <w:r>
        <w:rPr>
          <w:rFonts w:ascii="Times New Roman" w:eastAsia="Calibri" w:hAnsi="Times New Roman" w:cs="Times New Roman"/>
          <w:sz w:val="24"/>
          <w:szCs w:val="24"/>
        </w:rPr>
        <w:t>The results established that s</w:t>
      </w:r>
      <w:r>
        <w:rPr>
          <w:rFonts w:ascii="Times New Roman" w:eastAsia="Times New Roman" w:hAnsi="Times New Roman" w:cs="Times New Roman"/>
          <w:sz w:val="24"/>
          <w:szCs w:val="24"/>
        </w:rPr>
        <w:t xml:space="preserve">tudents understand the need to use information to undertake everyday task hence </w:t>
      </w:r>
      <w:r>
        <w:rPr>
          <w:rFonts w:ascii="Times New Roman" w:eastAsia="Calibri" w:hAnsi="Times New Roman" w:cs="Times New Roman"/>
          <w:sz w:val="24"/>
          <w:szCs w:val="24"/>
        </w:rPr>
        <w:t xml:space="preserve">they used several reference sources to increase familiarity with a topic. However, majority of the students were unable to use truncation and Boolean logic techniques to search for information. This greatly impacted negatively on the specificity of information searched and locating the desired information materials. As a result, </w:t>
      </w:r>
      <w:r>
        <w:rPr>
          <w:rFonts w:ascii="Times New Roman" w:eastAsia="Times New Roman" w:hAnsi="Times New Roman" w:cs="Times New Roman"/>
          <w:sz w:val="24"/>
          <w:szCs w:val="24"/>
        </w:rPr>
        <w:t>students are unable to select the most appropriate sources or databases related to their studies and that they need more help in the formulation of search strategies and evaluation of what they find. Further, others are not aware of the most appropriate databases applicable to their disciplines.</w:t>
      </w:r>
      <w:r>
        <w:rPr>
          <w:rFonts w:ascii="Times New Roman" w:eastAsia="Calibri" w:hAnsi="Times New Roman" w:cs="Times New Roman"/>
          <w:sz w:val="24"/>
          <w:szCs w:val="24"/>
        </w:rPr>
        <w:t xml:space="preserve"> </w:t>
      </w:r>
    </w:p>
    <w:p w14:paraId="1AC34F3E"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results showed that students don’t know how to limit the search by field and solve search queries appropriately and that they were not able use the library online catalog to retrieve relevant information materials. The students were not able to use information for critical thinking and for problem solving. Hence, </w:t>
      </w:r>
      <w:r>
        <w:rPr>
          <w:rFonts w:ascii="Times New Roman" w:hAnsi="Times New Roman" w:cs="Times New Roman"/>
          <w:sz w:val="24"/>
          <w:szCs w:val="24"/>
        </w:rPr>
        <w:t>students have not acquired adequate ILS to be able to be critical and convergent thinkers</w:t>
      </w:r>
      <w:r>
        <w:rPr>
          <w:rFonts w:ascii="Times New Roman" w:eastAsia="Calibri" w:hAnsi="Times New Roman" w:cs="Times New Roman"/>
          <w:sz w:val="24"/>
          <w:szCs w:val="24"/>
        </w:rPr>
        <w:t xml:space="preserve"> and they didn’t have </w:t>
      </w:r>
      <w:r>
        <w:rPr>
          <w:rFonts w:ascii="Times New Roman" w:hAnsi="Times New Roman" w:cs="Times New Roman"/>
          <w:sz w:val="24"/>
          <w:szCs w:val="24"/>
        </w:rPr>
        <w:t>adequate information search competences/skills to find the required information from the catalogues.</w:t>
      </w:r>
    </w:p>
    <w:bookmarkEnd w:id="2244"/>
    <w:p w14:paraId="51C3C59B"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results further, revealed that with the advancement of computer technology and readily available internet connectivity, students are exploiting mailing lists, SMS </w:t>
      </w:r>
      <w:r>
        <w:rPr>
          <w:rFonts w:ascii="Times New Roman" w:eastAsia="Calibri" w:hAnsi="Times New Roman" w:cs="Times New Roman"/>
          <w:sz w:val="24"/>
          <w:szCs w:val="24"/>
        </w:rPr>
        <w:lastRenderedPageBreak/>
        <w:t>and emails to send and receive information. This means that information literacy skills gained have enabled students develop appropriate communication skills hance they are able to communicate information and get information.</w:t>
      </w:r>
    </w:p>
    <w:p w14:paraId="5E809B1B"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Moreover, the findings also revealed that students have not developed abilities to understand and evaluate the nature of the information available on the internet. A clear indication that students did not only have ability for self-directed learning but also were not able to organize bibliographic information and convey it to others, including constructing a personal bibliographic system, citing references appropriately and understanding issues of copyright and plagiarism. </w:t>
      </w:r>
    </w:p>
    <w:p w14:paraId="06CB45CF"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of the study showed that students use group discussions and newsgroups to obtain and exchange information hence they work together to solve problems, complete tasks, or learn new concepts. This is an indication that students are engaging in collaborative learning which is one of the key tenets of information literacy skills training and learning as advanced by the Sauce model (Bond, 2009). </w:t>
      </w:r>
    </w:p>
    <w:p w14:paraId="3F41D85C"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revealed that all the students can use web addresses to search the internet. The study further found out that undergraduate students were still using Google, Wikipedia, and social media tools to find information. This indicates that students do not possess adequate information literacy skills required to conduct high level research using credible and viable information sources for example </w:t>
      </w:r>
      <w:bookmarkStart w:id="2245" w:name="_Hlk158379974"/>
      <w:r>
        <w:rPr>
          <w:rFonts w:ascii="Times New Roman" w:eastAsia="Calibri" w:hAnsi="Times New Roman" w:cs="Times New Roman"/>
          <w:sz w:val="24"/>
          <w:szCs w:val="24"/>
        </w:rPr>
        <w:t xml:space="preserve">MEDLINE, PROQUEST, NEXISLEXIS </w:t>
      </w:r>
      <w:bookmarkEnd w:id="2245"/>
      <w:r>
        <w:rPr>
          <w:rFonts w:ascii="Times New Roman" w:eastAsia="Calibri" w:hAnsi="Times New Roman" w:cs="Times New Roman"/>
          <w:sz w:val="24"/>
          <w:szCs w:val="24"/>
        </w:rPr>
        <w:t xml:space="preserve">among other medical information databases. This is an indication that students want the easy way or the “fast” way to find information because they are comfortable with searching the internet rather than searching online information rich databases. </w:t>
      </w:r>
    </w:p>
    <w:p w14:paraId="5C162A2C" w14:textId="77777777" w:rsidR="00B01D46" w:rsidRDefault="00B01D46">
      <w:pPr>
        <w:spacing w:before="120" w:after="0" w:line="480" w:lineRule="auto"/>
        <w:ind w:right="65"/>
        <w:jc w:val="both"/>
        <w:rPr>
          <w:rFonts w:ascii="Times New Roman" w:eastAsia="Calibri" w:hAnsi="Times New Roman" w:cs="Times New Roman"/>
          <w:sz w:val="24"/>
          <w:szCs w:val="24"/>
        </w:rPr>
      </w:pPr>
    </w:p>
    <w:p w14:paraId="595CB146" w14:textId="77777777" w:rsidR="00B01D46" w:rsidRDefault="0067013E">
      <w:pPr>
        <w:pStyle w:val="Heading3"/>
      </w:pPr>
      <w:bookmarkStart w:id="2246" w:name="_Toc164664136"/>
      <w:bookmarkStart w:id="2247" w:name="_Toc165363555"/>
      <w:bookmarkStart w:id="2248" w:name="_Toc165369363"/>
      <w:bookmarkStart w:id="2249" w:name="_Toc165365329"/>
      <w:bookmarkStart w:id="2250" w:name="_Toc165975928"/>
      <w:bookmarkStart w:id="2251" w:name="_Toc165973207"/>
      <w:bookmarkStart w:id="2252" w:name="_Toc184273010"/>
      <w:r>
        <w:lastRenderedPageBreak/>
        <w:t>7.2.3 ILS Policy and Curriculum Imparting ILS</w:t>
      </w:r>
      <w:bookmarkEnd w:id="2246"/>
      <w:bookmarkEnd w:id="2247"/>
      <w:bookmarkEnd w:id="2248"/>
      <w:bookmarkEnd w:id="2249"/>
      <w:bookmarkEnd w:id="2250"/>
      <w:bookmarkEnd w:id="2251"/>
      <w:bookmarkEnd w:id="2252"/>
      <w:r>
        <w:t xml:space="preserve">  </w:t>
      </w:r>
    </w:p>
    <w:p w14:paraId="5409BBB8" w14:textId="77777777" w:rsidR="00B01D46" w:rsidRDefault="0067013E">
      <w:pPr>
        <w:pStyle w:val="Heading4"/>
      </w:pPr>
      <w:bookmarkStart w:id="2253" w:name="_Toc165975929"/>
      <w:bookmarkStart w:id="2254" w:name="_Toc184273011"/>
      <w:bookmarkStart w:id="2255" w:name="_Toc165973208"/>
      <w:bookmarkStart w:id="2256" w:name="_Toc165363556"/>
      <w:bookmarkStart w:id="2257" w:name="_Toc165365330"/>
      <w:bookmarkStart w:id="2258" w:name="_Toc164664137"/>
      <w:bookmarkStart w:id="2259" w:name="_Toc165369364"/>
      <w:r>
        <w:t>7.2.3.1 ILS Policy</w:t>
      </w:r>
      <w:bookmarkEnd w:id="2253"/>
      <w:bookmarkEnd w:id="2254"/>
      <w:bookmarkEnd w:id="2255"/>
      <w:bookmarkEnd w:id="2256"/>
      <w:bookmarkEnd w:id="2257"/>
      <w:bookmarkEnd w:id="2258"/>
      <w:bookmarkEnd w:id="2259"/>
    </w:p>
    <w:p w14:paraId="14737443"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These findings clearly demonstrate that ILS policy was available and that they were clearly documented.  However, the study revealed that the ILS policy was not being fully implemented in the sense there was unavailability of an examinable information literacy skills unit or units that fully covered all the ILS content instead the universities offered some ILS skills through the communication and writing skills unit. This is inadequate for imparting meaningful ILS skills to students. As results efforts of integrating some form of library instruction, orientation or user education to communication skills &amp; writing unit have not been able to develop an all-round student who can find, evaluate, use, create, organize or share information.</w:t>
      </w:r>
    </w:p>
    <w:p w14:paraId="2C3FEFD4"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revealed that knowledge and information skills, problem-solving and critical thinking, communication skills, information technology skills, social responsibility skills, research skills, referencing and legal issues were the areas that the ILS policy and curricula stipulate that should be taught as shown in figure 5.1 and 5.2. This indicates that the policy support, promote and enhance teaching and research as well as create a learning culture that encourages institutions to produce graduates with the capacity and desire for lifelong learning. </w:t>
      </w:r>
    </w:p>
    <w:p w14:paraId="2BE0686A" w14:textId="77777777" w:rsidR="00B01D46" w:rsidRDefault="0067013E">
      <w:pPr>
        <w:shd w:val="clear" w:color="auto" w:fill="FFFFFF"/>
        <w:spacing w:before="120" w:after="0" w:line="480" w:lineRule="auto"/>
        <w:ind w:right="65"/>
        <w:jc w:val="both"/>
        <w:rPr>
          <w:rFonts w:ascii="Times New Roman" w:eastAsia="Calibri" w:hAnsi="Times New Roman" w:cs="Times New Roman"/>
          <w:spacing w:val="19"/>
          <w:sz w:val="24"/>
          <w:szCs w:val="24"/>
        </w:rPr>
      </w:pPr>
      <w:r>
        <w:rPr>
          <w:rFonts w:ascii="Times New Roman" w:eastAsia="Calibri" w:hAnsi="Times New Roman" w:cs="Times New Roman"/>
          <w:sz w:val="24"/>
          <w:szCs w:val="24"/>
        </w:rPr>
        <w:t xml:space="preserve">Findings showed </w:t>
      </w:r>
      <w:r>
        <w:rPr>
          <w:rFonts w:ascii="Times New Roman" w:eastAsia="Times New Roman" w:hAnsi="Times New Roman" w:cs="Times New Roman"/>
          <w:sz w:val="24"/>
          <w:szCs w:val="24"/>
        </w:rPr>
        <w:t xml:space="preserve">that university librarians interpret the patterns of information access and use within the university, once they identify the need to initiate ILS policy or gaps in ILS policy and curricula, they notify the heads of departments who are the quality assurances officers and custodians of curricula in their respective departments through a memorandum or submissions through the deans' committee. </w:t>
      </w:r>
    </w:p>
    <w:p w14:paraId="5B128086"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In relation to the adequacy of ILS policy, the findings revealed that the ILS policy were inadequate because they did not advocate for the allocation of adequate time for ILS training and learning, it did not attach responsibility, it did not state the infrastructure required. Additionally, the policy did not advocate or stipulate the contact hours required to successfully impart ILS skills. Furthermore, the policy did not state the policy review cycle and as a result, ILS policy reviews and updates have never been carried out to incorporate changes taking place in the information environment. </w:t>
      </w:r>
    </w:p>
    <w:p w14:paraId="6FD98299" w14:textId="77777777" w:rsidR="00B01D46" w:rsidRDefault="00B01D46">
      <w:pPr>
        <w:spacing w:after="0" w:line="240" w:lineRule="auto"/>
        <w:ind w:right="65"/>
        <w:jc w:val="both"/>
        <w:rPr>
          <w:rFonts w:ascii="Times New Roman" w:eastAsia="Calibri" w:hAnsi="Times New Roman" w:cs="Times New Roman"/>
          <w:sz w:val="24"/>
          <w:szCs w:val="24"/>
        </w:rPr>
      </w:pPr>
    </w:p>
    <w:p w14:paraId="06741355" w14:textId="77777777" w:rsidR="00B01D46" w:rsidRDefault="0067013E">
      <w:pPr>
        <w:pStyle w:val="Heading4"/>
      </w:pPr>
      <w:bookmarkStart w:id="2260" w:name="_Toc165363557"/>
      <w:bookmarkStart w:id="2261" w:name="_Toc165365331"/>
      <w:bookmarkStart w:id="2262" w:name="_Toc165369365"/>
      <w:bookmarkStart w:id="2263" w:name="_Toc164664138"/>
      <w:bookmarkStart w:id="2264" w:name="_Toc165973209"/>
      <w:bookmarkStart w:id="2265" w:name="_Toc184273012"/>
      <w:bookmarkStart w:id="2266" w:name="_Toc165975930"/>
      <w:r>
        <w:t>7.2.3.2 ILS Curricula</w:t>
      </w:r>
      <w:bookmarkEnd w:id="2260"/>
      <w:bookmarkEnd w:id="2261"/>
      <w:bookmarkEnd w:id="2262"/>
      <w:bookmarkEnd w:id="2263"/>
      <w:bookmarkEnd w:id="2264"/>
      <w:bookmarkEnd w:id="2265"/>
      <w:bookmarkEnd w:id="2266"/>
      <w:r>
        <w:t xml:space="preserve"> </w:t>
      </w:r>
    </w:p>
    <w:p w14:paraId="2E165F26" w14:textId="77777777" w:rsidR="00B01D46" w:rsidRDefault="0067013E">
      <w:pPr>
        <w:spacing w:after="0" w:line="480" w:lineRule="auto"/>
        <w:ind w:right="65"/>
        <w:jc w:val="both"/>
        <w:rPr>
          <w:rFonts w:ascii="Times New Roman" w:hAnsi="Times New Roman" w:cs="Times New Roman"/>
          <w:sz w:val="24"/>
          <w:szCs w:val="24"/>
        </w:rPr>
      </w:pPr>
      <w:r>
        <w:rPr>
          <w:rFonts w:ascii="Times New Roman" w:eastAsia="Calibri" w:hAnsi="Times New Roman" w:cs="Times New Roman"/>
          <w:sz w:val="24"/>
          <w:szCs w:val="24"/>
        </w:rPr>
        <w:t>It was found that there are different kinds of information literacy skills programs provided by Kenyan universities and that there is existence of an ILS curriculum. The topics covered by the ILS curriculum are: problem-solving and critical thinking skills; information search and retrieval; legal issues in information use; computer use and effective communication skills</w:t>
      </w:r>
      <w:r>
        <w:rPr>
          <w:rFonts w:ascii="Times New Roman" w:hAnsi="Times New Roman" w:cs="Times New Roman"/>
          <w:sz w:val="24"/>
          <w:szCs w:val="24"/>
        </w:rPr>
        <w:t>; integration of information; basic library guidelines on how to access library materials; and research skills.</w:t>
      </w:r>
    </w:p>
    <w:p w14:paraId="2B4D0248"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Concerning the teaching modes of ILS or ILS delivery methods, the findings show that use of computer software, face-to-face teaching, online materials, handouts, online platforms, library orientation, WhatsApp group engagements, </w:t>
      </w:r>
      <w:r>
        <w:rPr>
          <w:rFonts w:ascii="Times New Roman" w:hAnsi="Times New Roman" w:cs="Times New Roman"/>
          <w:sz w:val="24"/>
          <w:szCs w:val="24"/>
        </w:rPr>
        <w:t xml:space="preserve">library forum engagements through Web 2.0 tools (Google MEET, YouTube and ZOOM), </w:t>
      </w:r>
      <w:r>
        <w:rPr>
          <w:rFonts w:ascii="Times New Roman" w:eastAsia="Calibri" w:hAnsi="Times New Roman" w:cs="Times New Roman"/>
          <w:sz w:val="24"/>
          <w:szCs w:val="24"/>
        </w:rPr>
        <w:t xml:space="preserve">peer training, pre-recorded audio-video clips, and weekly librarian-student engagements, are the methods used to impart ILS to undergraduate students.  </w:t>
      </w:r>
    </w:p>
    <w:p w14:paraId="445D56F4"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study found that there was limited collaboration and teamwork between lecturers and librarians in teaching ILS in the sense that some faculty members were unwilling to collaborate with librarians because they do not view librarians as partners.</w:t>
      </w:r>
    </w:p>
    <w:p w14:paraId="4BDD9D77"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eastAsia="Calibri" w:hAnsi="Times New Roman" w:cs="Times New Roman"/>
          <w:sz w:val="24"/>
          <w:szCs w:val="24"/>
        </w:rPr>
        <w:lastRenderedPageBreak/>
        <w:t xml:space="preserve">With regard to methods used to assess ILS curriculum, the findings showed that focus groups, concept maps, CATs, information assessment techniques, interviewing, knowledge tests through creative clinical and research papers, and ILS feedback forms as the techniques applied for assessing the effectiveness of the ILS curriculum. </w:t>
      </w:r>
      <w:r>
        <w:rPr>
          <w:rFonts w:ascii="Times New Roman" w:hAnsi="Times New Roman" w:cs="Times New Roman"/>
          <w:sz w:val="24"/>
          <w:szCs w:val="24"/>
        </w:rPr>
        <w:t xml:space="preserve">This is means that assessment on ILS learning is conducted through summative assessment which seeks to gauge what students have learned at the conclusion of a learning session by juxtaposing it to some norm or guideline. </w:t>
      </w:r>
    </w:p>
    <w:p w14:paraId="0FEEBB5F" w14:textId="77777777" w:rsidR="00B01D46" w:rsidRDefault="00B01D46">
      <w:pPr>
        <w:spacing w:after="0" w:line="240" w:lineRule="auto"/>
        <w:ind w:right="65"/>
        <w:jc w:val="both"/>
        <w:rPr>
          <w:rFonts w:ascii="Times New Roman" w:eastAsia="Calibri" w:hAnsi="Times New Roman" w:cs="Times New Roman"/>
          <w:sz w:val="24"/>
          <w:szCs w:val="24"/>
        </w:rPr>
      </w:pPr>
    </w:p>
    <w:p w14:paraId="5496D685" w14:textId="77777777" w:rsidR="00B01D46" w:rsidRDefault="0067013E">
      <w:pPr>
        <w:pStyle w:val="Heading3"/>
        <w:rPr>
          <w:rFonts w:eastAsia="Calibri"/>
        </w:rPr>
      </w:pPr>
      <w:bookmarkStart w:id="2267" w:name="_Toc165973210"/>
      <w:bookmarkStart w:id="2268" w:name="_Toc165975931"/>
      <w:bookmarkStart w:id="2269" w:name="_Toc184273013"/>
      <w:bookmarkStart w:id="2270" w:name="_Toc165369366"/>
      <w:bookmarkStart w:id="2271" w:name="_Toc165363558"/>
      <w:bookmarkStart w:id="2272" w:name="_Toc164664139"/>
      <w:bookmarkStart w:id="2273" w:name="_Toc165365332"/>
      <w:r>
        <w:t xml:space="preserve">7.2.4 </w:t>
      </w:r>
      <w:r>
        <w:rPr>
          <w:rFonts w:eastAsia="Calibri"/>
        </w:rPr>
        <w:t>ILS Understanding among Medical Undergraduate Students</w:t>
      </w:r>
      <w:bookmarkEnd w:id="2267"/>
      <w:bookmarkEnd w:id="2268"/>
      <w:bookmarkEnd w:id="2269"/>
    </w:p>
    <w:bookmarkEnd w:id="2270"/>
    <w:bookmarkEnd w:id="2271"/>
    <w:bookmarkEnd w:id="2272"/>
    <w:bookmarkEnd w:id="2273"/>
    <w:p w14:paraId="39B09032"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 study found that majority of the students had a lukewarm attitude towards ILS training and learning because  the trainers were not audible enough when they were teaching them, the learned skills have not helped them in their academic journey, some topics were difficult to understand, classes were very large hence absence of personalized attention, some topics were very hard to understand, computers and WIFI in the library ICT laboratory were not working,  inadequate time spent on training sessions and lack of awareness about library resource usage training. In addition, the results indicated that students displayed a casual attitude especially when called to attend the training sessions, they never engaged during the training, they displayed a know-it-all attitude, and overconfidence. The implication of these findings is that trainers lack adequate pedagogical skills to motivate students during ILS training and learning.</w:t>
      </w:r>
    </w:p>
    <w:p w14:paraId="4598ACE0" w14:textId="77777777" w:rsidR="00B01D46" w:rsidRDefault="0067013E">
      <w:pPr>
        <w:spacing w:before="120" w:line="480" w:lineRule="auto"/>
        <w:ind w:right="65"/>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The study findings further, showed that </w:t>
      </w:r>
      <w:r>
        <w:rPr>
          <w:rFonts w:ascii="Times New Roman" w:eastAsia="Times New Roman" w:hAnsi="Times New Roman" w:cs="Times New Roman"/>
          <w:color w:val="000000"/>
          <w:sz w:val="24"/>
          <w:szCs w:val="24"/>
        </w:rPr>
        <w:t>after ILS training, those students who took a keen interest in ILS learning and training gained</w:t>
      </w:r>
      <w:r>
        <w:rPr>
          <w:rFonts w:ascii="Times New Roman" w:hAnsi="Times New Roman" w:cs="Times New Roman"/>
          <w:sz w:val="24"/>
          <w:szCs w:val="24"/>
          <w:shd w:val="clear" w:color="auto" w:fill="FFFFFF"/>
        </w:rPr>
        <w:t xml:space="preserve"> skills of an information-literate student. The skills gained include the ability to; formulate an information query, </w:t>
      </w:r>
      <w:r>
        <w:rPr>
          <w:rFonts w:ascii="Times New Roman" w:hAnsi="Times New Roman" w:cs="Times New Roman"/>
          <w:sz w:val="24"/>
          <w:szCs w:val="24"/>
          <w:shd w:val="clear" w:color="auto" w:fill="FFFFFF"/>
        </w:rPr>
        <w:lastRenderedPageBreak/>
        <w:t>function independently inside the library, determine the type and format of the information source, and use and share information using various web 2.0 tools.</w:t>
      </w:r>
    </w:p>
    <w:p w14:paraId="0D2CD7A2" w14:textId="77777777" w:rsidR="00B01D46" w:rsidRDefault="0067013E">
      <w:pPr>
        <w:pStyle w:val="Heading3"/>
      </w:pPr>
      <w:bookmarkStart w:id="2274" w:name="_Toc165975932"/>
      <w:bookmarkStart w:id="2275" w:name="_Toc165365333"/>
      <w:bookmarkStart w:id="2276" w:name="_Toc165369367"/>
      <w:bookmarkStart w:id="2277" w:name="_Toc165363559"/>
      <w:bookmarkStart w:id="2278" w:name="_Toc165973211"/>
      <w:bookmarkStart w:id="2279" w:name="_Toc184273014"/>
      <w:bookmarkStart w:id="2280" w:name="_Toc164664140"/>
      <w:r>
        <w:t xml:space="preserve">7.2.5 </w:t>
      </w:r>
      <w:r>
        <w:rPr>
          <w:rFonts w:eastAsia="Calibri"/>
        </w:rPr>
        <w:t>Knowledge and Skills Possessed by Faculty Staff</w:t>
      </w:r>
      <w:bookmarkEnd w:id="2274"/>
      <w:bookmarkEnd w:id="2275"/>
      <w:bookmarkEnd w:id="2276"/>
      <w:bookmarkEnd w:id="2277"/>
      <w:bookmarkEnd w:id="2278"/>
      <w:bookmarkEnd w:id="2279"/>
      <w:bookmarkEnd w:id="2280"/>
      <w:r>
        <w:rPr>
          <w:rFonts w:eastAsia="Calibri"/>
        </w:rPr>
        <w:t xml:space="preserve"> </w:t>
      </w:r>
    </w:p>
    <w:p w14:paraId="0C59158E" w14:textId="77777777" w:rsidR="00B01D46" w:rsidRDefault="0067013E">
      <w:pPr>
        <w:spacing w:after="0" w:line="480" w:lineRule="auto"/>
        <w:ind w:right="65"/>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rPr>
        <w:t xml:space="preserve">The findings revealed that </w:t>
      </w:r>
      <w:r>
        <w:rPr>
          <w:rFonts w:ascii="Times New Roman" w:hAnsi="Times New Roman" w:cs="Times New Roman"/>
          <w:sz w:val="24"/>
          <w:szCs w:val="24"/>
          <w:shd w:val="clear" w:color="auto" w:fill="FFFFFF"/>
        </w:rPr>
        <w:t xml:space="preserve">the </w:t>
      </w:r>
      <w:r>
        <w:rPr>
          <w:rFonts w:ascii="Times New Roman" w:eastAsia="Calibri" w:hAnsi="Times New Roman" w:cs="Times New Roman"/>
          <w:sz w:val="24"/>
          <w:szCs w:val="24"/>
        </w:rPr>
        <w:t xml:space="preserve">staff facilitating ILS among </w:t>
      </w:r>
      <w:r>
        <w:rPr>
          <w:rFonts w:ascii="Times New Roman" w:eastAsiaTheme="majorEastAsia" w:hAnsi="Times New Roman" w:cs="Times New Roman"/>
          <w:sz w:val="24"/>
          <w:szCs w:val="24"/>
        </w:rPr>
        <w:t xml:space="preserve">undergraduate medical students do not possess adequate ILS competencies to successfully impart ILS to students. The staff didn’t possess </w:t>
      </w:r>
      <w:r>
        <w:rPr>
          <w:rFonts w:ascii="Times New Roman" w:hAnsi="Times New Roman" w:cs="Times New Roman"/>
          <w:sz w:val="24"/>
          <w:szCs w:val="24"/>
        </w:rPr>
        <w:t xml:space="preserve">research writing skills, information needs diagnostic skills, technical and intellectual capabilities. In addition, the study found out that a number of librarians didn’t know how to discern potential information sources, how to create strategies for retrieving information from digital databases and didn’t possess skills of expanding existing information and their sources.  </w:t>
      </w:r>
      <w:r>
        <w:rPr>
          <w:rFonts w:ascii="Times New Roman" w:eastAsiaTheme="majorEastAsia" w:hAnsi="Times New Roman" w:cs="Times New Roman"/>
          <w:sz w:val="24"/>
          <w:szCs w:val="24"/>
        </w:rPr>
        <w:t xml:space="preserve">Majority of the staff possessed traditional library skills and basic ICT skills, which are not adequate especially with the avalanche developments in the information field. Furthermore, the study found out that </w:t>
      </w:r>
      <w:r>
        <w:rPr>
          <w:rFonts w:ascii="Times New Roman" w:eastAsia="Calibri" w:hAnsi="Times New Roman" w:cs="Times New Roman"/>
          <w:sz w:val="24"/>
          <w:szCs w:val="24"/>
        </w:rPr>
        <w:t xml:space="preserve">staff require technical, technological, digital, intellectual, and communicative capabilities that are meant to empower them to serve students competently and satisfactorily. Majority of the staff had limited skills on </w:t>
      </w:r>
      <w:r>
        <w:rPr>
          <w:rFonts w:ascii="Times New Roman" w:eastAsia="Calibri" w:hAnsi="Times New Roman" w:cs="Times New Roman"/>
          <w:sz w:val="24"/>
          <w:szCs w:val="24"/>
          <w:shd w:val="clear" w:color="auto" w:fill="FFFFFF"/>
        </w:rPr>
        <w:t xml:space="preserve">effective search strategies and adequate technological skills on how to check the relevancy, currency, authenticity, and purpose of retrieved information materials. </w:t>
      </w:r>
    </w:p>
    <w:p w14:paraId="509CA8CC"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shd w:val="clear" w:color="auto" w:fill="FFFFFF"/>
        </w:rPr>
        <w:t xml:space="preserve">Similarly, the study found out that some faculty staff members had serious deficiency in ICT applications hence are unable to retrieve accurate information materials. This is a clear indication that staff facilitating ILS among medical undergraduate students have limited technical and analytical skills required in the advent of Web 2.0 technologies. </w:t>
      </w:r>
      <w:r>
        <w:rPr>
          <w:rFonts w:ascii="Times New Roman" w:eastAsiaTheme="majorEastAsia" w:hAnsi="Times New Roman" w:cs="Times New Roman"/>
          <w:sz w:val="24"/>
          <w:szCs w:val="24"/>
        </w:rPr>
        <w:t>Hence, there is an urgent need for reskilling and upskilling of librarians and faculty members in order for them to successfully impart ILS to students.</w:t>
      </w:r>
      <w:r>
        <w:rPr>
          <w:rFonts w:ascii="Times New Roman" w:eastAsia="Calibri" w:hAnsi="Times New Roman" w:cs="Times New Roman"/>
          <w:sz w:val="24"/>
          <w:szCs w:val="24"/>
        </w:rPr>
        <w:t xml:space="preserve"> </w:t>
      </w:r>
    </w:p>
    <w:p w14:paraId="25048D80" w14:textId="77777777" w:rsidR="00B01D46" w:rsidRDefault="00B01D46">
      <w:pPr>
        <w:spacing w:after="0" w:line="240" w:lineRule="auto"/>
        <w:ind w:right="65"/>
        <w:jc w:val="both"/>
        <w:rPr>
          <w:rFonts w:ascii="Times New Roman" w:eastAsia="Times New Roman" w:hAnsi="Times New Roman" w:cs="Times New Roman"/>
          <w:sz w:val="24"/>
          <w:szCs w:val="24"/>
        </w:rPr>
      </w:pPr>
    </w:p>
    <w:p w14:paraId="3AB536DA" w14:textId="77777777" w:rsidR="00B01D46" w:rsidRDefault="0067013E">
      <w:pPr>
        <w:spacing w:after="0" w:line="240" w:lineRule="auto"/>
        <w:rPr>
          <w:rFonts w:ascii="Times New Roman" w:eastAsia="Times New Roman" w:hAnsi="Times New Roman" w:cs="Times New Roman"/>
          <w:b/>
          <w:bCs/>
          <w:sz w:val="24"/>
          <w:szCs w:val="27"/>
        </w:rPr>
      </w:pPr>
      <w:bookmarkStart w:id="2281" w:name="_Toc165365334"/>
      <w:bookmarkStart w:id="2282" w:name="_Toc165369368"/>
      <w:bookmarkStart w:id="2283" w:name="_Toc165975933"/>
      <w:bookmarkStart w:id="2284" w:name="_Toc164664141"/>
      <w:bookmarkStart w:id="2285" w:name="_Toc165973212"/>
      <w:bookmarkStart w:id="2286" w:name="_Toc165363560"/>
      <w:r>
        <w:br w:type="page"/>
      </w:r>
    </w:p>
    <w:p w14:paraId="55060A62" w14:textId="77777777" w:rsidR="00B01D46" w:rsidRDefault="0067013E">
      <w:pPr>
        <w:pStyle w:val="Heading3"/>
      </w:pPr>
      <w:bookmarkStart w:id="2287" w:name="_Toc184273015"/>
      <w:r>
        <w:lastRenderedPageBreak/>
        <w:t>7.2.6 Role of ICT in Facilitating and Promoting Information Literacy Skills</w:t>
      </w:r>
      <w:bookmarkEnd w:id="2281"/>
      <w:bookmarkEnd w:id="2282"/>
      <w:bookmarkEnd w:id="2283"/>
      <w:bookmarkEnd w:id="2284"/>
      <w:bookmarkEnd w:id="2285"/>
      <w:bookmarkEnd w:id="2286"/>
      <w:bookmarkEnd w:id="2287"/>
    </w:p>
    <w:p w14:paraId="63C92C7D"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 literature reviewed discovered that ICT impacted ILS learning by refining presentation of research work, planning and enabling digital communication (Waite, 2004). Therefore, information users need ICT skills to guide and help them access, use and share the required information. The study revealed that ICT was vital in helping ILS training and learning because of its role as communication and teaching tool. The study specifically revealed that the use of the internet, and particularly video clips, and LCD projectors had introduced a new approach to teaching ILS. As a communication tool, ICT was found to have made it possible for students to access information, thereby reaching many and providing a richer ILS teaching and learning experience (</w:t>
      </w:r>
      <w:r>
        <w:rPr>
          <w:rFonts w:ascii="Times New Roman" w:hAnsi="Times New Roman" w:cs="Times New Roman"/>
          <w:color w:val="222222"/>
          <w:sz w:val="24"/>
          <w:szCs w:val="24"/>
          <w:shd w:val="clear" w:color="auto" w:fill="FFFFFF"/>
        </w:rPr>
        <w:t>Adeniran &amp; Onuoha, 2018</w:t>
      </w:r>
      <w:r>
        <w:rPr>
          <w:rFonts w:ascii="Times New Roman" w:hAnsi="Times New Roman" w:cs="Times New Roman"/>
          <w:sz w:val="24"/>
          <w:szCs w:val="24"/>
        </w:rPr>
        <w:t xml:space="preserve">). </w:t>
      </w:r>
    </w:p>
    <w:p w14:paraId="37BC9DEA" w14:textId="77777777" w:rsidR="00B01D46" w:rsidRDefault="0067013E">
      <w:pPr>
        <w:spacing w:before="120" w:after="0" w:line="480" w:lineRule="auto"/>
        <w:ind w:right="65"/>
        <w:jc w:val="both"/>
        <w:rPr>
          <w:rFonts w:ascii="Times New Roman" w:hAnsi="Times New Roman" w:cs="Times New Roman"/>
          <w:iCs/>
          <w:sz w:val="24"/>
          <w:szCs w:val="24"/>
        </w:rPr>
      </w:pPr>
      <w:r>
        <w:rPr>
          <w:rFonts w:ascii="Times New Roman" w:hAnsi="Times New Roman" w:cs="Times New Roman"/>
          <w:sz w:val="24"/>
          <w:szCs w:val="24"/>
        </w:rPr>
        <w:t>The findings revealed that students know basic computer skills like Microsoft packages, opening their email addresses, doing basic search on google, sending emails and using web 2.0 tools.</w:t>
      </w:r>
      <w:r>
        <w:rPr>
          <w:rFonts w:ascii="Times New Roman" w:hAnsi="Times New Roman" w:cs="Times New Roman"/>
          <w:iCs/>
          <w:sz w:val="24"/>
          <w:szCs w:val="24"/>
        </w:rPr>
        <w:t xml:space="preserve"> However, majority of the </w:t>
      </w:r>
      <w:r>
        <w:rPr>
          <w:rFonts w:ascii="Times New Roman" w:eastAsia="Times New Roman" w:hAnsi="Times New Roman" w:cs="Times New Roman"/>
          <w:color w:val="000000"/>
          <w:sz w:val="24"/>
          <w:szCs w:val="24"/>
        </w:rPr>
        <w:t xml:space="preserve">students have not learnt adequate ICT skills to be able to </w:t>
      </w:r>
      <w:r>
        <w:rPr>
          <w:rFonts w:ascii="Times New Roman" w:hAnsi="Times New Roman" w:cs="Times New Roman"/>
          <w:iCs/>
          <w:sz w:val="24"/>
          <w:szCs w:val="24"/>
        </w:rPr>
        <w:t xml:space="preserve">use electronic databases to get needed information, evaluate free information on the internet for validity and conduct data analysis with a computer package, hence, </w:t>
      </w:r>
      <w:r>
        <w:rPr>
          <w:rFonts w:ascii="Times New Roman" w:hAnsi="Times New Roman" w:cs="Times New Roman"/>
          <w:sz w:val="24"/>
          <w:szCs w:val="24"/>
        </w:rPr>
        <w:t>cannot reap maximum benefits from the available information.</w:t>
      </w:r>
    </w:p>
    <w:p w14:paraId="5A02E011" w14:textId="77777777" w:rsidR="00B01D46" w:rsidRDefault="0067013E">
      <w:pPr>
        <w:spacing w:before="120" w:after="0" w:line="480" w:lineRule="auto"/>
        <w:ind w:right="65"/>
        <w:jc w:val="both"/>
        <w:rPr>
          <w:rFonts w:ascii="Times New Roman" w:hAnsi="Times New Roman" w:cs="Times New Roman"/>
          <w:sz w:val="24"/>
          <w:szCs w:val="24"/>
        </w:rPr>
      </w:pPr>
      <w:r>
        <w:rPr>
          <w:rFonts w:ascii="Times New Roman" w:hAnsi="Times New Roman" w:cs="Times New Roman"/>
          <w:sz w:val="24"/>
          <w:szCs w:val="24"/>
        </w:rPr>
        <w:t xml:space="preserve">The study further, revealed </w:t>
      </w:r>
      <w:r>
        <w:rPr>
          <w:rFonts w:ascii="Times New Roman" w:hAnsi="Times New Roman" w:cs="Times New Roman"/>
          <w:sz w:val="24"/>
          <w:szCs w:val="24"/>
          <w:shd w:val="clear" w:color="auto" w:fill="FFFFFF"/>
        </w:rPr>
        <w:t>that usage of ICT tools enables ILS content delivery and application. ICT tools enable lecturers and librarians to work with contents that are packaged, such as digital files for manuals or procedures, as well as wikis, ZOOM, Google forms, blogs, and platforms that allow the students to collaborate for information sharing</w:t>
      </w:r>
      <w:r>
        <w:rPr>
          <w:rFonts w:ascii="Times New Roman" w:hAnsi="Times New Roman" w:cs="Times New Roman"/>
          <w:sz w:val="24"/>
          <w:szCs w:val="24"/>
        </w:rPr>
        <w:t xml:space="preserve">. In addition, the study found out that ICTs provides students with opportunities in adapting learning to their individual information needs; ICTs greatly facilitate the acquisition and absorption of knowledge; ICTs have a positive effect on </w:t>
      </w:r>
      <w:r>
        <w:rPr>
          <w:rFonts w:ascii="Times New Roman" w:hAnsi="Times New Roman" w:cs="Times New Roman"/>
          <w:sz w:val="24"/>
          <w:szCs w:val="24"/>
        </w:rPr>
        <w:lastRenderedPageBreak/>
        <w:t xml:space="preserve">the behavior, motivation, and communication of students; students use ICTs to work more independently and effectively; ICTs open access to vast sources of knowledge in ways unimaginable not long ago, and ICT is integrated in a manner to support and extend curriculum objectives and engage students in gainful learning. </w:t>
      </w:r>
    </w:p>
    <w:p w14:paraId="3B5ABFA6"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study further showed that iPads, laptops, software programs, televisions, scanners, radio, tablets, public address systems, smartboards, projectors, internet, smartphones, printers,</w:t>
      </w:r>
      <w:r>
        <w:rPr>
          <w:rFonts w:ascii="Times New Roman" w:eastAsia="Calibri" w:hAnsi="Times New Roman" w:cs="Times New Roman"/>
          <w:sz w:val="24"/>
          <w:szCs w:val="24"/>
          <w:shd w:val="clear" w:color="auto" w:fill="FFFFFF"/>
        </w:rPr>
        <w:t xml:space="preserve"> clicker devices, </w:t>
      </w:r>
      <w:r>
        <w:rPr>
          <w:rFonts w:ascii="Times New Roman" w:eastAsia="Calibri" w:hAnsi="Times New Roman" w:cs="Times New Roman"/>
          <w:sz w:val="24"/>
          <w:szCs w:val="24"/>
        </w:rPr>
        <w:t>WI FI, and cameras were the ICT tools and devices that are used to impart ILS to undergraduate medical students.</w:t>
      </w:r>
    </w:p>
    <w:p w14:paraId="2377041F" w14:textId="77777777" w:rsidR="00B01D46" w:rsidRDefault="0067013E">
      <w:pPr>
        <w:spacing w:before="120" w:after="0" w:line="480" w:lineRule="auto"/>
        <w:ind w:right="65"/>
        <w:jc w:val="both"/>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The findings revealed that universities are faced with many ICT challenges in their quest to train and equip students with appropriate ILS. The ICT challenges faced were; </w:t>
      </w:r>
      <w:r>
        <w:rPr>
          <w:rFonts w:ascii="Times New Roman" w:eastAsia="Times New Roman" w:hAnsi="Times New Roman" w:cs="Times New Roman"/>
          <w:sz w:val="24"/>
          <w:szCs w:val="24"/>
        </w:rPr>
        <w:t>unstable internet connectivity, outdated computers, inadequate computer laboratories with limited internet connection, projectors were available but not in good working conditions,</w:t>
      </w:r>
      <w:r>
        <w:rPr>
          <w:rFonts w:ascii="Times New Roman" w:hAnsi="Times New Roman" w:cs="Times New Roman"/>
          <w:sz w:val="24"/>
          <w:szCs w:val="24"/>
        </w:rPr>
        <w:t xml:space="preserve"> absence of pedagogical skills among trainers, poor ICT literacy</w:t>
      </w:r>
      <w:r>
        <w:rPr>
          <w:rFonts w:ascii="Times New Roman" w:eastAsia="Times New Roman" w:hAnsi="Times New Roman" w:cs="Times New Roman"/>
          <w:sz w:val="24"/>
          <w:szCs w:val="24"/>
        </w:rPr>
        <w:t xml:space="preserve"> among staff, Microsoft software suite were outdated, </w:t>
      </w:r>
      <w:r>
        <w:rPr>
          <w:rFonts w:ascii="Times New Roman" w:hAnsi="Times New Roman" w:cs="Times New Roman"/>
          <w:sz w:val="24"/>
          <w:szCs w:val="24"/>
        </w:rPr>
        <w:t>slow speed of computers,</w:t>
      </w:r>
      <w:r>
        <w:rPr>
          <w:rFonts w:ascii="Times New Roman" w:eastAsia="Times New Roman" w:hAnsi="Times New Roman" w:cs="Times New Roman"/>
          <w:sz w:val="24"/>
          <w:szCs w:val="24"/>
        </w:rPr>
        <w:t xml:space="preserve"> available Wi-FI networks all-round the universities compound were very weak, absence of adequate IT qualified personnel, unstable power supply due to unpaid bills, subscription fee meant for internet and e-resource providers had not been paid. </w:t>
      </w:r>
    </w:p>
    <w:p w14:paraId="27E5D14F" w14:textId="77777777" w:rsidR="00B01D46" w:rsidRDefault="00B01D46">
      <w:pPr>
        <w:spacing w:after="0" w:line="240" w:lineRule="auto"/>
        <w:ind w:right="65"/>
        <w:jc w:val="both"/>
        <w:rPr>
          <w:rFonts w:ascii="Times New Roman" w:eastAsia="Times New Roman" w:hAnsi="Times New Roman" w:cs="Times New Roman"/>
          <w:sz w:val="24"/>
          <w:szCs w:val="24"/>
        </w:rPr>
      </w:pPr>
    </w:p>
    <w:p w14:paraId="369B9872" w14:textId="77777777" w:rsidR="00B01D46" w:rsidRDefault="0067013E">
      <w:pPr>
        <w:pStyle w:val="Heading3"/>
      </w:pPr>
      <w:bookmarkStart w:id="2288" w:name="_Toc165365335"/>
      <w:bookmarkStart w:id="2289" w:name="_Toc165369369"/>
      <w:bookmarkStart w:id="2290" w:name="_Toc164664142"/>
      <w:bookmarkStart w:id="2291" w:name="_Toc184273016"/>
      <w:bookmarkStart w:id="2292" w:name="_Toc165975934"/>
      <w:bookmarkStart w:id="2293" w:name="_Toc165363561"/>
      <w:bookmarkStart w:id="2294" w:name="_Toc165973213"/>
      <w:r>
        <w:t>7.2.7 Challenges Hindering ILS Delivery</w:t>
      </w:r>
      <w:bookmarkEnd w:id="2288"/>
      <w:bookmarkEnd w:id="2289"/>
      <w:bookmarkEnd w:id="2290"/>
      <w:bookmarkEnd w:id="2291"/>
      <w:bookmarkEnd w:id="2292"/>
      <w:bookmarkEnd w:id="2293"/>
      <w:bookmarkEnd w:id="2294"/>
      <w:r>
        <w:t xml:space="preserve"> </w:t>
      </w:r>
    </w:p>
    <w:p w14:paraId="0A34119A"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findings revealed that</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 xml:space="preserve">the challenges hindering ILS delivery to </w:t>
      </w:r>
      <w:r>
        <w:rPr>
          <w:rFonts w:ascii="Times New Roman" w:eastAsia="Times New Roman" w:hAnsi="Times New Roman" w:cs="Times New Roman"/>
          <w:sz w:val="24"/>
          <w:szCs w:val="24"/>
        </w:rPr>
        <w:t>medical undergraduate students</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in the selected universities were: l</w:t>
      </w:r>
      <w:r>
        <w:rPr>
          <w:rFonts w:ascii="Times New Roman" w:eastAsia="Calibri" w:hAnsi="Times New Roman" w:cs="Times New Roman"/>
          <w:iCs/>
          <w:sz w:val="24"/>
          <w:szCs w:val="24"/>
        </w:rPr>
        <w:t xml:space="preserve">arge classes, unstable power supply, inadequate support from management organs in the university, poor and unstable internet connectivity, limited internet bandwidth from the internet service providers, </w:t>
      </w:r>
      <w:r>
        <w:rPr>
          <w:rFonts w:ascii="Times New Roman" w:eastAsia="Times New Roman" w:hAnsi="Times New Roman" w:cs="Times New Roman"/>
          <w:sz w:val="24"/>
          <w:szCs w:val="24"/>
        </w:rPr>
        <w:t xml:space="preserve">Information literacy skills are not well-integrated or embedded in </w:t>
      </w:r>
      <w:r>
        <w:rPr>
          <w:rFonts w:ascii="Times New Roman" w:eastAsia="Times New Roman" w:hAnsi="Times New Roman" w:cs="Times New Roman"/>
          <w:sz w:val="24"/>
          <w:szCs w:val="24"/>
        </w:rPr>
        <w:lastRenderedPageBreak/>
        <w:t xml:space="preserve">the University’s curriculum, </w:t>
      </w:r>
      <w:r>
        <w:rPr>
          <w:rFonts w:ascii="Times New Roman" w:eastAsia="Calibri" w:hAnsi="Times New Roman" w:cs="Times New Roman"/>
          <w:iCs/>
          <w:sz w:val="24"/>
          <w:szCs w:val="24"/>
        </w:rPr>
        <w:t xml:space="preserve">students lack of interest in learning ILS, </w:t>
      </w:r>
      <w:r>
        <w:rPr>
          <w:rFonts w:ascii="Times New Roman" w:eastAsia="Calibri" w:hAnsi="Times New Roman" w:cs="Times New Roman"/>
          <w:sz w:val="24"/>
          <w:szCs w:val="24"/>
        </w:rPr>
        <w:t xml:space="preserve">Inadequate support from university management, </w:t>
      </w:r>
      <w:r>
        <w:rPr>
          <w:rFonts w:ascii="Times New Roman" w:eastAsia="Times New Roman" w:hAnsi="Times New Roman" w:cs="Times New Roman"/>
          <w:sz w:val="24"/>
          <w:szCs w:val="24"/>
        </w:rPr>
        <w:t>ILS policy and curricula not adopted fully,</w:t>
      </w:r>
      <w:r>
        <w:rPr>
          <w:rFonts w:ascii="Times New Roman" w:eastAsia="Calibri" w:hAnsi="Times New Roman" w:cs="Times New Roman"/>
          <w:sz w:val="24"/>
          <w:szCs w:val="24"/>
        </w:rPr>
        <w:t xml:space="preserve"> Students’ misconceptions are shown by their belief that they already possess information literacy skills and competencies, </w:t>
      </w:r>
      <w:r>
        <w:rPr>
          <w:rFonts w:ascii="Times New Roman" w:eastAsia="Calibri" w:hAnsi="Times New Roman" w:cs="Times New Roman"/>
          <w:iCs/>
          <w:sz w:val="24"/>
          <w:szCs w:val="24"/>
        </w:rPr>
        <w:t>lack of adequate time for instruction,</w:t>
      </w:r>
      <w:r>
        <w:rPr>
          <w:rFonts w:ascii="Times New Roman" w:eastAsia="Calibri" w:hAnsi="Times New Roman" w:cs="Times New Roman"/>
          <w:sz w:val="24"/>
          <w:szCs w:val="24"/>
        </w:rPr>
        <w:t xml:space="preserve"> limited number of skilled staff, inadequate time allocated to the program, </w:t>
      </w:r>
      <w:r>
        <w:rPr>
          <w:rFonts w:ascii="Times New Roman" w:eastAsia="Calibri" w:hAnsi="Times New Roman" w:cs="Times New Roman"/>
          <w:iCs/>
          <w:sz w:val="24"/>
          <w:szCs w:val="24"/>
        </w:rPr>
        <w:t xml:space="preserve">inadequate computers in the computer laboratories, </w:t>
      </w:r>
      <w:r>
        <w:rPr>
          <w:rFonts w:ascii="Times New Roman" w:eastAsia="Calibri" w:hAnsi="Times New Roman" w:cs="Times New Roman"/>
          <w:sz w:val="24"/>
          <w:szCs w:val="24"/>
        </w:rPr>
        <w:t>Reluctance by faculty staff to adopt an information literacy skills approach in their teaching</w:t>
      </w:r>
      <w:r>
        <w:rPr>
          <w:rFonts w:ascii="Times New Roman" w:eastAsia="Calibri" w:hAnsi="Times New Roman" w:cs="Times New Roman"/>
          <w:iCs/>
          <w:sz w:val="24"/>
          <w:szCs w:val="24"/>
        </w:rPr>
        <w:t xml:space="preserve">, </w:t>
      </w:r>
      <w:r>
        <w:rPr>
          <w:rFonts w:ascii="Times New Roman" w:eastAsia="Times New Roman" w:hAnsi="Times New Roman" w:cs="Times New Roman"/>
          <w:sz w:val="24"/>
          <w:szCs w:val="24"/>
        </w:rPr>
        <w:t>ICT skill of students is low, and this affects their internet search skills., a</w:t>
      </w:r>
      <w:r>
        <w:rPr>
          <w:rFonts w:ascii="Times New Roman" w:eastAsia="Calibri" w:hAnsi="Times New Roman" w:cs="Times New Roman"/>
          <w:iCs/>
          <w:sz w:val="24"/>
          <w:szCs w:val="24"/>
        </w:rPr>
        <w:t>nd lack of teaching methodology/pedagogical skills among the lecturers, especially librarians</w:t>
      </w:r>
      <w:r>
        <w:rPr>
          <w:rFonts w:ascii="Times New Roman" w:eastAsia="Calibri" w:hAnsi="Times New Roman" w:cs="Times New Roman"/>
          <w:sz w:val="24"/>
          <w:szCs w:val="24"/>
        </w:rPr>
        <w:t>. Findings regarding the challenges that impeded effective IL learning indicated that: lack of adequate learning resources and facilities such as computers and classrooms, greatly affected the students’ ILS training learning, as discovered by other studies in Africa (Baro &amp; Zuokemefa, 2011; Lwehabura &amp; Stilwell, 2008; Hart &amp; Davids, 2010). There was limited access to the internet, with frequent downtimes and a high cost of internet access at Moi University, because of its distance from the nearest major urban centre.</w:t>
      </w:r>
    </w:p>
    <w:p w14:paraId="0A93FFAA" w14:textId="77777777" w:rsidR="00B01D46" w:rsidRDefault="00B01D46">
      <w:pPr>
        <w:spacing w:after="0" w:line="240" w:lineRule="auto"/>
        <w:ind w:right="65"/>
        <w:jc w:val="both"/>
        <w:rPr>
          <w:rFonts w:ascii="Times New Roman" w:eastAsia="Calibri" w:hAnsi="Times New Roman" w:cs="Times New Roman"/>
          <w:sz w:val="24"/>
          <w:szCs w:val="24"/>
        </w:rPr>
      </w:pPr>
    </w:p>
    <w:p w14:paraId="6AC3D181" w14:textId="77777777" w:rsidR="00B01D46" w:rsidRDefault="0067013E">
      <w:pPr>
        <w:pStyle w:val="Heading2"/>
      </w:pPr>
      <w:bookmarkStart w:id="2295" w:name="_Toc165369370"/>
      <w:bookmarkStart w:id="2296" w:name="_Toc165973214"/>
      <w:bookmarkStart w:id="2297" w:name="_Toc165363562"/>
      <w:bookmarkStart w:id="2298" w:name="_Toc165365336"/>
      <w:bookmarkStart w:id="2299" w:name="_Toc164664143"/>
      <w:bookmarkStart w:id="2300" w:name="_Toc184273017"/>
      <w:bookmarkStart w:id="2301" w:name="_Toc165975935"/>
      <w:r>
        <w:t>7.3 Conclusion</w:t>
      </w:r>
      <w:bookmarkEnd w:id="2295"/>
      <w:bookmarkEnd w:id="2296"/>
      <w:bookmarkEnd w:id="2297"/>
      <w:bookmarkEnd w:id="2298"/>
      <w:bookmarkEnd w:id="2299"/>
      <w:bookmarkEnd w:id="2300"/>
      <w:bookmarkEnd w:id="2301"/>
    </w:p>
    <w:p w14:paraId="75493D44"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The findings of this study affirms that </w:t>
      </w:r>
      <w:r>
        <w:rPr>
          <w:rFonts w:ascii="Times New Roman" w:hAnsi="Times New Roman" w:cs="Times New Roman"/>
          <w:sz w:val="24"/>
          <w:szCs w:val="24"/>
        </w:rPr>
        <w:t>students have not acquired the necessary Information Literacy Skills (ILS), such as truncation and Boolean logic search techniques, to effectively apply the information they learn in their fields of study. Furthermore, students lack sufficient skills to evaluate and critically assess the information they retrieve from the internet, which hinders their ability to use information in a legal and ethical manner</w:t>
      </w:r>
      <w:r>
        <w:rPr>
          <w:rFonts w:ascii="Times New Roman" w:eastAsia="Times New Roman" w:hAnsi="Times New Roman" w:cs="Times New Roman"/>
          <w:sz w:val="24"/>
          <w:szCs w:val="24"/>
        </w:rPr>
        <w:t xml:space="preserve">. </w:t>
      </w:r>
    </w:p>
    <w:p w14:paraId="15C06021" w14:textId="77777777" w:rsidR="00B01D46" w:rsidRDefault="0067013E">
      <w:pPr>
        <w:spacing w:before="120" w:line="480" w:lineRule="auto"/>
        <w:ind w:right="65"/>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The study also concluded that the information literacy skills policy has never been updated, and ILS has never been embedded into course unit. T</w:t>
      </w:r>
      <w:r>
        <w:rPr>
          <w:rFonts w:ascii="Times New Roman" w:hAnsi="Times New Roman" w:cs="Times New Roman"/>
          <w:sz w:val="24"/>
          <w:szCs w:val="24"/>
        </w:rPr>
        <w:t xml:space="preserve">here is absence of shared understanding on how ILS training and learning among undergraduate students ought to be carried out. </w:t>
      </w:r>
      <w:r>
        <w:rPr>
          <w:rFonts w:ascii="Times New Roman" w:eastAsia="Calibri" w:hAnsi="Times New Roman" w:cs="Times New Roman"/>
          <w:sz w:val="24"/>
          <w:szCs w:val="24"/>
        </w:rPr>
        <w:t>The absence of collaboration between the lecturers and librarians in training ILS to students</w:t>
      </w:r>
      <w:r>
        <w:rPr>
          <w:rFonts w:ascii="Times New Roman" w:hAnsi="Times New Roman" w:cs="Times New Roman"/>
          <w:sz w:val="24"/>
          <w:szCs w:val="24"/>
        </w:rPr>
        <w:t xml:space="preserve"> has contributed to the ILS inadequacy among undergraduate medical students. Further, </w:t>
      </w:r>
      <w:bookmarkStart w:id="2302" w:name="_Hlk132965006"/>
      <w:r>
        <w:rPr>
          <w:rFonts w:ascii="Times New Roman" w:hAnsi="Times New Roman" w:cs="Times New Roman"/>
          <w:sz w:val="24"/>
          <w:szCs w:val="24"/>
        </w:rPr>
        <w:t>students often display a casual view towards ILS training and instruction, especially when called to attend the ILS training sessions, they never engaged during the training, they displayed a know-it-all attitude and overconfidence</w:t>
      </w:r>
      <w:bookmarkEnd w:id="2302"/>
      <w:r>
        <w:rPr>
          <w:rFonts w:ascii="Times New Roman" w:hAnsi="Times New Roman" w:cs="Times New Roman"/>
          <w:sz w:val="24"/>
          <w:szCs w:val="24"/>
        </w:rPr>
        <w:t>.</w:t>
      </w:r>
      <w:bookmarkStart w:id="2303" w:name="_Hlk132968538"/>
      <w:r>
        <w:rPr>
          <w:rFonts w:ascii="Times New Roman" w:hAnsi="Times New Roman" w:cs="Times New Roman"/>
          <w:sz w:val="24"/>
          <w:szCs w:val="24"/>
        </w:rPr>
        <w:t xml:space="preserve"> Furthermore, </w:t>
      </w:r>
      <w:r>
        <w:rPr>
          <w:rFonts w:ascii="Times New Roman" w:eastAsia="Calibri" w:hAnsi="Times New Roman" w:cs="Times New Roman"/>
          <w:sz w:val="24"/>
          <w:szCs w:val="24"/>
        </w:rPr>
        <w:t xml:space="preserve">staff facilitating ILS among </w:t>
      </w:r>
      <w:r>
        <w:rPr>
          <w:rFonts w:ascii="Times New Roman" w:eastAsiaTheme="majorEastAsia" w:hAnsi="Times New Roman" w:cs="Times New Roman"/>
          <w:sz w:val="24"/>
          <w:szCs w:val="24"/>
        </w:rPr>
        <w:t xml:space="preserve">undergraduate medical students do not possess adequate ILS competencies to successfully impart ILS to students especially in the </w:t>
      </w:r>
      <w:r>
        <w:rPr>
          <w:rFonts w:ascii="Times New Roman" w:hAnsi="Times New Roman" w:cs="Times New Roman"/>
          <w:sz w:val="24"/>
          <w:szCs w:val="24"/>
          <w:shd w:val="clear" w:color="auto" w:fill="FFFFFF"/>
        </w:rPr>
        <w:t>new digital information environment</w:t>
      </w:r>
      <w:r>
        <w:rPr>
          <w:rFonts w:ascii="Times New Roman" w:eastAsiaTheme="majorEastAsia" w:hAnsi="Times New Roman" w:cs="Times New Roman"/>
          <w:sz w:val="24"/>
          <w:szCs w:val="24"/>
        </w:rPr>
        <w:t xml:space="preserve">. </w:t>
      </w:r>
      <w:bookmarkEnd w:id="2303"/>
      <w:r>
        <w:rPr>
          <w:rFonts w:ascii="Times New Roman" w:hAnsi="Times New Roman" w:cs="Times New Roman"/>
          <w:sz w:val="24"/>
          <w:szCs w:val="24"/>
        </w:rPr>
        <w:t xml:space="preserve">Lastly the study conclude that </w:t>
      </w:r>
      <w:r>
        <w:rPr>
          <w:rFonts w:ascii="Times New Roman" w:eastAsia="Times New Roman" w:hAnsi="Times New Roman" w:cs="Times New Roman"/>
          <w:color w:val="000000"/>
          <w:sz w:val="24"/>
          <w:szCs w:val="24"/>
        </w:rPr>
        <w:t xml:space="preserve">students have the basic computer skills and that they are yet to acquire competent high level </w:t>
      </w:r>
      <w:r>
        <w:rPr>
          <w:rFonts w:ascii="Times New Roman" w:hAnsi="Times New Roman" w:cs="Times New Roman"/>
          <w:sz w:val="24"/>
          <w:szCs w:val="24"/>
        </w:rPr>
        <w:t xml:space="preserve">ICT skills that are essential in ensuring that </w:t>
      </w:r>
      <w:bookmarkStart w:id="2304" w:name="_Hlk133005408"/>
      <w:r>
        <w:rPr>
          <w:rFonts w:ascii="Times New Roman" w:hAnsi="Times New Roman" w:cs="Times New Roman"/>
          <w:sz w:val="24"/>
          <w:szCs w:val="24"/>
        </w:rPr>
        <w:t>they reap maximum benefits from the available information</w:t>
      </w:r>
      <w:bookmarkEnd w:id="2304"/>
      <w:r>
        <w:rPr>
          <w:rFonts w:ascii="Times New Roman" w:hAnsi="Times New Roman" w:cs="Times New Roman"/>
          <w:iCs/>
          <w:sz w:val="24"/>
          <w:szCs w:val="24"/>
        </w:rPr>
        <w:t xml:space="preserve">. </w:t>
      </w:r>
    </w:p>
    <w:p w14:paraId="1034805F" w14:textId="77777777" w:rsidR="00B01D46" w:rsidRDefault="0067013E">
      <w:pPr>
        <w:pStyle w:val="Heading2"/>
      </w:pPr>
      <w:bookmarkStart w:id="2305" w:name="_Toc165365337"/>
      <w:bookmarkStart w:id="2306" w:name="_Toc165973215"/>
      <w:bookmarkStart w:id="2307" w:name="_Toc164664144"/>
      <w:bookmarkStart w:id="2308" w:name="_Toc165975936"/>
      <w:bookmarkStart w:id="2309" w:name="_Toc165369371"/>
      <w:bookmarkStart w:id="2310" w:name="_Toc184273018"/>
      <w:bookmarkStart w:id="2311" w:name="_Toc165363563"/>
      <w:r>
        <w:t>7.4 Recommendations</w:t>
      </w:r>
      <w:bookmarkEnd w:id="2305"/>
      <w:bookmarkEnd w:id="2306"/>
      <w:bookmarkEnd w:id="2307"/>
      <w:bookmarkEnd w:id="2308"/>
      <w:bookmarkEnd w:id="2309"/>
      <w:bookmarkEnd w:id="2310"/>
      <w:bookmarkEnd w:id="2311"/>
      <w:r>
        <w:t xml:space="preserve"> </w:t>
      </w:r>
    </w:p>
    <w:p w14:paraId="492D80B2"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Based on the findings of this study, as espoused in the conclusions, theory and the extent of  literature reviewed, the researcher makes recommendations on the following areas: status of information literacy among medical undergraduate students, information literacy skills policy and procedures used in imparting information literacy skills, information literacy skills curriculum and methods used in delivering the ILS curriculum to undergraduate medical students, the attitude of undergraduate medical students towards ILS, knowledge and skills possessed by the staff facilitating ILS among undergraduate medical students, role of ICT in facilitating and promoting information literacy skills, and challenges hindering ILS delivery.</w:t>
      </w:r>
    </w:p>
    <w:p w14:paraId="71AF11BD" w14:textId="77777777" w:rsidR="00B01D46" w:rsidRDefault="0067013E">
      <w:pPr>
        <w:pStyle w:val="Heading3"/>
      </w:pPr>
      <w:bookmarkStart w:id="2312" w:name="_Toc165365338"/>
      <w:bookmarkStart w:id="2313" w:name="_Toc165973216"/>
      <w:bookmarkStart w:id="2314" w:name="_Toc165975937"/>
      <w:bookmarkStart w:id="2315" w:name="_Toc165363564"/>
      <w:bookmarkStart w:id="2316" w:name="_Toc184273019"/>
      <w:bookmarkStart w:id="2317" w:name="_Toc164664145"/>
      <w:bookmarkStart w:id="2318" w:name="_Toc165369372"/>
      <w:r>
        <w:lastRenderedPageBreak/>
        <w:t>7.4.1 Status of Information Literacy Skills</w:t>
      </w:r>
      <w:bookmarkEnd w:id="2312"/>
      <w:bookmarkEnd w:id="2313"/>
      <w:bookmarkEnd w:id="2314"/>
      <w:bookmarkEnd w:id="2315"/>
      <w:bookmarkEnd w:id="2316"/>
      <w:bookmarkEnd w:id="2317"/>
      <w:bookmarkEnd w:id="2318"/>
    </w:p>
    <w:p w14:paraId="64488122"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sought to find out the status of ILS among undergraduate medical students. The findings revealed that majority of the students cannot use truncation and Boolean logic search techniques to find information and </w:t>
      </w:r>
      <w:r>
        <w:rPr>
          <w:rFonts w:ascii="Times New Roman" w:hAnsi="Times New Roman" w:cs="Times New Roman"/>
          <w:sz w:val="24"/>
          <w:szCs w:val="24"/>
        </w:rPr>
        <w:t>had challenges in using information ethically and legally.</w:t>
      </w:r>
      <w:r>
        <w:rPr>
          <w:rFonts w:ascii="Times New Roman" w:eastAsia="Calibri" w:hAnsi="Times New Roman" w:cs="Times New Roman"/>
          <w:sz w:val="24"/>
          <w:szCs w:val="24"/>
        </w:rPr>
        <w:t xml:space="preserve"> The researcher recommends short-term ILS training workshops, seminar and Webinars for all medical undergraduate students to be conducted periodically. The training should adopt the proposed 8 step ILS adequacy enhancing model in figure 7.1. </w:t>
      </w:r>
    </w:p>
    <w:p w14:paraId="4C8EF0C2" w14:textId="77777777" w:rsidR="00B01D46" w:rsidRDefault="0067013E">
      <w:pPr>
        <w:spacing w:before="120" w:after="0" w:line="480" w:lineRule="auto"/>
        <w:ind w:right="65"/>
        <w:jc w:val="both"/>
        <w:rPr>
          <w:rFonts w:ascii="Times New Roman" w:eastAsia="Calibri" w:hAnsi="Times New Roman" w:cs="Times New Roman"/>
          <w:b/>
          <w:bCs/>
          <w:i/>
          <w:iCs/>
          <w:sz w:val="24"/>
          <w:szCs w:val="24"/>
        </w:rPr>
      </w:pPr>
      <w:r>
        <w:rPr>
          <w:rFonts w:ascii="Times New Roman" w:eastAsia="Calibri" w:hAnsi="Times New Roman" w:cs="Times New Roman"/>
          <w:b/>
          <w:bCs/>
          <w:sz w:val="24"/>
          <w:szCs w:val="24"/>
        </w:rPr>
        <w:t xml:space="preserve">Recommendation one: adoption of the </w:t>
      </w:r>
      <w:r>
        <w:rPr>
          <w:rFonts w:ascii="Times New Roman" w:eastAsia="Calibri" w:hAnsi="Times New Roman" w:cs="Times New Roman"/>
          <w:b/>
          <w:bCs/>
          <w:i/>
          <w:iCs/>
          <w:sz w:val="24"/>
          <w:szCs w:val="24"/>
        </w:rPr>
        <w:t>Proposed Framework: 8 Step ILS adequacy enhancing Model for Medical Undergraduate Students: -</w:t>
      </w:r>
    </w:p>
    <w:p w14:paraId="22B72289" w14:textId="77777777" w:rsidR="00B01D46" w:rsidRDefault="0067013E">
      <w:pPr>
        <w:spacing w:before="120" w:after="0" w:line="480" w:lineRule="auto"/>
        <w:ind w:right="65"/>
        <w:jc w:val="both"/>
        <w:rPr>
          <w:rFonts w:ascii="Times New Roman" w:eastAsia="Calibri" w:hAnsi="Times New Roman" w:cs="Times New Roman"/>
          <w:b/>
          <w:bCs/>
          <w:sz w:val="24"/>
          <w:szCs w:val="24"/>
        </w:rPr>
      </w:pPr>
      <w:r>
        <w:rPr>
          <w:rFonts w:ascii="Times New Roman" w:hAnsi="Times New Roman" w:cs="Times New Roman"/>
          <w:b/>
          <w:noProof/>
          <w:sz w:val="24"/>
          <w:szCs w:val="24"/>
        </w:rPr>
        <w:drawing>
          <wp:anchor distT="0" distB="0" distL="114300" distR="114300" simplePos="0" relativeHeight="251663360" behindDoc="1" locked="0" layoutInCell="1" allowOverlap="1" wp14:anchorId="1CD27AD4" wp14:editId="51BECD90">
            <wp:simplePos x="0" y="0"/>
            <wp:positionH relativeFrom="column">
              <wp:posOffset>1120775</wp:posOffset>
            </wp:positionH>
            <wp:positionV relativeFrom="paragraph">
              <wp:posOffset>19050</wp:posOffset>
            </wp:positionV>
            <wp:extent cx="3190875" cy="2924175"/>
            <wp:effectExtent l="0" t="0" r="0" b="28575"/>
            <wp:wrapTight wrapText="bothSides">
              <wp:wrapPolygon edited="0">
                <wp:start x="9930" y="0"/>
                <wp:lineTo x="9543" y="141"/>
                <wp:lineTo x="7995" y="1970"/>
                <wp:lineTo x="4642" y="2392"/>
                <wp:lineTo x="2966" y="3236"/>
                <wp:lineTo x="3224" y="6754"/>
                <wp:lineTo x="1419" y="9006"/>
                <wp:lineTo x="903" y="9850"/>
                <wp:lineTo x="645" y="10413"/>
                <wp:lineTo x="645" y="11820"/>
                <wp:lineTo x="2321" y="13509"/>
                <wp:lineTo x="2837" y="13509"/>
                <wp:lineTo x="3224" y="18575"/>
                <wp:lineTo x="7479" y="20263"/>
                <wp:lineTo x="8769" y="20404"/>
                <wp:lineTo x="9930" y="21670"/>
                <wp:lineTo x="11735" y="21670"/>
                <wp:lineTo x="13024" y="20263"/>
                <wp:lineTo x="14314" y="20263"/>
                <wp:lineTo x="18441" y="18575"/>
                <wp:lineTo x="18441" y="16182"/>
                <wp:lineTo x="18312" y="15760"/>
                <wp:lineTo x="19214" y="13509"/>
                <wp:lineTo x="20891" y="11679"/>
                <wp:lineTo x="21020" y="10976"/>
                <wp:lineTo x="20633" y="9850"/>
                <wp:lineTo x="20117" y="9006"/>
                <wp:lineTo x="18312" y="6754"/>
                <wp:lineTo x="18699" y="4362"/>
                <wp:lineTo x="18054" y="3236"/>
                <wp:lineTo x="17280" y="2251"/>
                <wp:lineTo x="11477" y="0"/>
                <wp:lineTo x="9930" y="0"/>
              </wp:wrapPolygon>
            </wp:wrapTight>
            <wp:docPr id="20865827" name="Diagram 208658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anchor>
        </w:drawing>
      </w:r>
    </w:p>
    <w:p w14:paraId="66B4B65D" w14:textId="77777777" w:rsidR="00B01D46" w:rsidRDefault="00B01D46">
      <w:pPr>
        <w:spacing w:before="120" w:after="0" w:line="480" w:lineRule="auto"/>
        <w:ind w:right="65"/>
        <w:jc w:val="both"/>
        <w:rPr>
          <w:rFonts w:ascii="Times New Roman" w:eastAsia="Calibri" w:hAnsi="Times New Roman" w:cs="Times New Roman"/>
          <w:b/>
          <w:bCs/>
          <w:sz w:val="24"/>
          <w:szCs w:val="24"/>
        </w:rPr>
      </w:pPr>
    </w:p>
    <w:p w14:paraId="3DC4EA66" w14:textId="77777777" w:rsidR="00B01D46" w:rsidRDefault="00B01D46">
      <w:pPr>
        <w:spacing w:before="120" w:after="0" w:line="480" w:lineRule="auto"/>
        <w:ind w:right="65"/>
        <w:jc w:val="both"/>
        <w:rPr>
          <w:rFonts w:ascii="Times New Roman" w:eastAsia="Calibri" w:hAnsi="Times New Roman" w:cs="Times New Roman"/>
          <w:b/>
          <w:bCs/>
          <w:sz w:val="24"/>
          <w:szCs w:val="24"/>
        </w:rPr>
      </w:pPr>
    </w:p>
    <w:p w14:paraId="46611203" w14:textId="77777777" w:rsidR="00B01D46" w:rsidRDefault="00B01D46">
      <w:pPr>
        <w:spacing w:before="120" w:after="0" w:line="480" w:lineRule="auto"/>
        <w:ind w:right="65"/>
        <w:jc w:val="both"/>
        <w:rPr>
          <w:rFonts w:ascii="Times New Roman" w:eastAsia="Calibri" w:hAnsi="Times New Roman" w:cs="Times New Roman"/>
          <w:b/>
          <w:bCs/>
          <w:sz w:val="24"/>
          <w:szCs w:val="24"/>
        </w:rPr>
      </w:pPr>
    </w:p>
    <w:p w14:paraId="14FCD775" w14:textId="77777777" w:rsidR="00B01D46" w:rsidRDefault="00B01D46">
      <w:pPr>
        <w:spacing w:before="120" w:after="0" w:line="480" w:lineRule="auto"/>
        <w:ind w:right="65"/>
        <w:jc w:val="both"/>
        <w:rPr>
          <w:rFonts w:ascii="Times New Roman" w:eastAsia="Calibri" w:hAnsi="Times New Roman" w:cs="Times New Roman"/>
          <w:b/>
          <w:bCs/>
          <w:sz w:val="24"/>
          <w:szCs w:val="24"/>
        </w:rPr>
      </w:pPr>
    </w:p>
    <w:p w14:paraId="42E2593A" w14:textId="77777777" w:rsidR="00B01D46" w:rsidRDefault="00B01D46">
      <w:pPr>
        <w:spacing w:before="120" w:after="0" w:line="480" w:lineRule="auto"/>
        <w:ind w:right="65"/>
        <w:jc w:val="both"/>
        <w:rPr>
          <w:rFonts w:ascii="Times New Roman" w:eastAsia="Calibri" w:hAnsi="Times New Roman" w:cs="Times New Roman"/>
          <w:b/>
          <w:bCs/>
          <w:sz w:val="24"/>
          <w:szCs w:val="24"/>
        </w:rPr>
      </w:pPr>
    </w:p>
    <w:p w14:paraId="0085E8FB" w14:textId="77777777" w:rsidR="00B01D46" w:rsidRDefault="00B01D46">
      <w:pPr>
        <w:spacing w:before="120" w:after="0" w:line="480" w:lineRule="auto"/>
        <w:ind w:right="65"/>
        <w:jc w:val="both"/>
        <w:rPr>
          <w:rFonts w:ascii="Times New Roman" w:eastAsia="Calibri" w:hAnsi="Times New Roman" w:cs="Times New Roman"/>
          <w:b/>
          <w:bCs/>
          <w:sz w:val="24"/>
          <w:szCs w:val="24"/>
        </w:rPr>
      </w:pPr>
    </w:p>
    <w:p w14:paraId="2C478FAB" w14:textId="77777777" w:rsidR="00B01D46" w:rsidRDefault="0067013E">
      <w:pPr>
        <w:pStyle w:val="Caption"/>
      </w:pPr>
      <w:bookmarkStart w:id="2319" w:name="_Toc184272029"/>
      <w:bookmarkStart w:id="2320" w:name="_Toc184276939"/>
      <w:bookmarkStart w:id="2321" w:name="_Toc184272227"/>
      <w:r>
        <w:t>Figure 7.1: Proposed 8-Step ILS Adequacy Enhancing Framework for Medical Undergraduate Students</w:t>
      </w:r>
      <w:bookmarkEnd w:id="2319"/>
      <w:bookmarkEnd w:id="2320"/>
      <w:bookmarkEnd w:id="2321"/>
    </w:p>
    <w:p w14:paraId="505F6C96" w14:textId="77777777" w:rsidR="00B01D46" w:rsidRDefault="0067013E">
      <w:pPr>
        <w:spacing w:before="120" w:after="0" w:line="480" w:lineRule="auto"/>
        <w:ind w:right="65"/>
        <w:jc w:val="both"/>
        <w:rPr>
          <w:rFonts w:ascii="Times New Roman" w:eastAsia="Calibri" w:hAnsi="Times New Roman" w:cs="Times New Roman"/>
          <w:b/>
          <w:bCs/>
          <w:i/>
          <w:sz w:val="24"/>
          <w:szCs w:val="24"/>
        </w:rPr>
      </w:pPr>
      <w:r>
        <w:rPr>
          <w:rFonts w:ascii="Times New Roman" w:eastAsia="Calibri" w:hAnsi="Times New Roman" w:cs="Times New Roman"/>
          <w:b/>
          <w:bCs/>
          <w:i/>
          <w:sz w:val="24"/>
          <w:szCs w:val="24"/>
        </w:rPr>
        <w:t>Source: Researcher, 2021</w:t>
      </w:r>
    </w:p>
    <w:p w14:paraId="77D5972F"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b/>
          <w:bCs/>
          <w:sz w:val="24"/>
          <w:szCs w:val="24"/>
        </w:rPr>
        <w:t>Step one: participant engagement</w:t>
      </w:r>
      <w:r>
        <w:rPr>
          <w:rFonts w:ascii="Times New Roman" w:eastAsia="Calibri" w:hAnsi="Times New Roman" w:cs="Times New Roman"/>
          <w:sz w:val="24"/>
          <w:szCs w:val="24"/>
        </w:rPr>
        <w:t>: Assess the</w:t>
      </w:r>
      <w:r>
        <w:rPr>
          <w:rFonts w:ascii="Times New Roman" w:hAnsi="Times New Roman" w:cs="Times New Roman"/>
          <w:sz w:val="24"/>
          <w:szCs w:val="24"/>
        </w:rPr>
        <w:t xml:space="preserve"> current status of learners to help one ascertain the ILS possessed by learners. </w:t>
      </w:r>
      <w:r>
        <w:rPr>
          <w:rFonts w:ascii="Times New Roman" w:eastAsia="Calibri" w:hAnsi="Times New Roman" w:cs="Times New Roman"/>
          <w:color w:val="0B0C1D"/>
          <w:sz w:val="24"/>
          <w:szCs w:val="24"/>
          <w:shd w:val="clear" w:color="auto" w:fill="FFFFFF"/>
        </w:rPr>
        <w:t xml:space="preserve">This will assist the librarian or instructor identify the ILS gaps the students hope to achieve at the end of the training exercise. The trainer motivates and empower students/participant to manage their own </w:t>
      </w:r>
      <w:r>
        <w:rPr>
          <w:rFonts w:ascii="Times New Roman" w:eastAsia="Calibri" w:hAnsi="Times New Roman" w:cs="Times New Roman"/>
          <w:color w:val="0B0C1D"/>
          <w:sz w:val="24"/>
          <w:szCs w:val="24"/>
          <w:shd w:val="clear" w:color="auto" w:fill="FFFFFF"/>
        </w:rPr>
        <w:lastRenderedPageBreak/>
        <w:t>learning.</w:t>
      </w:r>
      <w:r>
        <w:rPr>
          <w:rFonts w:ascii="Times New Roman" w:eastAsia="Calibri" w:hAnsi="Times New Roman" w:cs="Times New Roman"/>
          <w:sz w:val="24"/>
          <w:szCs w:val="24"/>
        </w:rPr>
        <w:t xml:space="preserve"> </w:t>
      </w:r>
      <w:r>
        <w:rPr>
          <w:rFonts w:ascii="Times New Roman" w:eastAsia="Calibri" w:hAnsi="Times New Roman" w:cs="Times New Roman"/>
          <w:color w:val="0B0C1D"/>
          <w:sz w:val="24"/>
          <w:szCs w:val="24"/>
          <w:shd w:val="clear" w:color="auto" w:fill="FFFFFF"/>
        </w:rPr>
        <w:t xml:space="preserve">the trainer/facilitator adopts a pragmatic approach, asks the participants to state what ILS they possess </w:t>
      </w:r>
      <w:r>
        <w:rPr>
          <w:rFonts w:ascii="Times New Roman" w:hAnsi="Times New Roman" w:cs="Times New Roman"/>
          <w:sz w:val="24"/>
          <w:szCs w:val="24"/>
        </w:rPr>
        <w:t xml:space="preserve">Hence, design an appropriate approach of enhancing those identified ILS skills and also upskill those ILS which are underdeveloped. </w:t>
      </w:r>
    </w:p>
    <w:p w14:paraId="5815E2C1"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b/>
          <w:bCs/>
          <w:sz w:val="24"/>
          <w:szCs w:val="24"/>
        </w:rPr>
        <w:t>Step two:</w:t>
      </w:r>
      <w:r>
        <w:rPr>
          <w:rFonts w:ascii="Times New Roman" w:eastAsia="Calibri" w:hAnsi="Times New Roman" w:cs="Times New Roman"/>
          <w:sz w:val="24"/>
          <w:szCs w:val="24"/>
        </w:rPr>
        <w:t xml:space="preserve"> </w:t>
      </w:r>
      <w:r>
        <w:rPr>
          <w:rFonts w:ascii="Times New Roman" w:eastAsia="Calibri" w:hAnsi="Times New Roman" w:cs="Times New Roman"/>
          <w:b/>
          <w:bCs/>
          <w:sz w:val="24"/>
          <w:szCs w:val="24"/>
        </w:rPr>
        <w:t>Design the implementation and update procedures for ILS policy and curricula</w:t>
      </w:r>
      <w:r>
        <w:rPr>
          <w:rFonts w:ascii="Times New Roman" w:eastAsia="Calibri" w:hAnsi="Times New Roman" w:cs="Times New Roman"/>
          <w:sz w:val="24"/>
          <w:szCs w:val="24"/>
        </w:rPr>
        <w:t xml:space="preserve">: Because of the ever-changing information environment landscape. A guideline on continuous implementation and updating of ILS policy and curricula should be developed. This document should spell clearly who is to instruct ILS, after how long should the ILS policy and curricula be reviewed and by who.  </w:t>
      </w:r>
    </w:p>
    <w:p w14:paraId="5AA8E98B" w14:textId="77777777" w:rsidR="00B01D46" w:rsidRDefault="0067013E">
      <w:pPr>
        <w:spacing w:line="240" w:lineRule="auto"/>
        <w:ind w:right="65"/>
        <w:jc w:val="both"/>
        <w:rPr>
          <w:rFonts w:ascii="Times New Roman" w:hAnsi="Times New Roman" w:cs="Times New Roman"/>
          <w:b/>
          <w:bCs/>
          <w:sz w:val="24"/>
          <w:szCs w:val="24"/>
        </w:rPr>
      </w:pPr>
      <w:r>
        <w:rPr>
          <w:rFonts w:ascii="Times New Roman" w:eastAsia="Calibri" w:hAnsi="Times New Roman" w:cs="Times New Roman"/>
          <w:b/>
          <w:bCs/>
          <w:sz w:val="24"/>
          <w:szCs w:val="24"/>
        </w:rPr>
        <w:t>Step three:</w:t>
      </w:r>
      <w:r>
        <w:rPr>
          <w:rFonts w:ascii="Times New Roman" w:eastAsia="Calibri" w:hAnsi="Times New Roman" w:cs="Times New Roman"/>
          <w:sz w:val="24"/>
          <w:szCs w:val="24"/>
        </w:rPr>
        <w:t xml:space="preserve"> </w:t>
      </w:r>
      <w:r>
        <w:rPr>
          <w:rFonts w:ascii="Times New Roman" w:hAnsi="Times New Roman" w:cs="Times New Roman"/>
          <w:b/>
          <w:bCs/>
          <w:sz w:val="24"/>
          <w:szCs w:val="24"/>
        </w:rPr>
        <w:t>Adopt an appropriate information search model</w:t>
      </w:r>
      <w:r>
        <w:rPr>
          <w:rFonts w:ascii="Times New Roman" w:hAnsi="Times New Roman" w:cs="Times New Roman"/>
          <w:sz w:val="24"/>
          <w:szCs w:val="24"/>
        </w:rPr>
        <w:t xml:space="preserve"> </w:t>
      </w:r>
    </w:p>
    <w:p w14:paraId="1D1454C3" w14:textId="77777777" w:rsidR="00B01D46" w:rsidRDefault="0067013E">
      <w:pPr>
        <w:spacing w:after="0" w:line="480" w:lineRule="auto"/>
        <w:ind w:right="65"/>
        <w:jc w:val="both"/>
        <w:rPr>
          <w:rFonts w:ascii="Times New Roman" w:hAnsi="Times New Roman" w:cs="Times New Roman"/>
          <w:b/>
          <w:bCs/>
          <w:sz w:val="24"/>
          <w:szCs w:val="24"/>
        </w:rPr>
      </w:pPr>
      <w:r>
        <w:rPr>
          <w:rFonts w:ascii="Times New Roman" w:eastAsia="Calibri" w:hAnsi="Times New Roman" w:cs="Times New Roman"/>
          <w:sz w:val="24"/>
          <w:szCs w:val="24"/>
        </w:rPr>
        <w:t xml:space="preserve">The instructors and information service providers should adopt a standard information search model that will enhance the ILS skills of students. The model should help in the development of an ILS manual. </w:t>
      </w:r>
    </w:p>
    <w:p w14:paraId="30047975" w14:textId="77777777" w:rsidR="00B01D46" w:rsidRDefault="0067013E">
      <w:pPr>
        <w:spacing w:after="0" w:line="480" w:lineRule="auto"/>
        <w:ind w:right="65"/>
        <w:jc w:val="both"/>
        <w:rPr>
          <w:rFonts w:ascii="Times New Roman" w:hAnsi="Times New Roman" w:cs="Times New Roman"/>
          <w:sz w:val="24"/>
          <w:szCs w:val="24"/>
        </w:rPr>
      </w:pPr>
      <w:r>
        <w:rPr>
          <w:rFonts w:ascii="Times New Roman" w:eastAsia="Calibri" w:hAnsi="Times New Roman" w:cs="Times New Roman"/>
          <w:b/>
          <w:bCs/>
          <w:sz w:val="24"/>
          <w:szCs w:val="24"/>
        </w:rPr>
        <w:t>Step four:</w:t>
      </w:r>
      <w:r>
        <w:rPr>
          <w:rFonts w:ascii="Times New Roman" w:eastAsia="Calibri" w:hAnsi="Times New Roman" w:cs="Times New Roman"/>
          <w:sz w:val="24"/>
          <w:szCs w:val="24"/>
        </w:rPr>
        <w:t xml:space="preserve"> </w:t>
      </w:r>
      <w:r>
        <w:rPr>
          <w:rFonts w:ascii="Times New Roman" w:hAnsi="Times New Roman" w:cs="Times New Roman"/>
          <w:b/>
          <w:bCs/>
          <w:sz w:val="24"/>
          <w:szCs w:val="24"/>
        </w:rPr>
        <w:t>Develop an ILS manual</w:t>
      </w:r>
      <w:r>
        <w:rPr>
          <w:rFonts w:ascii="Times New Roman" w:hAnsi="Times New Roman" w:cs="Times New Roman"/>
          <w:sz w:val="24"/>
          <w:szCs w:val="24"/>
        </w:rPr>
        <w:t>. The manual is an ILS instructional material. Material should be developed in line with the topics as listed in the ILS policy and curricula. The manual should be in multimedia format to help disseminate ILS to all categories of information users for example the physically challenged learners.</w:t>
      </w:r>
    </w:p>
    <w:p w14:paraId="36B45552" w14:textId="77777777" w:rsidR="00B01D46" w:rsidRDefault="0067013E">
      <w:pPr>
        <w:spacing w:after="0" w:line="480" w:lineRule="auto"/>
        <w:ind w:right="65"/>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Step five</w:t>
      </w:r>
      <w:r>
        <w:rPr>
          <w:rFonts w:ascii="Times New Roman" w:eastAsia="Times New Roman" w:hAnsi="Times New Roman" w:cs="Times New Roman"/>
          <w:color w:val="000000"/>
          <w:sz w:val="24"/>
          <w:szCs w:val="24"/>
        </w:rPr>
        <w:t xml:space="preserve">: </w:t>
      </w:r>
      <w:r>
        <w:rPr>
          <w:rFonts w:ascii="Times New Roman" w:hAnsi="Times New Roman" w:cs="Times New Roman"/>
          <w:b/>
          <w:bCs/>
          <w:sz w:val="24"/>
          <w:szCs w:val="24"/>
        </w:rPr>
        <w:t>Avail innovative ICTs infrastructure to</w:t>
      </w:r>
      <w:r>
        <w:rPr>
          <w:rFonts w:ascii="Times New Roman" w:hAnsi="Times New Roman" w:cs="Times New Roman"/>
          <w:sz w:val="24"/>
          <w:szCs w:val="24"/>
        </w:rPr>
        <w:t xml:space="preserve"> enable ILS instruction, information searching, information transfer and to manipulate information. </w:t>
      </w:r>
    </w:p>
    <w:p w14:paraId="3F3A0022" w14:textId="77777777" w:rsidR="00B01D46" w:rsidRDefault="0067013E">
      <w:pPr>
        <w:spacing w:after="0" w:line="480" w:lineRule="auto"/>
        <w:ind w:right="65"/>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 xml:space="preserve">Step six- </w:t>
      </w:r>
      <w:r>
        <w:rPr>
          <w:rFonts w:ascii="Times New Roman" w:hAnsi="Times New Roman" w:cs="Times New Roman"/>
          <w:b/>
          <w:bCs/>
          <w:sz w:val="24"/>
          <w:szCs w:val="24"/>
        </w:rPr>
        <w:t>Train and reskill staff</w:t>
      </w:r>
      <w:r>
        <w:rPr>
          <w:rFonts w:ascii="Times New Roman" w:hAnsi="Times New Roman" w:cs="Times New Roman"/>
          <w:sz w:val="24"/>
          <w:szCs w:val="24"/>
        </w:rPr>
        <w:t xml:space="preserve">. To adequately enhance ILS among students the staff should be reskilled and retrained on the current information field developments. For example, with the advent of big data technology and Artificial Intelligence staff need to equip themselves with these skills to enable them either transmit these skills to learners or guide the learner become information literate. In addition, to help students develop a positive outlook on ILS trainers and librarians should be trained </w:t>
      </w:r>
      <w:r>
        <w:rPr>
          <w:rFonts w:ascii="Times New Roman" w:hAnsi="Times New Roman" w:cs="Times New Roman"/>
          <w:sz w:val="24"/>
          <w:szCs w:val="24"/>
        </w:rPr>
        <w:lastRenderedPageBreak/>
        <w:t>on how to improve their customer service and pedagogy, so that they can sustainably motivate students to develop a favorable attitude towards ILS.</w:t>
      </w:r>
    </w:p>
    <w:p w14:paraId="2F23EDEC" w14:textId="77777777" w:rsidR="00B01D46" w:rsidRDefault="0067013E">
      <w:pPr>
        <w:spacing w:line="480" w:lineRule="auto"/>
        <w:ind w:right="65"/>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Step Seven:</w:t>
      </w:r>
      <w:r>
        <w:rPr>
          <w:rFonts w:ascii="Times New Roman" w:eastAsia="Times New Roman" w:hAnsi="Times New Roman" w:cs="Times New Roman"/>
          <w:color w:val="000000"/>
          <w:sz w:val="24"/>
          <w:szCs w:val="24"/>
        </w:rPr>
        <w:t xml:space="preserve"> </w:t>
      </w:r>
      <w:r>
        <w:rPr>
          <w:rFonts w:ascii="Times New Roman" w:hAnsi="Times New Roman" w:cs="Times New Roman"/>
          <w:b/>
          <w:bCs/>
          <w:sz w:val="24"/>
          <w:szCs w:val="24"/>
        </w:rPr>
        <w:t xml:space="preserve">Design a tool to continuously assess ILS among students (measuring ILS) </w:t>
      </w:r>
      <w:r>
        <w:rPr>
          <w:rFonts w:ascii="Times New Roman" w:hAnsi="Times New Roman" w:cs="Times New Roman"/>
          <w:sz w:val="24"/>
          <w:szCs w:val="24"/>
        </w:rPr>
        <w:t xml:space="preserve">An appropriate ILS assessment tool should be developed to help librarians and trainers know whether students are making positive strides towards enhancing their ILS. The assessment method should be the one that is carried out continuously from the time students are being exposed to ILS instruction. </w:t>
      </w:r>
    </w:p>
    <w:p w14:paraId="106B3AD9" w14:textId="77777777" w:rsidR="00B01D46" w:rsidRDefault="0067013E">
      <w:pPr>
        <w:spacing w:line="480" w:lineRule="auto"/>
        <w:ind w:right="65"/>
        <w:jc w:val="both"/>
        <w:rPr>
          <w:rFonts w:ascii="Times New Roman" w:hAnsi="Times New Roman" w:cs="Times New Roman"/>
          <w:sz w:val="24"/>
          <w:szCs w:val="24"/>
        </w:rPr>
      </w:pPr>
      <w:r>
        <w:rPr>
          <w:rFonts w:ascii="Times New Roman" w:eastAsia="Calibri" w:hAnsi="Times New Roman" w:cs="Times New Roman"/>
          <w:b/>
          <w:bCs/>
          <w:color w:val="0B0C1D"/>
          <w:sz w:val="24"/>
          <w:szCs w:val="24"/>
          <w:shd w:val="clear" w:color="auto" w:fill="FFFFFF"/>
        </w:rPr>
        <w:t xml:space="preserve">Step Eight: </w:t>
      </w:r>
      <w:r>
        <w:rPr>
          <w:rFonts w:ascii="Times New Roman" w:hAnsi="Times New Roman" w:cs="Times New Roman"/>
          <w:sz w:val="24"/>
          <w:szCs w:val="24"/>
        </w:rPr>
        <w:t>Remedy procedures to enhance the ILS. After the assessment is carried out, a remedial exercise should be undertaken to retrain the identified ILS weaknesses among the students. This will help in enhancing their ILS skills</w:t>
      </w:r>
    </w:p>
    <w:p w14:paraId="7CBD4E93" w14:textId="77777777" w:rsidR="00B01D46" w:rsidRDefault="0067013E">
      <w:pPr>
        <w:pStyle w:val="Heading3"/>
        <w:ind w:right="65"/>
        <w:rPr>
          <w:szCs w:val="24"/>
        </w:rPr>
      </w:pPr>
      <w:bookmarkStart w:id="2322" w:name="_Toc165365339"/>
      <w:bookmarkStart w:id="2323" w:name="_Toc164664146"/>
      <w:bookmarkStart w:id="2324" w:name="_Toc165363565"/>
      <w:bookmarkStart w:id="2325" w:name="_Toc165369373"/>
      <w:bookmarkStart w:id="2326" w:name="_Toc165975938"/>
      <w:bookmarkStart w:id="2327" w:name="_Toc165973217"/>
      <w:bookmarkStart w:id="2328" w:name="_Toc184273020"/>
      <w:r>
        <w:rPr>
          <w:szCs w:val="24"/>
        </w:rPr>
        <w:t>7.4.2 ILS Policy and Curricula Used in Imparting ILS</w:t>
      </w:r>
      <w:bookmarkEnd w:id="2322"/>
      <w:bookmarkEnd w:id="2323"/>
      <w:bookmarkEnd w:id="2324"/>
      <w:bookmarkEnd w:id="2325"/>
      <w:bookmarkEnd w:id="2326"/>
      <w:bookmarkEnd w:id="2327"/>
      <w:bookmarkEnd w:id="2328"/>
      <w:r>
        <w:rPr>
          <w:szCs w:val="24"/>
        </w:rPr>
        <w:t xml:space="preserve">  </w:t>
      </w:r>
    </w:p>
    <w:p w14:paraId="057C6301" w14:textId="77777777" w:rsidR="00B01D46" w:rsidRDefault="0067013E">
      <w:pPr>
        <w:pStyle w:val="Heading4"/>
      </w:pPr>
      <w:bookmarkStart w:id="2329" w:name="_Toc164664147"/>
      <w:bookmarkStart w:id="2330" w:name="_Toc184273021"/>
      <w:bookmarkStart w:id="2331" w:name="_Toc165973218"/>
      <w:bookmarkStart w:id="2332" w:name="_Toc165365340"/>
      <w:bookmarkStart w:id="2333" w:name="_Toc165975939"/>
      <w:bookmarkStart w:id="2334" w:name="_Toc165369374"/>
      <w:bookmarkStart w:id="2335" w:name="_Toc165363566"/>
      <w:r>
        <w:t>7.4.2.1 ILS Policy</w:t>
      </w:r>
      <w:bookmarkEnd w:id="2329"/>
      <w:bookmarkEnd w:id="2330"/>
      <w:bookmarkEnd w:id="2331"/>
      <w:bookmarkEnd w:id="2332"/>
      <w:bookmarkEnd w:id="2333"/>
      <w:bookmarkEnd w:id="2334"/>
      <w:bookmarkEnd w:id="2335"/>
    </w:p>
    <w:p w14:paraId="0FEECBBF"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findings revealed that even though ILS policy was available it was not being implemented fully because of absence of attached responsibility and unavailability of an examinable information literacy skills unit or units that fully covered all the ILS content. Further the findings revealed that there was no viable collaboration between the lecturers and librarians in imparting ILS to students. </w:t>
      </w:r>
    </w:p>
    <w:p w14:paraId="570B2292"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Recommendation two:  </w:t>
      </w:r>
      <w:r>
        <w:rPr>
          <w:rFonts w:ascii="Times New Roman" w:eastAsia="Calibri" w:hAnsi="Times New Roman" w:cs="Times New Roman"/>
          <w:b/>
          <w:bCs/>
          <w:i/>
          <w:iCs/>
          <w:sz w:val="24"/>
          <w:szCs w:val="24"/>
        </w:rPr>
        <w:t>Collaboration between librarians and heads of departments</w:t>
      </w:r>
      <w:r>
        <w:rPr>
          <w:rFonts w:ascii="Times New Roman" w:eastAsia="Calibri" w:hAnsi="Times New Roman" w:cs="Times New Roman"/>
          <w:sz w:val="24"/>
          <w:szCs w:val="24"/>
        </w:rPr>
        <w:t>: -In view of these findings the researcher recommends that it should be made a policy and procedure issue that university librarians and heads of departments be charged with coordinating ILS collaboration activities, right from curriculum design to its delivery to students and that ILS should classed into 4 credit scored units whereby one unit should be taught in each academic year (</w:t>
      </w:r>
      <w:r>
        <w:rPr>
          <w:rFonts w:ascii="Times New Roman" w:hAnsi="Times New Roman" w:cs="Times New Roman"/>
          <w:color w:val="222222"/>
          <w:sz w:val="24"/>
          <w:szCs w:val="24"/>
          <w:shd w:val="clear" w:color="auto" w:fill="FFFFFF"/>
        </w:rPr>
        <w:t>Nnadozie &amp; Nnadozie, 2008</w:t>
      </w:r>
      <w:r>
        <w:rPr>
          <w:rFonts w:ascii="Times New Roman" w:eastAsia="Calibri" w:hAnsi="Times New Roman" w:cs="Times New Roman"/>
          <w:sz w:val="24"/>
          <w:szCs w:val="24"/>
        </w:rPr>
        <w:t xml:space="preserve">). </w:t>
      </w:r>
    </w:p>
    <w:p w14:paraId="613A201E" w14:textId="77777777" w:rsidR="00B01D46" w:rsidRDefault="0067013E">
      <w:pPr>
        <w:pStyle w:val="Heading4"/>
      </w:pPr>
      <w:bookmarkStart w:id="2336" w:name="_Toc164664148"/>
      <w:bookmarkStart w:id="2337" w:name="_Toc165363567"/>
      <w:bookmarkStart w:id="2338" w:name="_Toc165369375"/>
      <w:bookmarkStart w:id="2339" w:name="_Toc165975940"/>
      <w:bookmarkStart w:id="2340" w:name="_Toc165973219"/>
      <w:bookmarkStart w:id="2341" w:name="_Toc184273022"/>
      <w:bookmarkStart w:id="2342" w:name="_Toc165365341"/>
      <w:r>
        <w:lastRenderedPageBreak/>
        <w:t>7.4.2.2 ILS Curricula and Methods Used in Delivery</w:t>
      </w:r>
      <w:bookmarkEnd w:id="2336"/>
      <w:bookmarkEnd w:id="2337"/>
      <w:bookmarkEnd w:id="2338"/>
      <w:bookmarkEnd w:id="2339"/>
      <w:bookmarkEnd w:id="2340"/>
      <w:bookmarkEnd w:id="2341"/>
      <w:bookmarkEnd w:id="2342"/>
    </w:p>
    <w:p w14:paraId="0DEEFA04" w14:textId="77777777" w:rsidR="00B01D46" w:rsidRDefault="0067013E">
      <w:pPr>
        <w:spacing w:after="0" w:line="480" w:lineRule="auto"/>
        <w:ind w:right="65" w:hanging="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study found out that that there was absence of standardized information literacy skills programs provided in the universities under study. This clearly demonstrated lack of harmonized ILS programs. </w:t>
      </w:r>
    </w:p>
    <w:p w14:paraId="23FA1A23" w14:textId="77777777" w:rsidR="00B01D46" w:rsidRDefault="0067013E">
      <w:pPr>
        <w:spacing w:before="120" w:after="0" w:line="480" w:lineRule="auto"/>
        <w:ind w:right="65" w:hanging="1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Recommendation three: </w:t>
      </w:r>
      <w:r>
        <w:rPr>
          <w:rFonts w:ascii="Times New Roman" w:eastAsia="Times New Roman" w:hAnsi="Times New Roman" w:cs="Times New Roman"/>
          <w:b/>
          <w:bCs/>
          <w:i/>
          <w:iCs/>
          <w:color w:val="000000"/>
          <w:sz w:val="24"/>
          <w:szCs w:val="24"/>
        </w:rPr>
        <w:t>ILS credit scored units: -</w:t>
      </w:r>
      <w:r>
        <w:rPr>
          <w:rFonts w:ascii="Times New Roman" w:eastAsia="Times New Roman" w:hAnsi="Times New Roman" w:cs="Times New Roman"/>
          <w:color w:val="000000"/>
          <w:sz w:val="24"/>
          <w:szCs w:val="24"/>
        </w:rPr>
        <w:t>Therefore, the study strongly recommends establishment of four ILS credit scored units that should be separated from the communication and writing skills course unit and they should take the same contact hours as other units at the universities. In addition, these units should have a practical orientation, with 70% practical and 30% theory (</w:t>
      </w:r>
      <w:r>
        <w:rPr>
          <w:rFonts w:ascii="Times New Roman" w:hAnsi="Times New Roman" w:cs="Times New Roman"/>
          <w:color w:val="222222"/>
          <w:sz w:val="24"/>
          <w:szCs w:val="24"/>
          <w:shd w:val="clear" w:color="auto" w:fill="FFFFFF"/>
        </w:rPr>
        <w:t>Kumar &amp; Ochoa, 2012).</w:t>
      </w:r>
    </w:p>
    <w:p w14:paraId="4CC96A69" w14:textId="77777777" w:rsidR="00B01D46" w:rsidRDefault="0067013E">
      <w:pPr>
        <w:pStyle w:val="Heading3"/>
        <w:spacing w:before="120"/>
        <w:ind w:right="65"/>
        <w:rPr>
          <w:rFonts w:eastAsia="Calibri"/>
          <w:szCs w:val="24"/>
        </w:rPr>
      </w:pPr>
      <w:bookmarkStart w:id="2343" w:name="_Toc164664149"/>
      <w:bookmarkStart w:id="2344" w:name="_Toc165975941"/>
      <w:bookmarkStart w:id="2345" w:name="_Toc165365342"/>
      <w:bookmarkStart w:id="2346" w:name="_Toc165369376"/>
      <w:bookmarkStart w:id="2347" w:name="_Toc165363568"/>
      <w:bookmarkStart w:id="2348" w:name="_Toc165973220"/>
      <w:bookmarkStart w:id="2349" w:name="_Toc184273023"/>
      <w:r>
        <w:rPr>
          <w:szCs w:val="24"/>
        </w:rPr>
        <w:t>7.4.3 ILS Understanding among</w:t>
      </w:r>
      <w:r>
        <w:rPr>
          <w:rFonts w:eastAsia="Calibri"/>
          <w:szCs w:val="24"/>
        </w:rPr>
        <w:t xml:space="preserve"> Undergraduate Medical Students</w:t>
      </w:r>
      <w:bookmarkEnd w:id="2343"/>
      <w:bookmarkEnd w:id="2344"/>
      <w:bookmarkEnd w:id="2345"/>
      <w:bookmarkEnd w:id="2346"/>
      <w:bookmarkEnd w:id="2347"/>
      <w:bookmarkEnd w:id="2348"/>
      <w:bookmarkEnd w:id="2349"/>
      <w:r>
        <w:rPr>
          <w:rFonts w:eastAsia="Calibri"/>
          <w:szCs w:val="24"/>
        </w:rPr>
        <w:t xml:space="preserve"> </w:t>
      </w:r>
    </w:p>
    <w:p w14:paraId="660412BD" w14:textId="77777777" w:rsidR="00B01D46" w:rsidRDefault="0067013E">
      <w:pPr>
        <w:shd w:val="clear" w:color="auto" w:fill="FFFFFF"/>
        <w:spacing w:after="0" w:line="480" w:lineRule="auto"/>
        <w:ind w:right="65"/>
        <w:jc w:val="both"/>
        <w:rPr>
          <w:rFonts w:ascii="Times New Roman" w:eastAsia="Calibri" w:hAnsi="Times New Roman" w:cs="Times New Roman"/>
          <w:sz w:val="24"/>
          <w:szCs w:val="24"/>
        </w:rPr>
      </w:pPr>
      <w:r>
        <w:rPr>
          <w:rFonts w:ascii="Times New Roman" w:hAnsi="Times New Roman" w:cs="Times New Roman"/>
          <w:sz w:val="24"/>
          <w:szCs w:val="24"/>
        </w:rPr>
        <w:t>The study found that majority of the students were negative towards ILS training and learning because ILS have not helped them, the trainers were not audible, classes were very large hence absence of personalized attention. In addition, the study found out that instructors lacked pedagogical skills</w:t>
      </w:r>
      <w:r>
        <w:rPr>
          <w:rFonts w:ascii="Times New Roman" w:eastAsia="Calibri" w:hAnsi="Times New Roman" w:cs="Times New Roman"/>
          <w:sz w:val="24"/>
          <w:szCs w:val="24"/>
        </w:rPr>
        <w:t>.</w:t>
      </w:r>
    </w:p>
    <w:p w14:paraId="454FB946" w14:textId="77777777" w:rsidR="00B01D46" w:rsidRDefault="0067013E">
      <w:pPr>
        <w:shd w:val="clear" w:color="auto" w:fill="FFFFFF"/>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Recommendation four:  </w:t>
      </w:r>
      <w:r>
        <w:rPr>
          <w:rFonts w:ascii="Times New Roman" w:eastAsia="Calibri" w:hAnsi="Times New Roman" w:cs="Times New Roman"/>
          <w:b/>
          <w:bCs/>
          <w:i/>
          <w:iCs/>
          <w:sz w:val="24"/>
          <w:szCs w:val="24"/>
        </w:rPr>
        <w:t>ILS sensitization exercises:</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 xml:space="preserve"> The researcher recommends that librarians should carry out ILS sensitization exercises among the students’ body through the students’ leadership bodies, welfare clubs and Dean of students’ office in abide to create awareness on the importance of ILS and why all students need to take the trainings seriously (</w:t>
      </w:r>
      <w:r>
        <w:rPr>
          <w:rFonts w:ascii="Times New Roman" w:hAnsi="Times New Roman" w:cs="Times New Roman"/>
          <w:color w:val="222222"/>
          <w:sz w:val="24"/>
          <w:szCs w:val="24"/>
          <w:shd w:val="clear" w:color="auto" w:fill="FFFFFF"/>
        </w:rPr>
        <w:t>Adekunle, 2019</w:t>
      </w:r>
      <w:r>
        <w:rPr>
          <w:rFonts w:ascii="Times New Roman" w:eastAsia="Calibri" w:hAnsi="Times New Roman" w:cs="Times New Roman"/>
          <w:sz w:val="24"/>
          <w:szCs w:val="24"/>
        </w:rPr>
        <w:t xml:space="preserve">). </w:t>
      </w:r>
    </w:p>
    <w:p w14:paraId="1E837964" w14:textId="77777777" w:rsidR="00B01D46" w:rsidRDefault="0067013E">
      <w:pPr>
        <w:shd w:val="clear" w:color="auto" w:fill="FFFFFF"/>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b/>
          <w:bCs/>
          <w:sz w:val="24"/>
          <w:szCs w:val="24"/>
        </w:rPr>
        <w:t>Recommendation five: P</w:t>
      </w:r>
      <w:r>
        <w:rPr>
          <w:rFonts w:ascii="Times New Roman" w:eastAsia="Calibri" w:hAnsi="Times New Roman" w:cs="Times New Roman"/>
          <w:b/>
          <w:bCs/>
          <w:i/>
          <w:iCs/>
          <w:sz w:val="24"/>
          <w:szCs w:val="24"/>
        </w:rPr>
        <w:t>edagogical/diligence teaching:</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In addition, the ILS training and teaching should be carried out with due diligence where lecturers and librarians should thoroughly prepare for the its delivery through following the tenets set in the ILS curriculum and the ILS policy and curricula (</w:t>
      </w:r>
      <w:r>
        <w:rPr>
          <w:rFonts w:ascii="Times New Roman" w:hAnsi="Times New Roman" w:cs="Times New Roman"/>
          <w:color w:val="222222"/>
          <w:sz w:val="24"/>
          <w:szCs w:val="24"/>
          <w:shd w:val="clear" w:color="auto" w:fill="FFFFFF"/>
        </w:rPr>
        <w:t>Mugambi, 2017</w:t>
      </w:r>
      <w:r>
        <w:rPr>
          <w:rFonts w:ascii="Times New Roman" w:eastAsia="Calibri" w:hAnsi="Times New Roman" w:cs="Times New Roman"/>
          <w:sz w:val="24"/>
          <w:szCs w:val="24"/>
        </w:rPr>
        <w:t xml:space="preserve">) </w:t>
      </w:r>
    </w:p>
    <w:p w14:paraId="34D4A554" w14:textId="77777777" w:rsidR="00B01D46" w:rsidRDefault="0067013E">
      <w:pPr>
        <w:pStyle w:val="Heading3"/>
        <w:ind w:left="630" w:hanging="630"/>
      </w:pPr>
      <w:bookmarkStart w:id="2350" w:name="_Toc165369377"/>
      <w:bookmarkStart w:id="2351" w:name="_Toc165973221"/>
      <w:bookmarkStart w:id="2352" w:name="_Toc184273024"/>
      <w:bookmarkStart w:id="2353" w:name="_Toc165363569"/>
      <w:bookmarkStart w:id="2354" w:name="_Toc165975942"/>
      <w:bookmarkStart w:id="2355" w:name="_Toc165365343"/>
      <w:bookmarkStart w:id="2356" w:name="_Toc164664150"/>
      <w:r>
        <w:lastRenderedPageBreak/>
        <w:t>7.4.4 Knowledge and Skills Possessed by staff facilitating ILS among Medical Undergraduate Students</w:t>
      </w:r>
      <w:bookmarkEnd w:id="2350"/>
      <w:bookmarkEnd w:id="2351"/>
      <w:bookmarkEnd w:id="2352"/>
      <w:bookmarkEnd w:id="2353"/>
      <w:bookmarkEnd w:id="2354"/>
      <w:bookmarkEnd w:id="2355"/>
      <w:bookmarkEnd w:id="2356"/>
      <w:r>
        <w:t xml:space="preserve"> </w:t>
      </w:r>
    </w:p>
    <w:p w14:paraId="5CD7639A" w14:textId="77777777" w:rsidR="00B01D46" w:rsidRDefault="0067013E">
      <w:pPr>
        <w:spacing w:after="0" w:line="480" w:lineRule="auto"/>
        <w:ind w:right="65"/>
        <w:jc w:val="both"/>
        <w:rPr>
          <w:rFonts w:ascii="Times New Roman" w:hAnsi="Times New Roman" w:cs="Times New Roman"/>
          <w:sz w:val="24"/>
          <w:szCs w:val="24"/>
        </w:rPr>
      </w:pPr>
      <w:r>
        <w:rPr>
          <w:rFonts w:ascii="Times New Roman" w:hAnsi="Times New Roman" w:cs="Times New Roman"/>
          <w:sz w:val="24"/>
          <w:szCs w:val="24"/>
        </w:rPr>
        <w:t>The study found out that faculty members and librarians had basic information skills and they had limited ICT competencies and abilities.</w:t>
      </w:r>
    </w:p>
    <w:p w14:paraId="4E14EDDA" w14:textId="77777777" w:rsidR="00B01D46" w:rsidRDefault="0067013E">
      <w:pPr>
        <w:shd w:val="clear" w:color="auto" w:fill="FFFFFF"/>
        <w:spacing w:before="120" w:line="480" w:lineRule="auto"/>
        <w:ind w:right="65"/>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Recommendation six: </w:t>
      </w:r>
      <w:r>
        <w:rPr>
          <w:rFonts w:ascii="Times New Roman" w:eastAsia="Calibri" w:hAnsi="Times New Roman" w:cs="Times New Roman"/>
          <w:b/>
          <w:bCs/>
          <w:i/>
          <w:iCs/>
          <w:sz w:val="24"/>
          <w:szCs w:val="24"/>
        </w:rPr>
        <w:t>Continuous reskilling and upskilling: -</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The study recommends continuous training of the lecturers and librarians through short courses on specific contemporary ILS skills, seminars and workshops intermittently so as to replenish their skills (</w:t>
      </w:r>
      <w:r>
        <w:rPr>
          <w:rFonts w:ascii="Times New Roman" w:hAnsi="Times New Roman" w:cs="Times New Roman"/>
          <w:color w:val="222222"/>
          <w:sz w:val="24"/>
          <w:szCs w:val="24"/>
          <w:shd w:val="clear" w:color="auto" w:fill="FFFFFF"/>
        </w:rPr>
        <w:t>Baro &amp; Zuokemefa, 2011)</w:t>
      </w:r>
      <w:r>
        <w:rPr>
          <w:rFonts w:ascii="Times New Roman" w:eastAsia="Calibri" w:hAnsi="Times New Roman" w:cs="Times New Roman"/>
          <w:sz w:val="24"/>
          <w:szCs w:val="24"/>
        </w:rPr>
        <w:t>.</w:t>
      </w:r>
    </w:p>
    <w:p w14:paraId="13F5950C" w14:textId="77777777" w:rsidR="00B01D46" w:rsidRDefault="0067013E">
      <w:pPr>
        <w:pStyle w:val="Heading3"/>
      </w:pPr>
      <w:bookmarkStart w:id="2357" w:name="_Toc165975943"/>
      <w:bookmarkStart w:id="2358" w:name="_Toc165363570"/>
      <w:bookmarkStart w:id="2359" w:name="_Toc165369378"/>
      <w:bookmarkStart w:id="2360" w:name="_Toc184273025"/>
      <w:bookmarkStart w:id="2361" w:name="_Toc165365344"/>
      <w:bookmarkStart w:id="2362" w:name="_Toc165973222"/>
      <w:bookmarkStart w:id="2363" w:name="_Toc164664151"/>
      <w:r>
        <w:t>7.4.5 Role of ICT in Facilitating and Promoting Information Literacy Skills</w:t>
      </w:r>
      <w:bookmarkEnd w:id="2357"/>
      <w:bookmarkEnd w:id="2358"/>
      <w:bookmarkEnd w:id="2359"/>
      <w:bookmarkEnd w:id="2360"/>
      <w:bookmarkEnd w:id="2361"/>
      <w:bookmarkEnd w:id="2362"/>
      <w:bookmarkEnd w:id="2363"/>
    </w:p>
    <w:p w14:paraId="4F63A076"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findings revealed that universities are faced with many ICT challenges in their quest to train and equip students with appropriate ILS. The ICT challenges faced were; limited accessibility and network connection, limited technical support, slow speed of computers, absence of effective training, limited training time, absence of lecturers in matters ILS, and absence of interest of lecturers in ICT usage.</w:t>
      </w:r>
    </w:p>
    <w:p w14:paraId="3C0FA410"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Recommendation seven: </w:t>
      </w:r>
      <w:r>
        <w:rPr>
          <w:rFonts w:ascii="Times New Roman" w:eastAsia="Calibri" w:hAnsi="Times New Roman" w:cs="Times New Roman"/>
          <w:b/>
          <w:bCs/>
          <w:i/>
          <w:iCs/>
          <w:sz w:val="24"/>
          <w:szCs w:val="24"/>
        </w:rPr>
        <w:t>Invest in</w:t>
      </w:r>
      <w:r>
        <w:rPr>
          <w:rFonts w:ascii="Times New Roman" w:eastAsia="Calibri" w:hAnsi="Times New Roman" w:cs="Times New Roman"/>
          <w:b/>
          <w:bCs/>
          <w:sz w:val="24"/>
          <w:szCs w:val="24"/>
        </w:rPr>
        <w:t xml:space="preserve"> </w:t>
      </w:r>
      <w:r>
        <w:rPr>
          <w:rFonts w:ascii="Times New Roman" w:eastAsia="Calibri" w:hAnsi="Times New Roman" w:cs="Times New Roman"/>
          <w:b/>
          <w:bCs/>
          <w:i/>
          <w:iCs/>
          <w:sz w:val="24"/>
          <w:szCs w:val="24"/>
        </w:rPr>
        <w:t>ICT Infrastructure:</w:t>
      </w:r>
      <w:r>
        <w:rPr>
          <w:rFonts w:ascii="Times New Roman" w:eastAsia="Calibri" w:hAnsi="Times New Roman" w:cs="Times New Roman"/>
          <w:b/>
          <w:bCs/>
          <w:sz w:val="24"/>
          <w:szCs w:val="24"/>
        </w:rPr>
        <w:t xml:space="preserve"> - </w:t>
      </w:r>
      <w:r>
        <w:rPr>
          <w:rFonts w:ascii="Times New Roman" w:eastAsia="Calibri" w:hAnsi="Times New Roman" w:cs="Times New Roman"/>
          <w:sz w:val="24"/>
          <w:szCs w:val="24"/>
        </w:rPr>
        <w:t>The study therefore, recommends that universities should strengthen their internet connectivity, increase the number of computers in their computer laboratories, upgrade their computers to modern computers to increase on computing speed (</w:t>
      </w:r>
      <w:r>
        <w:rPr>
          <w:rFonts w:ascii="Times New Roman" w:hAnsi="Times New Roman" w:cs="Times New Roman"/>
          <w:color w:val="222222"/>
          <w:sz w:val="24"/>
          <w:szCs w:val="24"/>
          <w:shd w:val="clear" w:color="auto" w:fill="FFFFFF"/>
        </w:rPr>
        <w:t>Adigun, 2021; &amp; Abdelrahman, 2009</w:t>
      </w:r>
      <w:r>
        <w:rPr>
          <w:rFonts w:ascii="Times New Roman" w:eastAsia="Calibri" w:hAnsi="Times New Roman" w:cs="Times New Roman"/>
          <w:sz w:val="24"/>
          <w:szCs w:val="24"/>
        </w:rPr>
        <w:t xml:space="preserve">). </w:t>
      </w:r>
    </w:p>
    <w:p w14:paraId="3F15C172"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Recommendation eight: </w:t>
      </w:r>
      <w:r>
        <w:rPr>
          <w:rFonts w:ascii="Times New Roman" w:eastAsia="Calibri" w:hAnsi="Times New Roman" w:cs="Times New Roman"/>
          <w:b/>
          <w:bCs/>
          <w:i/>
          <w:iCs/>
          <w:sz w:val="24"/>
          <w:szCs w:val="24"/>
        </w:rPr>
        <w:t>ICT staffing: -</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Institute a culture of computer use among the staff members and avail qualified ICT staff members (</w:t>
      </w:r>
      <w:r>
        <w:rPr>
          <w:rFonts w:ascii="Times New Roman" w:hAnsi="Times New Roman" w:cs="Times New Roman"/>
          <w:sz w:val="24"/>
          <w:szCs w:val="24"/>
        </w:rPr>
        <w:t xml:space="preserve">Ahmad and Sheikh, 2022; </w:t>
      </w:r>
      <w:r>
        <w:rPr>
          <w:rFonts w:ascii="Times New Roman" w:hAnsi="Times New Roman" w:cs="Times New Roman"/>
          <w:color w:val="222222"/>
          <w:sz w:val="24"/>
          <w:szCs w:val="24"/>
          <w:shd w:val="clear" w:color="auto" w:fill="FFFFFF"/>
        </w:rPr>
        <w:t>Dorvlo &amp; Dadzie, 2016)</w:t>
      </w:r>
      <w:r>
        <w:rPr>
          <w:rFonts w:ascii="Times New Roman" w:eastAsia="Calibri" w:hAnsi="Times New Roman" w:cs="Times New Roman"/>
          <w:sz w:val="24"/>
          <w:szCs w:val="24"/>
        </w:rPr>
        <w:t>.</w:t>
      </w:r>
    </w:p>
    <w:p w14:paraId="40AAFEC4" w14:textId="77777777" w:rsidR="00B01D46" w:rsidRDefault="0067013E">
      <w:pPr>
        <w:pStyle w:val="Heading2"/>
      </w:pPr>
      <w:bookmarkStart w:id="2364" w:name="_Toc165369379"/>
      <w:bookmarkStart w:id="2365" w:name="_Toc165363571"/>
      <w:bookmarkStart w:id="2366" w:name="_Toc165973223"/>
      <w:bookmarkStart w:id="2367" w:name="_Toc164664152"/>
      <w:bookmarkStart w:id="2368" w:name="_Toc165365345"/>
      <w:bookmarkStart w:id="2369" w:name="_Toc165975944"/>
      <w:bookmarkStart w:id="2370" w:name="_Toc184273026"/>
      <w:r>
        <w:lastRenderedPageBreak/>
        <w:t>7.5 Contribution and Originality of the Study</w:t>
      </w:r>
      <w:bookmarkEnd w:id="2364"/>
      <w:bookmarkEnd w:id="2365"/>
      <w:bookmarkEnd w:id="2366"/>
      <w:bookmarkEnd w:id="2367"/>
      <w:bookmarkEnd w:id="2368"/>
      <w:bookmarkEnd w:id="2369"/>
      <w:bookmarkEnd w:id="2370"/>
    </w:p>
    <w:p w14:paraId="7AFC828F" w14:textId="77777777" w:rsidR="00B01D46" w:rsidRDefault="0067013E">
      <w:pPr>
        <w:spacing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The research objectives and questions addressed in the study are of importance to government especially the Ministry of Education and Commission for University Education, universities and policy makers in relation to ILS.</w:t>
      </w:r>
    </w:p>
    <w:p w14:paraId="4429B497"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From the policy and procedure perspective, the findings have the potential to influence the formulation of ILS policy and for teaching and learning of ILS in institutions of higher learning. The findings provide ILS policy directions in universities’ policy-makers especially in schools of medical studies in universities. In addition, the findings are likely to form the basis for collaboration of librarians and the heads of departments in the formulation of the ILS policy and curricula.</w:t>
      </w:r>
    </w:p>
    <w:p w14:paraId="0F01DC73"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From a pragmatic stand-point, the findings revealed and created awareness regarding the status of ILS in medical training hence the recommendations proposed by the study can improve ILS teaching and learning in medical schools hence improve learners’ critical thinking skills, information search skills, information ethics skills, problem solving skills, information evaluation and use skills thereby leading to an information literate graduand. </w:t>
      </w:r>
    </w:p>
    <w:p w14:paraId="5572E837" w14:textId="77777777" w:rsidR="00B01D46" w:rsidRDefault="0067013E">
      <w:pPr>
        <w:spacing w:before="120" w:after="0" w:line="480" w:lineRule="auto"/>
        <w:ind w:right="65"/>
        <w:jc w:val="both"/>
        <w:rPr>
          <w:rFonts w:ascii="Times New Roman" w:eastAsia="Calibri" w:hAnsi="Times New Roman" w:cs="Times New Roman"/>
          <w:sz w:val="24"/>
          <w:szCs w:val="24"/>
        </w:rPr>
      </w:pPr>
      <w:r>
        <w:rPr>
          <w:rFonts w:ascii="Times New Roman" w:eastAsia="Calibri" w:hAnsi="Times New Roman" w:cs="Times New Roman"/>
          <w:sz w:val="24"/>
          <w:szCs w:val="24"/>
        </w:rPr>
        <w:t>From theory, the study contributes to the body of knowledge and literature, especially in the context of ILS among medical undergraduate students. The study contributes new model 8steps of ILS. It explains how a theory should be adopted to a study to invoke understanding of a phenomenon and creating a discourse aimed at improving ILS learning, training and application in medical field training. Also, the finding presents a basis for the formulation of a pedagogical model to help lecturers, librarians and heads of departments design an ILS teaching methodology for medical undergraduate students that meets their needs.</w:t>
      </w:r>
    </w:p>
    <w:p w14:paraId="344367EA" w14:textId="77777777" w:rsidR="00B01D46" w:rsidRDefault="0067013E">
      <w:pPr>
        <w:spacing w:after="200" w:line="480" w:lineRule="auto"/>
        <w:ind w:right="65"/>
        <w:jc w:val="both"/>
        <w:rPr>
          <w:rFonts w:ascii="Times New Roman" w:eastAsia="Calibri" w:hAnsi="Times New Roman" w:cs="Times New Roman"/>
          <w:bCs/>
          <w:sz w:val="24"/>
          <w:szCs w:val="24"/>
        </w:rPr>
      </w:pPr>
      <w:r>
        <w:rPr>
          <w:rFonts w:ascii="Times New Roman" w:eastAsia="Calibri" w:hAnsi="Times New Roman" w:cs="Times New Roman"/>
          <w:sz w:val="24"/>
          <w:szCs w:val="24"/>
        </w:rPr>
        <w:lastRenderedPageBreak/>
        <w:t>The findings of this study therefore, make a major contribution to literature that could facilitate effective and relevant development of ILS policy and ILS curriculum in future.</w:t>
      </w:r>
      <w:bookmarkStart w:id="2371" w:name="_Toc165973224"/>
      <w:bookmarkStart w:id="2372" w:name="_Toc164664153"/>
      <w:bookmarkStart w:id="2373" w:name="_Toc165975945"/>
      <w:bookmarkStart w:id="2374" w:name="_Toc165365346"/>
      <w:bookmarkStart w:id="2375" w:name="_Toc165363572"/>
      <w:bookmarkStart w:id="2376" w:name="_Toc165369380"/>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 xml:space="preserve">The dissemination of findings of the study will be done through seminars, conferences presentation, conference proceedings, journal publication, and submit a copy of the thesis to institutions that participated in the study. </w:t>
      </w:r>
    </w:p>
    <w:p w14:paraId="18F63EFF" w14:textId="77777777" w:rsidR="00B01D46" w:rsidRDefault="0067013E">
      <w:pPr>
        <w:pStyle w:val="Heading2"/>
      </w:pPr>
      <w:bookmarkStart w:id="2377" w:name="_Toc184273027"/>
      <w:r>
        <w:t>7.6 Suggestions for Further Research</w:t>
      </w:r>
      <w:bookmarkEnd w:id="2371"/>
      <w:bookmarkEnd w:id="2372"/>
      <w:bookmarkEnd w:id="2373"/>
      <w:bookmarkEnd w:id="2374"/>
      <w:bookmarkEnd w:id="2375"/>
      <w:bookmarkEnd w:id="2376"/>
      <w:bookmarkEnd w:id="2377"/>
      <w:r>
        <w:t xml:space="preserve"> </w:t>
      </w:r>
    </w:p>
    <w:p w14:paraId="39DB7EF3" w14:textId="77777777" w:rsidR="00B01D46" w:rsidRDefault="0067013E">
      <w:pPr>
        <w:spacing w:after="0" w:line="480" w:lineRule="auto"/>
        <w:ind w:right="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assessed the ILS among medical undergraduate students in two selected universities. This study makes the following suggestions for further study </w:t>
      </w:r>
    </w:p>
    <w:p w14:paraId="34A2009A" w14:textId="77777777" w:rsidR="00B01D46" w:rsidRDefault="0067013E">
      <w:pPr>
        <w:pStyle w:val="ListParagraph"/>
        <w:numPr>
          <w:ilvl w:val="0"/>
          <w:numId w:val="17"/>
        </w:numPr>
        <w:spacing w:after="0" w:line="480" w:lineRule="auto"/>
        <w:ind w:right="65"/>
        <w:rPr>
          <w:szCs w:val="24"/>
        </w:rPr>
      </w:pPr>
      <w:r>
        <w:rPr>
          <w:szCs w:val="24"/>
        </w:rPr>
        <w:t>A study to design varied ILS teaching proportions for artificial intelligence literacy in a rapidly changing information landscape.</w:t>
      </w:r>
    </w:p>
    <w:p w14:paraId="45FDE2FF" w14:textId="77777777" w:rsidR="00B01D46" w:rsidRDefault="0067013E">
      <w:pPr>
        <w:pStyle w:val="ListParagraph"/>
        <w:numPr>
          <w:ilvl w:val="0"/>
          <w:numId w:val="17"/>
        </w:numPr>
        <w:spacing w:before="120" w:after="0" w:line="480" w:lineRule="auto"/>
        <w:ind w:right="65"/>
        <w:rPr>
          <w:rFonts w:eastAsia="Calibri"/>
          <w:szCs w:val="24"/>
        </w:rPr>
      </w:pPr>
      <w:r>
        <w:rPr>
          <w:rFonts w:eastAsia="Calibri"/>
          <w:szCs w:val="24"/>
        </w:rPr>
        <w:t>A study to assess the place of ILS on the successful implementation of competence-based curriculum (CBC) in Kenya</w:t>
      </w:r>
    </w:p>
    <w:p w14:paraId="37FA1C51" w14:textId="77777777" w:rsidR="00B01D46" w:rsidRDefault="0067013E">
      <w:pPr>
        <w:pStyle w:val="ListParagraph"/>
        <w:numPr>
          <w:ilvl w:val="0"/>
          <w:numId w:val="17"/>
        </w:numPr>
        <w:spacing w:before="120" w:after="0" w:line="480" w:lineRule="auto"/>
        <w:ind w:right="65"/>
        <w:rPr>
          <w:rFonts w:eastAsia="Calibri"/>
          <w:szCs w:val="24"/>
        </w:rPr>
      </w:pPr>
      <w:r>
        <w:rPr>
          <w:rFonts w:eastAsia="Calibri"/>
          <w:szCs w:val="24"/>
        </w:rPr>
        <w:t>A research study to assess ILS among lecturers teaching medical undergraduate students.</w:t>
      </w:r>
    </w:p>
    <w:p w14:paraId="111D1470" w14:textId="77777777" w:rsidR="00B01D46" w:rsidRDefault="0067013E">
      <w:pPr>
        <w:pStyle w:val="ListParagraph"/>
        <w:numPr>
          <w:ilvl w:val="0"/>
          <w:numId w:val="17"/>
        </w:numPr>
        <w:spacing w:after="200" w:line="276" w:lineRule="auto"/>
        <w:rPr>
          <w:rFonts w:eastAsia="Calibri"/>
          <w:b/>
          <w:bCs/>
          <w:szCs w:val="24"/>
        </w:rPr>
      </w:pPr>
      <w:bookmarkStart w:id="2378" w:name="_Toc164664154"/>
      <w:bookmarkStart w:id="2379" w:name="_Toc165365347"/>
      <w:bookmarkStart w:id="2380" w:name="_Toc165369381"/>
      <w:bookmarkStart w:id="2381" w:name="_Toc165363573"/>
      <w:r>
        <w:rPr>
          <w:rFonts w:eastAsia="Calibri"/>
          <w:bCs/>
          <w:szCs w:val="24"/>
        </w:rPr>
        <w:br w:type="page"/>
      </w:r>
    </w:p>
    <w:p w14:paraId="23A5CB54" w14:textId="77777777" w:rsidR="00B01D46" w:rsidRDefault="0067013E">
      <w:pPr>
        <w:pStyle w:val="Heading1"/>
        <w:ind w:left="-288"/>
        <w:rPr>
          <w:rFonts w:eastAsia="Calibri" w:cs="Times New Roman"/>
          <w:b w:val="0"/>
          <w:bCs/>
          <w:szCs w:val="24"/>
        </w:rPr>
      </w:pPr>
      <w:bookmarkStart w:id="2382" w:name="_Toc165975946"/>
      <w:bookmarkStart w:id="2383" w:name="_Toc184273028"/>
      <w:bookmarkStart w:id="2384" w:name="_Toc165973225"/>
      <w:r>
        <w:rPr>
          <w:rFonts w:eastAsia="Calibri" w:cs="Times New Roman"/>
          <w:bCs/>
          <w:szCs w:val="24"/>
        </w:rPr>
        <w:lastRenderedPageBreak/>
        <w:t>REFERENCES</w:t>
      </w:r>
      <w:bookmarkEnd w:id="2378"/>
      <w:bookmarkEnd w:id="2379"/>
      <w:bookmarkEnd w:id="2380"/>
      <w:bookmarkEnd w:id="2381"/>
      <w:bookmarkEnd w:id="2382"/>
      <w:bookmarkEnd w:id="2383"/>
      <w:bookmarkEnd w:id="2384"/>
    </w:p>
    <w:p w14:paraId="2A7629A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385" w:name="_Hlk129081062"/>
      <w:bookmarkStart w:id="2386" w:name="_Hlk159859427"/>
      <w:bookmarkStart w:id="2387" w:name="_Hlk182129295"/>
      <w:r>
        <w:rPr>
          <w:rFonts w:ascii="Times New Roman" w:hAnsi="Times New Roman" w:cs="Times New Roman"/>
          <w:color w:val="222222"/>
          <w:sz w:val="24"/>
          <w:szCs w:val="24"/>
          <w:shd w:val="clear" w:color="auto" w:fill="FFFFFF"/>
        </w:rPr>
        <w:t>Abdelrahman, O. H. (2009). The state of ICT implementation and training at the University of Khartoum library system (UKLIS). </w:t>
      </w:r>
      <w:r>
        <w:rPr>
          <w:rFonts w:ascii="Times New Roman" w:hAnsi="Times New Roman" w:cs="Times New Roman"/>
          <w:i/>
          <w:iCs/>
          <w:color w:val="222222"/>
          <w:sz w:val="24"/>
          <w:szCs w:val="24"/>
          <w:shd w:val="clear" w:color="auto" w:fill="FFFFFF"/>
        </w:rPr>
        <w:t>ICAL2009–Vision and roles of the future academic libraries</w:t>
      </w:r>
      <w:r>
        <w:rPr>
          <w:rFonts w:ascii="Times New Roman" w:hAnsi="Times New Roman" w:cs="Times New Roman"/>
          <w:color w:val="222222"/>
          <w:sz w:val="24"/>
          <w:szCs w:val="24"/>
          <w:shd w:val="clear" w:color="auto" w:fill="FFFFFF"/>
        </w:rPr>
        <w:t>.</w:t>
      </w:r>
    </w:p>
    <w:p w14:paraId="1229119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388" w:name="_Hlk129083289"/>
      <w:r>
        <w:rPr>
          <w:rFonts w:ascii="Times New Roman" w:hAnsi="Times New Roman" w:cs="Times New Roman"/>
          <w:color w:val="222222"/>
          <w:sz w:val="24"/>
          <w:szCs w:val="24"/>
          <w:shd w:val="clear" w:color="auto" w:fill="FFFFFF"/>
        </w:rPr>
        <w:t xml:space="preserve">Abdulkarim, A., Ratmaningsih, N., &amp; Anggraini, D. N. (2018). </w:t>
      </w:r>
      <w:bookmarkEnd w:id="2388"/>
      <w:r>
        <w:rPr>
          <w:rFonts w:ascii="Times New Roman" w:hAnsi="Times New Roman" w:cs="Times New Roman"/>
          <w:color w:val="222222"/>
          <w:sz w:val="24"/>
          <w:szCs w:val="24"/>
          <w:shd w:val="clear" w:color="auto" w:fill="FFFFFF"/>
        </w:rPr>
        <w:t>Developing civicpedia as a civic education E-learning media to improve students’ information literacy. </w:t>
      </w:r>
      <w:r>
        <w:rPr>
          <w:rFonts w:ascii="Times New Roman" w:hAnsi="Times New Roman" w:cs="Times New Roman"/>
          <w:i/>
          <w:iCs/>
          <w:color w:val="222222"/>
          <w:sz w:val="24"/>
          <w:szCs w:val="24"/>
          <w:shd w:val="clear" w:color="auto" w:fill="FFFFFF"/>
        </w:rPr>
        <w:t>Journal of Social Studies Education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w:t>
      </w:r>
      <w:r>
        <w:rPr>
          <w:rFonts w:ascii="Times New Roman" w:hAnsi="Times New Roman" w:cs="Times New Roman"/>
          <w:color w:val="222222"/>
          <w:sz w:val="24"/>
          <w:szCs w:val="24"/>
          <w:shd w:val="clear" w:color="auto" w:fill="FFFFFF"/>
        </w:rPr>
        <w:t>(3), 45-61.</w:t>
      </w:r>
    </w:p>
    <w:bookmarkEnd w:id="2385"/>
    <w:p w14:paraId="4C937AA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Adekunle, A. P., Olla, G. O., Olajide, A., Osuji, C., &amp; Adedoyin, A. (2019). Attitude of undergraduate students to information literacy: Bowen university experience. </w:t>
      </w:r>
      <w:r>
        <w:rPr>
          <w:rFonts w:ascii="Times New Roman" w:hAnsi="Times New Roman" w:cs="Times New Roman"/>
          <w:i/>
          <w:iCs/>
          <w:color w:val="222222"/>
          <w:sz w:val="24"/>
          <w:szCs w:val="24"/>
          <w:shd w:val="clear" w:color="auto" w:fill="FFFFFF"/>
        </w:rPr>
        <w:t>Journal of Balkan Libraries Union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(1), 1-11.</w:t>
      </w:r>
    </w:p>
    <w:p w14:paraId="50D470F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389" w:name="_Hlk182143673"/>
      <w:r>
        <w:rPr>
          <w:rFonts w:ascii="Times New Roman" w:hAnsi="Times New Roman" w:cs="Times New Roman"/>
          <w:color w:val="222222"/>
          <w:sz w:val="24"/>
          <w:szCs w:val="24"/>
          <w:shd w:val="clear" w:color="auto" w:fill="FFFFFF"/>
        </w:rPr>
        <w:t xml:space="preserve">Adeleke, A. A., &amp; Olorunsola, R. (2010). </w:t>
      </w:r>
      <w:bookmarkEnd w:id="2389"/>
      <w:r>
        <w:rPr>
          <w:rFonts w:ascii="Times New Roman" w:hAnsi="Times New Roman" w:cs="Times New Roman"/>
          <w:color w:val="222222"/>
          <w:sz w:val="24"/>
          <w:szCs w:val="24"/>
          <w:shd w:val="clear" w:color="auto" w:fill="FFFFFF"/>
        </w:rPr>
        <w:t>Training in the use of e‐resources in academic libraries: one university's approach. </w:t>
      </w:r>
      <w:r>
        <w:rPr>
          <w:rFonts w:ascii="Times New Roman" w:hAnsi="Times New Roman" w:cs="Times New Roman"/>
          <w:i/>
          <w:iCs/>
          <w:color w:val="222222"/>
          <w:sz w:val="24"/>
          <w:szCs w:val="24"/>
          <w:shd w:val="clear" w:color="auto" w:fill="FFFFFF"/>
        </w:rPr>
        <w:t>Library Hi Tech News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27</w:t>
      </w:r>
      <w:r>
        <w:rPr>
          <w:rFonts w:ascii="Times New Roman" w:hAnsi="Times New Roman" w:cs="Times New Roman"/>
          <w:color w:val="222222"/>
          <w:sz w:val="24"/>
          <w:szCs w:val="24"/>
          <w:shd w:val="clear" w:color="auto" w:fill="FFFFFF"/>
        </w:rPr>
        <w:t>(6/7), 16-19.</w:t>
      </w:r>
    </w:p>
    <w:p w14:paraId="00FEA4F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Adeniran, P. O., &amp; Onuoha, U. D. (2018). Influence of information literacy skills on postgraduate students’ use of electronic resources in private university libraries in South-West, Nigeria. </w:t>
      </w:r>
      <w:r>
        <w:rPr>
          <w:rFonts w:ascii="Times New Roman" w:hAnsi="Times New Roman" w:cs="Times New Roman"/>
          <w:i/>
          <w:iCs/>
          <w:color w:val="222222"/>
          <w:sz w:val="24"/>
          <w:szCs w:val="24"/>
          <w:shd w:val="clear" w:color="auto" w:fill="FFFFFF"/>
        </w:rPr>
        <w:t>Communications and Network</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w:t>
      </w:r>
      <w:r>
        <w:rPr>
          <w:rFonts w:ascii="Times New Roman" w:hAnsi="Times New Roman" w:cs="Times New Roman"/>
          <w:color w:val="222222"/>
          <w:sz w:val="24"/>
          <w:szCs w:val="24"/>
          <w:shd w:val="clear" w:color="auto" w:fill="FFFFFF"/>
        </w:rPr>
        <w:t>(04), 164.</w:t>
      </w:r>
    </w:p>
    <w:p w14:paraId="440AC35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Adeogun, M. O. (2016). Learn by doing: An assessment of the impact of access services in fostering skills development of access services student staff at Kennedy library. </w:t>
      </w:r>
      <w:r>
        <w:rPr>
          <w:rFonts w:ascii="Times New Roman" w:hAnsi="Times New Roman" w:cs="Times New Roman"/>
          <w:i/>
          <w:iCs/>
          <w:color w:val="222222"/>
          <w:sz w:val="24"/>
          <w:szCs w:val="24"/>
          <w:shd w:val="clear" w:color="auto" w:fill="FFFFFF"/>
        </w:rPr>
        <w:t>Public Services Quarterly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12</w:t>
      </w:r>
      <w:r>
        <w:rPr>
          <w:rFonts w:ascii="Times New Roman" w:hAnsi="Times New Roman" w:cs="Times New Roman"/>
          <w:color w:val="222222"/>
          <w:sz w:val="24"/>
          <w:szCs w:val="24"/>
          <w:shd w:val="clear" w:color="auto" w:fill="FFFFFF"/>
        </w:rPr>
        <w:t>(1), 1-21.</w:t>
      </w:r>
    </w:p>
    <w:p w14:paraId="6BF58C6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390" w:name="_Hlk182147009"/>
      <w:r>
        <w:rPr>
          <w:rFonts w:ascii="Times New Roman" w:hAnsi="Times New Roman" w:cs="Times New Roman"/>
          <w:color w:val="222222"/>
          <w:sz w:val="24"/>
          <w:szCs w:val="24"/>
          <w:shd w:val="clear" w:color="auto" w:fill="FFFFFF"/>
        </w:rPr>
        <w:t>Adeyoyin, S. O. (2006). Managing the library's corporate culture for organizational efficiency, productivity, and enhanced service. </w:t>
      </w:r>
      <w:r>
        <w:rPr>
          <w:rFonts w:ascii="Times New Roman" w:hAnsi="Times New Roman" w:cs="Times New Roman"/>
          <w:i/>
          <w:iCs/>
          <w:color w:val="222222"/>
          <w:sz w:val="24"/>
          <w:szCs w:val="24"/>
          <w:shd w:val="clear" w:color="auto" w:fill="FFFFFF"/>
        </w:rPr>
        <w:t>Library Philosophy and Practice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8</w:t>
      </w:r>
      <w:r>
        <w:rPr>
          <w:rFonts w:ascii="Times New Roman" w:hAnsi="Times New Roman" w:cs="Times New Roman"/>
          <w:color w:val="222222"/>
          <w:sz w:val="24"/>
          <w:szCs w:val="24"/>
          <w:shd w:val="clear" w:color="auto" w:fill="FFFFFF"/>
        </w:rPr>
        <w:t>(2), 1-14.</w:t>
      </w:r>
    </w:p>
    <w:p w14:paraId="4617DA2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Adigun, G. O., &amp; Tella, A. (2021). User education and information literacy instruction as determinant of use and satisfaction with Library and Information Support Services at National Open University Nigeria (NOUN). </w:t>
      </w:r>
      <w:r>
        <w:rPr>
          <w:rFonts w:ascii="Times New Roman" w:hAnsi="Times New Roman" w:cs="Times New Roman"/>
          <w:i/>
          <w:iCs/>
          <w:color w:val="222222"/>
          <w:sz w:val="24"/>
          <w:szCs w:val="24"/>
          <w:shd w:val="clear" w:color="auto" w:fill="FFFFFF"/>
        </w:rPr>
        <w:t>Journal of Library &amp; Information Services in Distance Learning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15</w:t>
      </w:r>
      <w:r>
        <w:rPr>
          <w:rFonts w:ascii="Times New Roman" w:hAnsi="Times New Roman" w:cs="Times New Roman"/>
          <w:color w:val="222222"/>
          <w:sz w:val="24"/>
          <w:szCs w:val="24"/>
          <w:shd w:val="clear" w:color="auto" w:fill="FFFFFF"/>
        </w:rPr>
        <w:t>(2), 99-128.</w:t>
      </w:r>
    </w:p>
    <w:p w14:paraId="1C19E84F" w14:textId="77777777" w:rsidR="00B01D46" w:rsidRDefault="0067013E">
      <w:pPr>
        <w:shd w:val="clear" w:color="auto" w:fill="FFFFFF"/>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Agboola, A.T. (2000), “</w:t>
      </w:r>
      <w:r>
        <w:rPr>
          <w:rFonts w:ascii="Times New Roman" w:hAnsi="Times New Roman" w:cs="Times New Roman"/>
          <w:i/>
          <w:iCs/>
          <w:sz w:val="24"/>
          <w:szCs w:val="24"/>
        </w:rPr>
        <w:t>Five decades of Nigerian university libraries: a review</w:t>
      </w:r>
      <w:r>
        <w:rPr>
          <w:rFonts w:ascii="Times New Roman" w:hAnsi="Times New Roman" w:cs="Times New Roman"/>
          <w:sz w:val="24"/>
          <w:szCs w:val="24"/>
        </w:rPr>
        <w:t>”, </w:t>
      </w:r>
      <w:r>
        <w:rPr>
          <w:rFonts w:ascii="Times New Roman" w:hAnsi="Times New Roman" w:cs="Times New Roman"/>
          <w:i/>
          <w:iCs/>
          <w:sz w:val="24"/>
          <w:szCs w:val="24"/>
        </w:rPr>
        <w:t>Libri</w:t>
      </w:r>
      <w:r>
        <w:rPr>
          <w:rFonts w:ascii="Times New Roman" w:hAnsi="Times New Roman" w:cs="Times New Roman"/>
          <w:sz w:val="24"/>
          <w:szCs w:val="24"/>
        </w:rPr>
        <w:t>, Vol. 50, pp. 280‐9.</w:t>
      </w:r>
    </w:p>
    <w:bookmarkEnd w:id="2390"/>
    <w:p w14:paraId="28F1F11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Agyen-Gyasi, K. (2008). User education at the Kwame Nkrumah University of Science and Technology (KNUST) Library: prospects and challenges.</w:t>
      </w:r>
    </w:p>
    <w:p w14:paraId="64BC049B" w14:textId="77777777" w:rsidR="00B01D46" w:rsidRDefault="0067013E">
      <w:pPr>
        <w:shd w:val="clear" w:color="auto" w:fill="FFFFFF"/>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Agyen‐Gyasi, K. (2008), “</w:t>
      </w:r>
      <w:r>
        <w:rPr>
          <w:rFonts w:ascii="Times New Roman" w:hAnsi="Times New Roman" w:cs="Times New Roman"/>
          <w:i/>
          <w:iCs/>
          <w:sz w:val="24"/>
          <w:szCs w:val="24"/>
        </w:rPr>
        <w:t>User education at the Kwame Nkrumah University of Science and Technology (KNUST) Libraries: prospects and challenges</w:t>
      </w:r>
      <w:r>
        <w:rPr>
          <w:rFonts w:ascii="Times New Roman" w:hAnsi="Times New Roman" w:cs="Times New Roman"/>
          <w:sz w:val="24"/>
          <w:szCs w:val="24"/>
        </w:rPr>
        <w:t>”, </w:t>
      </w:r>
      <w:r>
        <w:rPr>
          <w:rFonts w:ascii="Times New Roman" w:hAnsi="Times New Roman" w:cs="Times New Roman"/>
          <w:i/>
          <w:iCs/>
          <w:sz w:val="24"/>
          <w:szCs w:val="24"/>
        </w:rPr>
        <w:t>Library Philosophy and Practice</w:t>
      </w:r>
      <w:r>
        <w:rPr>
          <w:rFonts w:ascii="Times New Roman" w:hAnsi="Times New Roman" w:cs="Times New Roman"/>
          <w:sz w:val="24"/>
          <w:szCs w:val="24"/>
        </w:rPr>
        <w:t xml:space="preserve">, </w:t>
      </w:r>
    </w:p>
    <w:p w14:paraId="1C09A00D" w14:textId="77777777" w:rsidR="00B01D46" w:rsidRDefault="0067013E">
      <w:pPr>
        <w:spacing w:line="240" w:lineRule="auto"/>
        <w:ind w:left="720" w:hanging="720"/>
        <w:jc w:val="both"/>
        <w:rPr>
          <w:rFonts w:ascii="Times New Roman" w:hAnsi="Times New Roman" w:cs="Times New Roman"/>
          <w:sz w:val="24"/>
          <w:szCs w:val="24"/>
          <w:shd w:val="clear" w:color="auto" w:fill="FFFFFF"/>
        </w:rPr>
      </w:pPr>
      <w:r>
        <w:rPr>
          <w:rFonts w:ascii="Times New Roman" w:hAnsi="Times New Roman" w:cs="Times New Roman"/>
          <w:color w:val="222222"/>
          <w:sz w:val="24"/>
          <w:szCs w:val="24"/>
          <w:shd w:val="clear" w:color="auto" w:fill="FFFFFF"/>
        </w:rPr>
        <w:t xml:space="preserve">AhMAd, </w:t>
      </w:r>
      <w:r>
        <w:rPr>
          <w:rFonts w:ascii="Times New Roman" w:hAnsi="Times New Roman" w:cs="Times New Roman"/>
          <w:sz w:val="24"/>
          <w:szCs w:val="24"/>
          <w:shd w:val="clear" w:color="auto" w:fill="FFFFFF"/>
        </w:rPr>
        <w:t>N. A., Ismail, N. W., &amp; Hook, L. S. (2011). The role of ICT infrastructure on Malaysian trade. </w:t>
      </w:r>
      <w:r>
        <w:rPr>
          <w:rFonts w:ascii="Times New Roman" w:hAnsi="Times New Roman" w:cs="Times New Roman"/>
          <w:i/>
          <w:iCs/>
          <w:sz w:val="24"/>
          <w:szCs w:val="24"/>
          <w:shd w:val="clear" w:color="auto" w:fill="FFFFFF"/>
        </w:rPr>
        <w:t>Journal of Economics and Management</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5</w:t>
      </w:r>
      <w:r>
        <w:rPr>
          <w:rFonts w:ascii="Times New Roman" w:hAnsi="Times New Roman" w:cs="Times New Roman"/>
          <w:sz w:val="24"/>
          <w:szCs w:val="24"/>
          <w:shd w:val="clear" w:color="auto" w:fill="FFFFFF"/>
        </w:rPr>
        <w:t>(1), 140-148.</w:t>
      </w:r>
    </w:p>
    <w:p w14:paraId="384DE239" w14:textId="77777777" w:rsidR="00B01D46" w:rsidRDefault="00FE757F">
      <w:pPr>
        <w:pStyle w:val="NormalWeb"/>
        <w:shd w:val="clear" w:color="auto" w:fill="FFFFFF"/>
        <w:spacing w:before="0" w:beforeAutospacing="0" w:after="160" w:afterAutospacing="0"/>
        <w:ind w:left="720" w:hanging="720"/>
        <w:jc w:val="both"/>
        <w:rPr>
          <w:rStyle w:val="Hyperlink"/>
          <w:rFonts w:eastAsiaTheme="majorEastAsia"/>
          <w:u w:val="none"/>
        </w:rPr>
      </w:pPr>
      <w:hyperlink r:id="rId51" w:tooltip="Toqeer Ahmad" w:history="1">
        <w:r w:rsidR="0067013E">
          <w:rPr>
            <w:rStyle w:val="Hyperlink"/>
            <w:rFonts w:eastAsiaTheme="majorEastAsia"/>
            <w:color w:val="auto"/>
            <w:u w:val="none"/>
          </w:rPr>
          <w:t>Ahmad, T.</w:t>
        </w:r>
      </w:hyperlink>
      <w:r w:rsidR="0067013E">
        <w:t> and </w:t>
      </w:r>
      <w:hyperlink r:id="rId52" w:tooltip="Arslan Sheikh" w:history="1">
        <w:r w:rsidR="0067013E">
          <w:rPr>
            <w:rStyle w:val="Hyperlink"/>
            <w:rFonts w:eastAsiaTheme="majorEastAsia"/>
            <w:color w:val="auto"/>
            <w:u w:val="none"/>
          </w:rPr>
          <w:t>Sheikh, A.</w:t>
        </w:r>
      </w:hyperlink>
      <w:r w:rsidR="0067013E">
        <w:t> (2022), "Impact of information and communication technologies (ICT) on student’s learning: a case from university of the Punjab, Pakistan", </w:t>
      </w:r>
      <w:hyperlink r:id="rId53" w:history="1">
        <w:r w:rsidR="0067013E">
          <w:rPr>
            <w:rStyle w:val="Hyperlink"/>
            <w:rFonts w:eastAsiaTheme="majorEastAsia"/>
            <w:i/>
            <w:iCs/>
            <w:color w:val="auto"/>
            <w:u w:val="none"/>
          </w:rPr>
          <w:t>Digital Library Perspectives</w:t>
        </w:r>
      </w:hyperlink>
      <w:r w:rsidR="0067013E">
        <w:t>, Vol. 38 No. 2, pp. 205-221. </w:t>
      </w:r>
      <w:hyperlink r:id="rId54" w:tooltip="DOI: https://doi.org/10.1108/DLP-03-2021-0027" w:history="1">
        <w:r w:rsidR="0067013E">
          <w:rPr>
            <w:rStyle w:val="Hyperlink"/>
            <w:rFonts w:eastAsiaTheme="majorEastAsia"/>
            <w:color w:val="auto"/>
            <w:u w:val="none"/>
          </w:rPr>
          <w:t>https://doi.org/10.1108/DLP-03-2021-0027</w:t>
        </w:r>
      </w:hyperlink>
    </w:p>
    <w:p w14:paraId="1EEC73D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Aiyepeku, W. O. (2022). </w:t>
      </w:r>
      <w:r>
        <w:rPr>
          <w:rFonts w:ascii="Times New Roman" w:hAnsi="Times New Roman" w:cs="Times New Roman"/>
          <w:i/>
          <w:iCs/>
          <w:color w:val="222222"/>
          <w:sz w:val="24"/>
          <w:szCs w:val="24"/>
          <w:shd w:val="clear" w:color="auto" w:fill="FFFFFF"/>
        </w:rPr>
        <w:t>Developing information for development information</w:t>
      </w:r>
      <w:r>
        <w:rPr>
          <w:rFonts w:ascii="Times New Roman" w:hAnsi="Times New Roman" w:cs="Times New Roman"/>
          <w:color w:val="222222"/>
          <w:sz w:val="24"/>
          <w:szCs w:val="24"/>
          <w:shd w:val="clear" w:color="auto" w:fill="FFFFFF"/>
        </w:rPr>
        <w:t>. Ibadan University Press.</w:t>
      </w:r>
    </w:p>
    <w:p w14:paraId="70248506" w14:textId="77777777" w:rsidR="00B01D46" w:rsidRDefault="0067013E">
      <w:pPr>
        <w:spacing w:line="240" w:lineRule="auto"/>
        <w:ind w:left="720" w:hanging="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Ajuwon, G. A., &amp; Popoola, S. O. (2015). Influence of motivational factors on utilisation of Internet health information resources by resident doctors in Nigeria. </w:t>
      </w:r>
      <w:r>
        <w:rPr>
          <w:rFonts w:ascii="Times New Roman" w:hAnsi="Times New Roman" w:cs="Times New Roman"/>
          <w:i/>
          <w:iCs/>
          <w:sz w:val="24"/>
          <w:szCs w:val="24"/>
          <w:shd w:val="clear" w:color="auto" w:fill="FFFFFF"/>
        </w:rPr>
        <w:t>The Electronic Library</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33</w:t>
      </w:r>
      <w:r>
        <w:rPr>
          <w:rFonts w:ascii="Times New Roman" w:hAnsi="Times New Roman" w:cs="Times New Roman"/>
          <w:sz w:val="24"/>
          <w:szCs w:val="24"/>
          <w:shd w:val="clear" w:color="auto" w:fill="FFFFFF"/>
        </w:rPr>
        <w:t>(1), 103-119.</w:t>
      </w:r>
    </w:p>
    <w:p w14:paraId="44101E6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Akakandelwa, A., &amp; </w:t>
      </w:r>
      <w:bookmarkStart w:id="2391" w:name="_Hlk182133542"/>
      <w:r>
        <w:rPr>
          <w:rFonts w:ascii="Times New Roman" w:hAnsi="Times New Roman" w:cs="Times New Roman"/>
          <w:color w:val="222222"/>
          <w:sz w:val="24"/>
          <w:szCs w:val="24"/>
          <w:shd w:val="clear" w:color="auto" w:fill="FFFFFF"/>
        </w:rPr>
        <w:t>Walubita</w:t>
      </w:r>
      <w:bookmarkEnd w:id="2391"/>
      <w:r>
        <w:rPr>
          <w:rFonts w:ascii="Times New Roman" w:hAnsi="Times New Roman" w:cs="Times New Roman"/>
          <w:color w:val="222222"/>
          <w:sz w:val="24"/>
          <w:szCs w:val="24"/>
          <w:shd w:val="clear" w:color="auto" w:fill="FFFFFF"/>
        </w:rPr>
        <w:t>, G. (2018). Students’ social media use and its perceived impact on their social life: a case study of the university of Zambia.</w:t>
      </w:r>
    </w:p>
    <w:p w14:paraId="396C477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Akhtar, S., Shah, S. W. A., Rafiq, M., &amp; Khan, A. (2016). Research design and statistical methods in Pakistan Journal of Medical Sciences (PJMS). </w:t>
      </w:r>
      <w:r>
        <w:rPr>
          <w:rFonts w:ascii="Times New Roman" w:hAnsi="Times New Roman" w:cs="Times New Roman"/>
          <w:i/>
          <w:iCs/>
          <w:color w:val="222222"/>
          <w:sz w:val="24"/>
          <w:szCs w:val="24"/>
          <w:shd w:val="clear" w:color="auto" w:fill="FFFFFF"/>
        </w:rPr>
        <w:t>Pakistan journal of medical sciences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32</w:t>
      </w:r>
      <w:r>
        <w:rPr>
          <w:rFonts w:ascii="Times New Roman" w:hAnsi="Times New Roman" w:cs="Times New Roman"/>
          <w:color w:val="222222"/>
          <w:sz w:val="24"/>
          <w:szCs w:val="24"/>
          <w:shd w:val="clear" w:color="auto" w:fill="FFFFFF"/>
        </w:rPr>
        <w:t>(1), 151.</w:t>
      </w:r>
    </w:p>
    <w:p w14:paraId="09FF64F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Akinade, A. A., &amp; Anyim, A. O. (2016). Information needs and seeking behaviour of masters' students in the faculty of communication and information sciences, University of Ilorin, Kwara State. </w:t>
      </w:r>
      <w:r>
        <w:rPr>
          <w:rFonts w:ascii="Times New Roman" w:hAnsi="Times New Roman" w:cs="Times New Roman"/>
          <w:i/>
          <w:iCs/>
          <w:color w:val="222222"/>
          <w:sz w:val="24"/>
          <w:szCs w:val="24"/>
          <w:shd w:val="clear" w:color="auto" w:fill="FFFFFF"/>
        </w:rPr>
        <w:t>Library Philosophy and Practice (e-journal)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1463</w:t>
      </w:r>
      <w:r>
        <w:rPr>
          <w:rFonts w:ascii="Times New Roman" w:hAnsi="Times New Roman" w:cs="Times New Roman"/>
          <w:color w:val="222222"/>
          <w:sz w:val="24"/>
          <w:szCs w:val="24"/>
          <w:shd w:val="clear" w:color="auto" w:fill="FFFFFF"/>
        </w:rPr>
        <w:t>, 1-30.</w:t>
      </w:r>
    </w:p>
    <w:p w14:paraId="25D160C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392" w:name="_Hlk126048682"/>
      <w:r>
        <w:rPr>
          <w:rFonts w:ascii="Times New Roman" w:hAnsi="Times New Roman" w:cs="Times New Roman"/>
          <w:color w:val="222222"/>
          <w:sz w:val="24"/>
          <w:szCs w:val="24"/>
          <w:shd w:val="clear" w:color="auto" w:fill="FFFFFF"/>
        </w:rPr>
        <w:t xml:space="preserve">Al-Aufi, A., &amp; Al-Azri, H. (2013). </w:t>
      </w:r>
      <w:bookmarkEnd w:id="2392"/>
      <w:r>
        <w:rPr>
          <w:rFonts w:ascii="Times New Roman" w:hAnsi="Times New Roman" w:cs="Times New Roman"/>
          <w:color w:val="222222"/>
          <w:sz w:val="24"/>
          <w:szCs w:val="24"/>
          <w:shd w:val="clear" w:color="auto" w:fill="FFFFFF"/>
        </w:rPr>
        <w:t>Information literacy in Oman’s higher education: A descriptive-inferential approach. </w:t>
      </w:r>
      <w:r>
        <w:rPr>
          <w:rFonts w:ascii="Times New Roman" w:hAnsi="Times New Roman" w:cs="Times New Roman"/>
          <w:i/>
          <w:iCs/>
          <w:color w:val="222222"/>
          <w:sz w:val="24"/>
          <w:szCs w:val="24"/>
          <w:shd w:val="clear" w:color="auto" w:fill="FFFFFF"/>
        </w:rPr>
        <w:t>Journal of Librarianship and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45</w:t>
      </w:r>
      <w:r>
        <w:rPr>
          <w:rFonts w:ascii="Times New Roman" w:hAnsi="Times New Roman" w:cs="Times New Roman"/>
          <w:color w:val="222222"/>
          <w:sz w:val="24"/>
          <w:szCs w:val="24"/>
          <w:shd w:val="clear" w:color="auto" w:fill="FFFFFF"/>
        </w:rPr>
        <w:t>(4), 335-346</w:t>
      </w:r>
    </w:p>
    <w:p w14:paraId="6C7A6E3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Kanyengo, C. W., &amp; Kamau, N. (2020). Information literacy policies and practices in health science and medical libraries in Kenya. </w:t>
      </w:r>
      <w:r>
        <w:rPr>
          <w:rFonts w:ascii="Times New Roman" w:hAnsi="Times New Roman" w:cs="Times New Roman"/>
          <w:i/>
          <w:iCs/>
          <w:color w:val="222222"/>
          <w:sz w:val="24"/>
          <w:szCs w:val="24"/>
          <w:shd w:val="clear" w:color="auto" w:fill="FFFFFF"/>
        </w:rPr>
        <w:t>Zambia Journal of Library &amp; Information Science (ZAJLIS), ISSN: 2708-2695</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(1).</w:t>
      </w:r>
    </w:p>
    <w:p w14:paraId="2FE3D9A0" w14:textId="77777777" w:rsidR="00B01D46" w:rsidRDefault="0067013E">
      <w:pPr>
        <w:spacing w:line="240" w:lineRule="auto"/>
        <w:ind w:left="720" w:right="168" w:hanging="720"/>
        <w:jc w:val="both"/>
        <w:rPr>
          <w:rFonts w:ascii="Times New Roman" w:hAnsi="Times New Roman" w:cs="Times New Roman"/>
          <w:sz w:val="24"/>
          <w:szCs w:val="24"/>
        </w:rPr>
      </w:pPr>
      <w:r>
        <w:rPr>
          <w:rFonts w:ascii="Times New Roman" w:hAnsi="Times New Roman" w:cs="Times New Roman"/>
          <w:sz w:val="24"/>
          <w:szCs w:val="24"/>
        </w:rPr>
        <w:t xml:space="preserve">De Vos, A.H. Strydom, C.B. Fouche and C.S.L. Delport. 2011. </w:t>
      </w:r>
      <w:r>
        <w:rPr>
          <w:rFonts w:ascii="Times New Roman" w:eastAsia="Times New Roman" w:hAnsi="Times New Roman" w:cs="Times New Roman"/>
          <w:i/>
          <w:sz w:val="24"/>
          <w:szCs w:val="24"/>
        </w:rPr>
        <w:t>Research at grassroots: for the social sciences and human service professions</w:t>
      </w:r>
      <w:r>
        <w:rPr>
          <w:rFonts w:ascii="Times New Roman" w:hAnsi="Times New Roman" w:cs="Times New Roman"/>
          <w:sz w:val="24"/>
          <w:szCs w:val="24"/>
        </w:rPr>
        <w:t>.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ed. Pretoria: Van Schaik. </w:t>
      </w:r>
    </w:p>
    <w:p w14:paraId="5320A34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Albanese, P., &amp; Tepperman, L. (2012). Beyond description: Understanding gender differences in problem gambling. </w:t>
      </w:r>
      <w:r>
        <w:rPr>
          <w:rFonts w:ascii="Times New Roman" w:hAnsi="Times New Roman" w:cs="Times New Roman"/>
          <w:i/>
          <w:iCs/>
          <w:color w:val="222222"/>
          <w:sz w:val="24"/>
          <w:szCs w:val="24"/>
          <w:shd w:val="clear" w:color="auto" w:fill="FFFFFF"/>
        </w:rPr>
        <w:t>Journal of Behavioral Addictions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w:t>
      </w:r>
      <w:r>
        <w:rPr>
          <w:rFonts w:ascii="Times New Roman" w:hAnsi="Times New Roman" w:cs="Times New Roman"/>
          <w:color w:val="222222"/>
          <w:sz w:val="24"/>
          <w:szCs w:val="24"/>
          <w:shd w:val="clear" w:color="auto" w:fill="FFFFFF"/>
        </w:rPr>
        <w:t xml:space="preserve">(3), 123-134. </w:t>
      </w:r>
    </w:p>
    <w:p w14:paraId="2624673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Albitz, R. S. (2007). The what and who of information literacy and critical thinking in higher education. </w:t>
      </w:r>
      <w:r>
        <w:rPr>
          <w:rFonts w:ascii="Times New Roman" w:hAnsi="Times New Roman" w:cs="Times New Roman"/>
          <w:i/>
          <w:iCs/>
          <w:color w:val="222222"/>
          <w:sz w:val="24"/>
          <w:szCs w:val="24"/>
          <w:shd w:val="clear" w:color="auto" w:fill="FFFFFF"/>
        </w:rPr>
        <w:t>portal: Libraries and the Academy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(1), 97-109.</w:t>
      </w:r>
    </w:p>
    <w:p w14:paraId="5D99221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Albitz, R. S. (2007). The what and who of information literacy and critical thinking in higher education. </w:t>
      </w:r>
      <w:r>
        <w:rPr>
          <w:rFonts w:ascii="Times New Roman" w:hAnsi="Times New Roman" w:cs="Times New Roman"/>
          <w:i/>
          <w:iCs/>
          <w:color w:val="222222"/>
          <w:sz w:val="24"/>
          <w:szCs w:val="24"/>
          <w:shd w:val="clear" w:color="auto" w:fill="FFFFFF"/>
        </w:rPr>
        <w:t>portal: Libraries and the Academy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(1), 97-109.</w:t>
      </w:r>
    </w:p>
    <w:p w14:paraId="56BEB10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Alemu, B. M. (2017). Transforming Educational Practices of Ethiopia into Development and the Knowledge Society through Information and Communication Technology. </w:t>
      </w:r>
      <w:r>
        <w:rPr>
          <w:rFonts w:ascii="Times New Roman" w:hAnsi="Times New Roman" w:cs="Times New Roman"/>
          <w:i/>
          <w:iCs/>
          <w:color w:val="222222"/>
          <w:sz w:val="24"/>
          <w:szCs w:val="24"/>
          <w:shd w:val="clear" w:color="auto" w:fill="FFFFFF"/>
        </w:rPr>
        <w:t>African Educational Research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w:t>
      </w:r>
      <w:r>
        <w:rPr>
          <w:rFonts w:ascii="Times New Roman" w:hAnsi="Times New Roman" w:cs="Times New Roman"/>
          <w:color w:val="222222"/>
          <w:sz w:val="24"/>
          <w:szCs w:val="24"/>
          <w:shd w:val="clear" w:color="auto" w:fill="FFFFFF"/>
        </w:rPr>
        <w:t>(1), 1-17.</w:t>
      </w:r>
    </w:p>
    <w:p w14:paraId="6C99B14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Amalba, A., van Mook, W. N. K. A., Mogre, V., &amp; Scherpbier, A. J. J. A. (2016). The effect of Community Based Education and Service (COBES) on medical graduates’ choice of specialty and willingness to work in rural communities in Ghana. </w:t>
      </w:r>
      <w:r>
        <w:rPr>
          <w:rFonts w:ascii="Times New Roman" w:hAnsi="Times New Roman" w:cs="Times New Roman"/>
          <w:i/>
          <w:iCs/>
          <w:color w:val="222222"/>
          <w:sz w:val="24"/>
          <w:szCs w:val="24"/>
          <w:shd w:val="clear" w:color="auto" w:fill="FFFFFF"/>
        </w:rPr>
        <w:t>BMC medical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16</w:t>
      </w:r>
      <w:r>
        <w:rPr>
          <w:rFonts w:ascii="Times New Roman" w:hAnsi="Times New Roman" w:cs="Times New Roman"/>
          <w:color w:val="222222"/>
          <w:sz w:val="24"/>
          <w:szCs w:val="24"/>
          <w:shd w:val="clear" w:color="auto" w:fill="FFFFFF"/>
        </w:rPr>
        <w:t>, 1-7.</w:t>
      </w:r>
    </w:p>
    <w:p w14:paraId="5F33E8C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American Library Association. (2020). ALA Awards 1972. </w:t>
      </w:r>
      <w:r>
        <w:rPr>
          <w:rFonts w:ascii="Times New Roman" w:hAnsi="Times New Roman" w:cs="Times New Roman"/>
          <w:i/>
          <w:iCs/>
          <w:color w:val="222222"/>
          <w:sz w:val="24"/>
          <w:szCs w:val="24"/>
          <w:shd w:val="clear" w:color="auto" w:fill="FFFFFF"/>
        </w:rPr>
        <w:t>College &amp; Research Libraries News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33</w:t>
      </w:r>
      <w:r>
        <w:rPr>
          <w:rFonts w:ascii="Times New Roman" w:hAnsi="Times New Roman" w:cs="Times New Roman"/>
          <w:color w:val="222222"/>
          <w:sz w:val="24"/>
          <w:szCs w:val="24"/>
          <w:shd w:val="clear" w:color="auto" w:fill="FFFFFF"/>
        </w:rPr>
        <w:t>(1), 3-5.</w:t>
      </w:r>
    </w:p>
    <w:p w14:paraId="65762CC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Amunga, H. A. (2011). Information literacy in the 21st century universities: The Kenyan experience.</w:t>
      </w:r>
    </w:p>
    <w:p w14:paraId="01A0AC42" w14:textId="77777777" w:rsidR="00B01D46" w:rsidRDefault="0067013E">
      <w:pPr>
        <w:spacing w:after="0"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0BFD0AE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Anandhalli, G. (2018). Impact of information literacy skills on the academic achievement of the students: A case study of Anjuman degree college, Vijayapura. </w:t>
      </w:r>
      <w:r>
        <w:rPr>
          <w:rFonts w:ascii="Times New Roman" w:hAnsi="Times New Roman" w:cs="Times New Roman"/>
          <w:i/>
          <w:iCs/>
          <w:color w:val="222222"/>
          <w:sz w:val="24"/>
          <w:szCs w:val="24"/>
          <w:shd w:val="clear" w:color="auto" w:fill="FFFFFF"/>
        </w:rPr>
        <w:t>International Journal of Research in Humanities, Arts and Literature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(3), 1-16.</w:t>
      </w:r>
    </w:p>
    <w:p w14:paraId="0598699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Andretta, S. (2005). </w:t>
      </w:r>
      <w:r>
        <w:rPr>
          <w:rFonts w:ascii="Times New Roman" w:hAnsi="Times New Roman" w:cs="Times New Roman"/>
          <w:i/>
          <w:iCs/>
          <w:color w:val="222222"/>
          <w:sz w:val="24"/>
          <w:szCs w:val="24"/>
          <w:shd w:val="clear" w:color="auto" w:fill="FFFFFF"/>
        </w:rPr>
        <w:t>Information literacy: A practitioner’s guide</w:t>
      </w:r>
      <w:r>
        <w:rPr>
          <w:rFonts w:ascii="Times New Roman" w:hAnsi="Times New Roman" w:cs="Times New Roman"/>
          <w:color w:val="222222"/>
          <w:sz w:val="24"/>
          <w:szCs w:val="24"/>
          <w:shd w:val="clear" w:color="auto" w:fill="FFFFFF"/>
        </w:rPr>
        <w:t>. Elsevier.</w:t>
      </w:r>
    </w:p>
    <w:p w14:paraId="43165AE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Andretta, S. (2006). Information Literacy: the new “pedagogy of the question”?. In </w:t>
      </w:r>
      <w:r>
        <w:rPr>
          <w:rFonts w:ascii="Times New Roman" w:hAnsi="Times New Roman" w:cs="Times New Roman"/>
          <w:i/>
          <w:iCs/>
          <w:color w:val="222222"/>
          <w:sz w:val="24"/>
          <w:szCs w:val="24"/>
          <w:shd w:val="clear" w:color="auto" w:fill="FFFFFF"/>
        </w:rPr>
        <w:t>Information Literacy</w:t>
      </w:r>
      <w:r>
        <w:rPr>
          <w:rFonts w:ascii="Times New Roman" w:hAnsi="Times New Roman" w:cs="Times New Roman"/>
          <w:color w:val="222222"/>
          <w:sz w:val="24"/>
          <w:szCs w:val="24"/>
          <w:shd w:val="clear" w:color="auto" w:fill="FFFFFF"/>
        </w:rPr>
        <w:t> (pp. 12-19). Chandos Publishing.</w:t>
      </w:r>
    </w:p>
    <w:p w14:paraId="4BAAC1E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Ani, O. E., Esin, J. E., &amp; Edem, N. (2005). Adoption of information and communication technology (ICT) in academic libraries: A strategy for library networking in Nigeria. </w:t>
      </w:r>
      <w:r>
        <w:rPr>
          <w:rFonts w:ascii="Times New Roman" w:hAnsi="Times New Roman" w:cs="Times New Roman"/>
          <w:i/>
          <w:iCs/>
          <w:color w:val="222222"/>
          <w:sz w:val="24"/>
          <w:szCs w:val="24"/>
          <w:shd w:val="clear" w:color="auto" w:fill="FFFFFF"/>
        </w:rPr>
        <w:t>The electronic library</w:t>
      </w:r>
      <w:r>
        <w:rPr>
          <w:rFonts w:ascii="Times New Roman" w:hAnsi="Times New Roman" w:cs="Times New Roman"/>
          <w:color w:val="222222"/>
          <w:sz w:val="24"/>
          <w:szCs w:val="24"/>
          <w:shd w:val="clear" w:color="auto" w:fill="FFFFFF"/>
        </w:rPr>
        <w:t>.</w:t>
      </w:r>
    </w:p>
    <w:p w14:paraId="70DD728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Ankamah, S., Gyesi, K., &amp; Anaman, A. A. (2021). The evaluation of information literacy among medical students at the College of Health Sciences, University of Ghana. </w:t>
      </w:r>
      <w:r>
        <w:rPr>
          <w:rFonts w:ascii="Times New Roman" w:hAnsi="Times New Roman" w:cs="Times New Roman"/>
          <w:i/>
          <w:iCs/>
          <w:color w:val="222222"/>
          <w:sz w:val="24"/>
          <w:szCs w:val="24"/>
          <w:shd w:val="clear" w:color="auto" w:fill="FFFFFF"/>
        </w:rPr>
        <w:t>Library Philosophy and Practice</w:t>
      </w:r>
      <w:r>
        <w:rPr>
          <w:rFonts w:ascii="Times New Roman" w:hAnsi="Times New Roman" w:cs="Times New Roman"/>
          <w:color w:val="222222"/>
          <w:sz w:val="24"/>
          <w:szCs w:val="24"/>
          <w:shd w:val="clear" w:color="auto" w:fill="FFFFFF"/>
        </w:rPr>
        <w:t>, 1A-39.</w:t>
      </w:r>
    </w:p>
    <w:p w14:paraId="7A7F033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Anunobi, C. V., &amp; Udem, O. K. (2014). Information literacy competencies: A conceptual analysis. </w:t>
      </w:r>
      <w:r>
        <w:rPr>
          <w:rFonts w:ascii="Times New Roman" w:hAnsi="Times New Roman" w:cs="Times New Roman"/>
          <w:i/>
          <w:iCs/>
          <w:color w:val="222222"/>
          <w:sz w:val="24"/>
          <w:szCs w:val="24"/>
          <w:shd w:val="clear" w:color="auto" w:fill="FFFFFF"/>
        </w:rPr>
        <w:t>Journal of Applied Information Science and Technology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(2).</w:t>
      </w:r>
    </w:p>
    <w:p w14:paraId="75AC8B3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393" w:name="_Hlk129082063"/>
      <w:r>
        <w:rPr>
          <w:rFonts w:ascii="Times New Roman" w:hAnsi="Times New Roman" w:cs="Times New Roman"/>
          <w:color w:val="222222"/>
          <w:sz w:val="24"/>
          <w:szCs w:val="24"/>
          <w:shd w:val="clear" w:color="auto" w:fill="FFFFFF"/>
        </w:rPr>
        <w:t xml:space="preserve">Anunobi, C. V., &amp; Ukwoma, S. (2016). </w:t>
      </w:r>
      <w:bookmarkEnd w:id="2393"/>
      <w:r>
        <w:rPr>
          <w:rFonts w:ascii="Times New Roman" w:hAnsi="Times New Roman" w:cs="Times New Roman"/>
          <w:color w:val="222222"/>
          <w:sz w:val="24"/>
          <w:szCs w:val="24"/>
          <w:shd w:val="clear" w:color="auto" w:fill="FFFFFF"/>
        </w:rPr>
        <w:t>Information literacy in Nigerian universities trends, challenges and opportunities. </w:t>
      </w:r>
      <w:r>
        <w:rPr>
          <w:rFonts w:ascii="Times New Roman" w:hAnsi="Times New Roman" w:cs="Times New Roman"/>
          <w:i/>
          <w:iCs/>
          <w:color w:val="222222"/>
          <w:sz w:val="24"/>
          <w:szCs w:val="24"/>
          <w:shd w:val="clear" w:color="auto" w:fill="FFFFFF"/>
        </w:rPr>
        <w:t>New Library World</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117</w:t>
      </w:r>
      <w:r>
        <w:rPr>
          <w:rFonts w:ascii="Times New Roman" w:hAnsi="Times New Roman" w:cs="Times New Roman"/>
          <w:color w:val="222222"/>
          <w:sz w:val="24"/>
          <w:szCs w:val="24"/>
          <w:shd w:val="clear" w:color="auto" w:fill="FFFFFF"/>
        </w:rPr>
        <w:t>(5/6), 343-359.</w:t>
      </w:r>
    </w:p>
    <w:p w14:paraId="776666A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394" w:name="_Hlk129078921"/>
      <w:r>
        <w:rPr>
          <w:rFonts w:ascii="Times New Roman" w:hAnsi="Times New Roman" w:cs="Times New Roman"/>
          <w:color w:val="222222"/>
          <w:sz w:val="24"/>
          <w:szCs w:val="24"/>
          <w:shd w:val="clear" w:color="auto" w:fill="FFFFFF"/>
        </w:rPr>
        <w:t xml:space="preserve">Anwar, G., &amp; Shukur, I. (2015). </w:t>
      </w:r>
      <w:bookmarkEnd w:id="2394"/>
      <w:r>
        <w:rPr>
          <w:rFonts w:ascii="Times New Roman" w:hAnsi="Times New Roman" w:cs="Times New Roman"/>
          <w:color w:val="222222"/>
          <w:sz w:val="24"/>
          <w:szCs w:val="24"/>
          <w:shd w:val="clear" w:color="auto" w:fill="FFFFFF"/>
        </w:rPr>
        <w:t>Students’ Attitudes towards Learning English Language in Erbil. </w:t>
      </w:r>
      <w:r>
        <w:rPr>
          <w:rFonts w:ascii="Times New Roman" w:hAnsi="Times New Roman" w:cs="Times New Roman"/>
          <w:i/>
          <w:iCs/>
          <w:color w:val="222222"/>
          <w:sz w:val="24"/>
          <w:szCs w:val="24"/>
          <w:shd w:val="clear" w:color="auto" w:fill="FFFFFF"/>
        </w:rPr>
        <w:t>International Journal of Social Sciences &amp; Educational Studies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w:t>
      </w:r>
      <w:r>
        <w:rPr>
          <w:rFonts w:ascii="Times New Roman" w:hAnsi="Times New Roman" w:cs="Times New Roman"/>
          <w:color w:val="222222"/>
          <w:sz w:val="24"/>
          <w:szCs w:val="24"/>
          <w:shd w:val="clear" w:color="auto" w:fill="FFFFFF"/>
        </w:rPr>
        <w:t>(4), 17.</w:t>
      </w:r>
    </w:p>
    <w:p w14:paraId="2E7DA14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Anyaoku, E. N., Ezeani, C. N., &amp; Osuigwe, N. E. (2015). Information literacy practices of librarians in universities in South East Nigeria. </w:t>
      </w:r>
      <w:r>
        <w:rPr>
          <w:rFonts w:ascii="Times New Roman" w:hAnsi="Times New Roman" w:cs="Times New Roman"/>
          <w:i/>
          <w:iCs/>
          <w:color w:val="222222"/>
          <w:sz w:val="24"/>
          <w:szCs w:val="24"/>
          <w:shd w:val="clear" w:color="auto" w:fill="FFFFFF"/>
        </w:rPr>
        <w:t>International Journal of Library and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(5), 96-102.</w:t>
      </w:r>
    </w:p>
    <w:p w14:paraId="24A14E6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Appleton, M., &amp; Orr, D. (2000). Meeting the Needs of Distance Education Students in Information Literacy Around the world: Advances in Programs and Research. </w:t>
      </w:r>
      <w:r>
        <w:rPr>
          <w:rFonts w:ascii="Times New Roman" w:hAnsi="Times New Roman" w:cs="Times New Roman"/>
          <w:i/>
          <w:iCs/>
          <w:color w:val="222222"/>
          <w:sz w:val="24"/>
          <w:szCs w:val="24"/>
          <w:shd w:val="clear" w:color="auto" w:fill="FFFFFF"/>
        </w:rPr>
        <w:t>Edited by Christine Bruce and Philip Candy. Centre for Information Studies, Wagga</w:t>
      </w:r>
      <w:r>
        <w:rPr>
          <w:rFonts w:ascii="Times New Roman" w:hAnsi="Times New Roman" w:cs="Times New Roman"/>
          <w:color w:val="222222"/>
          <w:sz w:val="24"/>
          <w:szCs w:val="24"/>
          <w:shd w:val="clear" w:color="auto" w:fill="FFFFFF"/>
        </w:rPr>
        <w:t>.</w:t>
      </w:r>
    </w:p>
    <w:p w14:paraId="5B4999F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395" w:name="_Hlk182168169"/>
      <w:bookmarkStart w:id="2396" w:name="_Hlk126047892"/>
      <w:r>
        <w:rPr>
          <w:rFonts w:ascii="Times New Roman" w:hAnsi="Times New Roman" w:cs="Times New Roman"/>
          <w:color w:val="222222"/>
          <w:sz w:val="24"/>
          <w:szCs w:val="24"/>
          <w:shd w:val="clear" w:color="auto" w:fill="FFFFFF"/>
        </w:rPr>
        <w:t>Ariole,</w:t>
      </w:r>
      <w:bookmarkEnd w:id="2395"/>
      <w:r>
        <w:rPr>
          <w:rFonts w:ascii="Times New Roman" w:hAnsi="Times New Roman" w:cs="Times New Roman"/>
          <w:color w:val="222222"/>
          <w:sz w:val="24"/>
          <w:szCs w:val="24"/>
          <w:shd w:val="clear" w:color="auto" w:fill="FFFFFF"/>
        </w:rPr>
        <w:t xml:space="preserve"> I. A., Oyemike, V. B., &amp; Okorafor, K. (2017). </w:t>
      </w:r>
      <w:bookmarkEnd w:id="2396"/>
      <w:r>
        <w:rPr>
          <w:rFonts w:ascii="Times New Roman" w:hAnsi="Times New Roman" w:cs="Times New Roman"/>
          <w:color w:val="222222"/>
          <w:sz w:val="24"/>
          <w:szCs w:val="24"/>
          <w:shd w:val="clear" w:color="auto" w:fill="FFFFFF"/>
        </w:rPr>
        <w:t>Expectation of library schools in the preparation of future library environment: perspectives of African countries. In </w:t>
      </w:r>
      <w:r>
        <w:rPr>
          <w:rFonts w:ascii="Times New Roman" w:hAnsi="Times New Roman" w:cs="Times New Roman"/>
          <w:i/>
          <w:iCs/>
          <w:color w:val="222222"/>
          <w:sz w:val="24"/>
          <w:szCs w:val="24"/>
          <w:shd w:val="clear" w:color="auto" w:fill="FFFFFF"/>
        </w:rPr>
        <w:t>Information and Knowledge Management</w:t>
      </w:r>
      <w:r>
        <w:rPr>
          <w:rFonts w:ascii="Times New Roman" w:hAnsi="Times New Roman" w:cs="Times New Roman"/>
          <w:color w:val="222222"/>
          <w:sz w:val="24"/>
          <w:szCs w:val="24"/>
          <w:shd w:val="clear" w:color="auto" w:fill="FFFFFF"/>
        </w:rPr>
        <w:t> (Vol. 7, No. 12, pp. 70-77).</w:t>
      </w:r>
    </w:p>
    <w:p w14:paraId="31A361D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397" w:name="_Hlk129085107"/>
      <w:r>
        <w:rPr>
          <w:rFonts w:ascii="Times New Roman" w:hAnsi="Times New Roman" w:cs="Times New Roman"/>
          <w:color w:val="222222"/>
          <w:sz w:val="24"/>
          <w:szCs w:val="24"/>
          <w:shd w:val="clear" w:color="auto" w:fill="FFFFFF"/>
        </w:rPr>
        <w:t>Arora, P., &amp; Arora, N. (2024). Predictive Analysis of Consumers' Immunity Literacy Towards Immunity Products: A Statistical Study Using Discriminant Method. In </w:t>
      </w:r>
      <w:r>
        <w:rPr>
          <w:rFonts w:ascii="Times New Roman" w:hAnsi="Times New Roman" w:cs="Times New Roman"/>
          <w:i/>
          <w:iCs/>
          <w:color w:val="222222"/>
          <w:sz w:val="24"/>
          <w:szCs w:val="24"/>
          <w:shd w:val="clear" w:color="auto" w:fill="FFFFFF"/>
        </w:rPr>
        <w:t>The Role of Health Literacy in Major Healthcare Crises</w:t>
      </w:r>
      <w:r>
        <w:rPr>
          <w:rFonts w:ascii="Times New Roman" w:hAnsi="Times New Roman" w:cs="Times New Roman"/>
          <w:color w:val="222222"/>
          <w:sz w:val="24"/>
          <w:szCs w:val="24"/>
          <w:shd w:val="clear" w:color="auto" w:fill="FFFFFF"/>
        </w:rPr>
        <w:t> (pp. 127-143). IGI Global.</w:t>
      </w:r>
    </w:p>
    <w:bookmarkEnd w:id="2397"/>
    <w:p w14:paraId="63ECF37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Arp, L., &amp; Woodard, B. S. (2003). Information Literacy and Instruction-Information Literacy in School Libraries-It Takes a Community. </w:t>
      </w:r>
      <w:r>
        <w:rPr>
          <w:rFonts w:ascii="Times New Roman" w:hAnsi="Times New Roman" w:cs="Times New Roman"/>
          <w:i/>
          <w:iCs/>
          <w:color w:val="222222"/>
          <w:sz w:val="24"/>
          <w:szCs w:val="24"/>
          <w:shd w:val="clear" w:color="auto" w:fill="FFFFFF"/>
        </w:rPr>
        <w:t>Reference and User Services Quarterly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42</w:t>
      </w:r>
      <w:r>
        <w:rPr>
          <w:rFonts w:ascii="Times New Roman" w:hAnsi="Times New Roman" w:cs="Times New Roman"/>
          <w:color w:val="222222"/>
          <w:sz w:val="24"/>
          <w:szCs w:val="24"/>
          <w:shd w:val="clear" w:color="auto" w:fill="FFFFFF"/>
        </w:rPr>
        <w:t>(3), 215-223.</w:t>
      </w:r>
    </w:p>
    <w:p w14:paraId="1444A97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398" w:name="_Hlk182141524"/>
      <w:r>
        <w:rPr>
          <w:rFonts w:ascii="Times New Roman" w:hAnsi="Times New Roman" w:cs="Times New Roman"/>
          <w:color w:val="222222"/>
          <w:sz w:val="24"/>
          <w:szCs w:val="24"/>
          <w:shd w:val="clear" w:color="auto" w:fill="FFFFFF"/>
        </w:rPr>
        <w:t>Asafe</w:t>
      </w:r>
      <w:bookmarkEnd w:id="2398"/>
      <w:r>
        <w:rPr>
          <w:rFonts w:ascii="Times New Roman" w:hAnsi="Times New Roman" w:cs="Times New Roman"/>
          <w:color w:val="222222"/>
          <w:sz w:val="24"/>
          <w:szCs w:val="24"/>
          <w:shd w:val="clear" w:color="auto" w:fill="FFFFFF"/>
        </w:rPr>
        <w:t>, Y. N. (2014). Information communication technology (ICT)[concepts and application], Self-Directed &amp; Collaborative Learning Approach.</w:t>
      </w:r>
    </w:p>
    <w:p w14:paraId="2927266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Association of College and Research Libraries (1978).  Annual Report of the President 1977-78. </w:t>
      </w:r>
      <w:r>
        <w:rPr>
          <w:rFonts w:ascii="Times New Roman" w:hAnsi="Times New Roman" w:cs="Times New Roman"/>
          <w:i/>
          <w:iCs/>
          <w:color w:val="222222"/>
          <w:sz w:val="24"/>
          <w:szCs w:val="24"/>
          <w:shd w:val="clear" w:color="auto" w:fill="FFFFFF"/>
        </w:rPr>
        <w:t>College &amp; Research Libraries News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39</w:t>
      </w:r>
      <w:r>
        <w:rPr>
          <w:rFonts w:ascii="Times New Roman" w:hAnsi="Times New Roman" w:cs="Times New Roman"/>
          <w:color w:val="222222"/>
          <w:sz w:val="24"/>
          <w:szCs w:val="24"/>
          <w:shd w:val="clear" w:color="auto" w:fill="FFFFFF"/>
        </w:rPr>
        <w:t>(8), 227-230.</w:t>
      </w:r>
    </w:p>
    <w:p w14:paraId="5DF84EB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399" w:name="_Hlk182147392"/>
      <w:r>
        <w:rPr>
          <w:rFonts w:ascii="Times New Roman" w:hAnsi="Times New Roman" w:cs="Times New Roman"/>
          <w:color w:val="222222"/>
          <w:sz w:val="24"/>
          <w:szCs w:val="24"/>
          <w:shd w:val="clear" w:color="auto" w:fill="FFFFFF"/>
        </w:rPr>
        <w:t xml:space="preserve">Atmowardoyo, H. (2018). </w:t>
      </w:r>
      <w:bookmarkEnd w:id="2399"/>
      <w:r>
        <w:rPr>
          <w:rFonts w:ascii="Times New Roman" w:hAnsi="Times New Roman" w:cs="Times New Roman"/>
          <w:color w:val="222222"/>
          <w:sz w:val="24"/>
          <w:szCs w:val="24"/>
          <w:shd w:val="clear" w:color="auto" w:fill="FFFFFF"/>
        </w:rPr>
        <w:t>Research methods in TEFL studies: Descriptive research, case study, error analysis, and R &amp; D. </w:t>
      </w:r>
      <w:r>
        <w:rPr>
          <w:rFonts w:ascii="Times New Roman" w:hAnsi="Times New Roman" w:cs="Times New Roman"/>
          <w:i/>
          <w:iCs/>
          <w:color w:val="222222"/>
          <w:sz w:val="24"/>
          <w:szCs w:val="24"/>
          <w:shd w:val="clear" w:color="auto" w:fill="FFFFFF"/>
        </w:rPr>
        <w:t>Journal of Language Teaching and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w:t>
      </w:r>
      <w:r>
        <w:rPr>
          <w:rFonts w:ascii="Times New Roman" w:hAnsi="Times New Roman" w:cs="Times New Roman"/>
          <w:color w:val="222222"/>
          <w:sz w:val="24"/>
          <w:szCs w:val="24"/>
          <w:shd w:val="clear" w:color="auto" w:fill="FFFFFF"/>
        </w:rPr>
        <w:t xml:space="preserve">(1), 197-204. </w:t>
      </w:r>
    </w:p>
    <w:p w14:paraId="19F1EAB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00" w:name="_Hlk126047395"/>
      <w:r>
        <w:rPr>
          <w:rFonts w:ascii="Times New Roman" w:hAnsi="Times New Roman" w:cs="Times New Roman"/>
          <w:color w:val="222222"/>
          <w:sz w:val="24"/>
          <w:szCs w:val="24"/>
          <w:shd w:val="clear" w:color="auto" w:fill="FFFFFF"/>
        </w:rPr>
        <w:t xml:space="preserve">Audunson, R., &amp; Nordlie, R. (2003). </w:t>
      </w:r>
      <w:bookmarkEnd w:id="2400"/>
      <w:r>
        <w:rPr>
          <w:rFonts w:ascii="Times New Roman" w:hAnsi="Times New Roman" w:cs="Times New Roman"/>
          <w:color w:val="222222"/>
          <w:sz w:val="24"/>
          <w:szCs w:val="24"/>
          <w:shd w:val="clear" w:color="auto" w:fill="FFFFFF"/>
        </w:rPr>
        <w:t>Information literacy: the case or non‐case of Norway?. </w:t>
      </w:r>
      <w:r>
        <w:rPr>
          <w:rFonts w:ascii="Times New Roman" w:hAnsi="Times New Roman" w:cs="Times New Roman"/>
          <w:i/>
          <w:iCs/>
          <w:color w:val="222222"/>
          <w:sz w:val="24"/>
          <w:szCs w:val="24"/>
          <w:shd w:val="clear" w:color="auto" w:fill="FFFFFF"/>
        </w:rPr>
        <w:t>Library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52</w:t>
      </w:r>
      <w:r>
        <w:rPr>
          <w:rFonts w:ascii="Times New Roman" w:hAnsi="Times New Roman" w:cs="Times New Roman"/>
          <w:color w:val="222222"/>
          <w:sz w:val="24"/>
          <w:szCs w:val="24"/>
          <w:shd w:val="clear" w:color="auto" w:fill="FFFFFF"/>
        </w:rPr>
        <w:t>(7), 319-325.</w:t>
      </w:r>
    </w:p>
    <w:p w14:paraId="70C6A64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01" w:name="_Hlk129085864"/>
      <w:r>
        <w:rPr>
          <w:rFonts w:ascii="Times New Roman" w:hAnsi="Times New Roman" w:cs="Times New Roman"/>
          <w:color w:val="222222"/>
          <w:sz w:val="24"/>
          <w:szCs w:val="24"/>
          <w:shd w:val="clear" w:color="auto" w:fill="FFFFFF"/>
        </w:rPr>
        <w:t>Babbie, C., &amp; Mouton, J. (2011). Qualitative field research. </w:t>
      </w:r>
      <w:r>
        <w:rPr>
          <w:rFonts w:ascii="Times New Roman" w:hAnsi="Times New Roman" w:cs="Times New Roman"/>
          <w:i/>
          <w:iCs/>
          <w:color w:val="222222"/>
          <w:sz w:val="24"/>
          <w:szCs w:val="24"/>
          <w:shd w:val="clear" w:color="auto" w:fill="FFFFFF"/>
        </w:rPr>
        <w:t>Journal of public administration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42</w:t>
      </w:r>
      <w:r>
        <w:rPr>
          <w:rFonts w:ascii="Times New Roman" w:hAnsi="Times New Roman" w:cs="Times New Roman"/>
          <w:color w:val="222222"/>
          <w:sz w:val="24"/>
          <w:szCs w:val="24"/>
          <w:shd w:val="clear" w:color="auto" w:fill="FFFFFF"/>
        </w:rPr>
        <w:t>(6), 441-457.</w:t>
      </w:r>
    </w:p>
    <w:p w14:paraId="0FE5E14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Babbie, E. (1998). The practice of. </w:t>
      </w:r>
      <w:r>
        <w:rPr>
          <w:rFonts w:ascii="Times New Roman" w:hAnsi="Times New Roman" w:cs="Times New Roman"/>
          <w:i/>
          <w:iCs/>
          <w:color w:val="222222"/>
          <w:sz w:val="24"/>
          <w:szCs w:val="24"/>
          <w:shd w:val="clear" w:color="auto" w:fill="FFFFFF"/>
        </w:rPr>
        <w:t>Social Research: An International Quarterly</w:t>
      </w:r>
      <w:r>
        <w:rPr>
          <w:rFonts w:ascii="Times New Roman" w:hAnsi="Times New Roman" w:cs="Times New Roman"/>
          <w:color w:val="222222"/>
          <w:sz w:val="24"/>
          <w:szCs w:val="24"/>
          <w:shd w:val="clear" w:color="auto" w:fill="FFFFFF"/>
        </w:rPr>
        <w:t>.</w:t>
      </w:r>
    </w:p>
    <w:bookmarkEnd w:id="2401"/>
    <w:p w14:paraId="0100922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Babbie, E. R., Halley, F., &amp; Zaino, J. (2007). </w:t>
      </w:r>
      <w:r>
        <w:rPr>
          <w:rFonts w:ascii="Times New Roman" w:hAnsi="Times New Roman" w:cs="Times New Roman"/>
          <w:i/>
          <w:iCs/>
          <w:color w:val="222222"/>
          <w:sz w:val="24"/>
          <w:szCs w:val="24"/>
          <w:shd w:val="clear" w:color="auto" w:fill="FFFFFF"/>
        </w:rPr>
        <w:t>Adventures in social research: data analysis using SPSS 14.0 and 15.0 for Windows</w:t>
      </w:r>
      <w:r>
        <w:rPr>
          <w:rFonts w:ascii="Times New Roman" w:hAnsi="Times New Roman" w:cs="Times New Roman"/>
          <w:color w:val="222222"/>
          <w:sz w:val="24"/>
          <w:szCs w:val="24"/>
          <w:shd w:val="clear" w:color="auto" w:fill="FFFFFF"/>
        </w:rPr>
        <w:t>. Pine Forge Press.</w:t>
      </w:r>
    </w:p>
    <w:p w14:paraId="0DF3937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Babbie, E., &amp; Mouton, J. (2001). The practice of social research: South African edition. </w:t>
      </w:r>
      <w:r>
        <w:rPr>
          <w:rFonts w:ascii="Times New Roman" w:hAnsi="Times New Roman" w:cs="Times New Roman"/>
          <w:i/>
          <w:iCs/>
          <w:color w:val="222222"/>
          <w:sz w:val="24"/>
          <w:szCs w:val="24"/>
          <w:shd w:val="clear" w:color="auto" w:fill="FFFFFF"/>
        </w:rPr>
        <w:t>Cape Town: Oxford University Press Southern Africa</w:t>
      </w:r>
      <w:r>
        <w:rPr>
          <w:rFonts w:ascii="Times New Roman" w:hAnsi="Times New Roman" w:cs="Times New Roman"/>
          <w:color w:val="222222"/>
          <w:sz w:val="24"/>
          <w:szCs w:val="24"/>
          <w:shd w:val="clear" w:color="auto" w:fill="FFFFFF"/>
        </w:rPr>
        <w:t>.</w:t>
      </w:r>
    </w:p>
    <w:p w14:paraId="546D505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Babu, B. R., Vinayagamoorthy, P., &amp; Gopalakrishnan, S. (2007). ICT skills among librarians in engineering educational institutions in Tamil Nadu. </w:t>
      </w:r>
      <w:r>
        <w:rPr>
          <w:rFonts w:ascii="Times New Roman" w:hAnsi="Times New Roman" w:cs="Times New Roman"/>
          <w:i/>
          <w:iCs/>
          <w:color w:val="222222"/>
          <w:sz w:val="24"/>
          <w:szCs w:val="24"/>
          <w:shd w:val="clear" w:color="auto" w:fill="FFFFFF"/>
        </w:rPr>
        <w:t>DESIDOC Journal of Library &amp; Information Technology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27</w:t>
      </w:r>
      <w:r>
        <w:rPr>
          <w:rFonts w:ascii="Times New Roman" w:hAnsi="Times New Roman" w:cs="Times New Roman"/>
          <w:color w:val="222222"/>
          <w:sz w:val="24"/>
          <w:szCs w:val="24"/>
          <w:shd w:val="clear" w:color="auto" w:fill="FFFFFF"/>
        </w:rPr>
        <w:t>(6), 55.</w:t>
      </w:r>
    </w:p>
    <w:p w14:paraId="00B0E91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Badke, W. (2011). Why information literacy is invisible. </w:t>
      </w:r>
      <w:r>
        <w:rPr>
          <w:rFonts w:ascii="Times New Roman" w:hAnsi="Times New Roman" w:cs="Times New Roman"/>
          <w:i/>
          <w:iCs/>
          <w:color w:val="222222"/>
          <w:sz w:val="24"/>
          <w:szCs w:val="24"/>
          <w:shd w:val="clear" w:color="auto" w:fill="FFFFFF"/>
        </w:rPr>
        <w:t>Communications in Information Literacy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(2), 2.</w:t>
      </w:r>
    </w:p>
    <w:p w14:paraId="1DEB360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Badley, G. (2013). Lost in the funhouse. </w:t>
      </w:r>
      <w:r>
        <w:rPr>
          <w:rFonts w:ascii="Times New Roman" w:hAnsi="Times New Roman" w:cs="Times New Roman"/>
          <w:i/>
          <w:iCs/>
          <w:color w:val="222222"/>
          <w:sz w:val="24"/>
          <w:szCs w:val="24"/>
          <w:shd w:val="clear" w:color="auto" w:fill="FFFFFF"/>
        </w:rPr>
        <w:t>Qualitative Inquiry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19</w:t>
      </w:r>
      <w:r>
        <w:rPr>
          <w:rFonts w:ascii="Times New Roman" w:hAnsi="Times New Roman" w:cs="Times New Roman"/>
          <w:color w:val="222222"/>
          <w:sz w:val="24"/>
          <w:szCs w:val="24"/>
          <w:shd w:val="clear" w:color="auto" w:fill="FFFFFF"/>
        </w:rPr>
        <w:t>(4), 310-319.</w:t>
      </w:r>
    </w:p>
    <w:p w14:paraId="638585F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Bainton, T. (2001). Information Literacy and Academic Libraries: The SCONUL Approach (UK/Ireland).</w:t>
      </w:r>
    </w:p>
    <w:p w14:paraId="1472042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Bandura, A. (2006). Guide for constructing self-efficacy scales. </w:t>
      </w:r>
      <w:r>
        <w:rPr>
          <w:rFonts w:ascii="Times New Roman" w:hAnsi="Times New Roman" w:cs="Times New Roman"/>
          <w:i/>
          <w:iCs/>
          <w:color w:val="222222"/>
          <w:sz w:val="24"/>
          <w:szCs w:val="24"/>
          <w:shd w:val="clear" w:color="auto" w:fill="FFFFFF"/>
        </w:rPr>
        <w:t>Self-efficacy beliefs of adolescents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w:t>
      </w:r>
      <w:r>
        <w:rPr>
          <w:rFonts w:ascii="Times New Roman" w:hAnsi="Times New Roman" w:cs="Times New Roman"/>
          <w:color w:val="222222"/>
          <w:sz w:val="24"/>
          <w:szCs w:val="24"/>
          <w:shd w:val="clear" w:color="auto" w:fill="FFFFFF"/>
        </w:rPr>
        <w:t>(1), 307-337.</w:t>
      </w:r>
    </w:p>
    <w:p w14:paraId="7516280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Banerjee, A., &amp; Chaudhury, S. (2010). Statistics without tears: Populations and samples. </w:t>
      </w:r>
      <w:r>
        <w:rPr>
          <w:rFonts w:ascii="Times New Roman" w:hAnsi="Times New Roman" w:cs="Times New Roman"/>
          <w:i/>
          <w:iCs/>
          <w:color w:val="222222"/>
          <w:sz w:val="24"/>
          <w:szCs w:val="24"/>
          <w:shd w:val="clear" w:color="auto" w:fill="FFFFFF"/>
        </w:rPr>
        <w:t>Industrial psychiatry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19</w:t>
      </w:r>
      <w:r>
        <w:rPr>
          <w:rFonts w:ascii="Times New Roman" w:hAnsi="Times New Roman" w:cs="Times New Roman"/>
          <w:color w:val="222222"/>
          <w:sz w:val="24"/>
          <w:szCs w:val="24"/>
          <w:shd w:val="clear" w:color="auto" w:fill="FFFFFF"/>
        </w:rPr>
        <w:t>(1), 60.</w:t>
      </w:r>
    </w:p>
    <w:p w14:paraId="6E0A88E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Baro, E. E., &amp; Zuokemefa, T. (2011). Information literacy programmes in Nigeria: a survey of 36 university libraries. </w:t>
      </w:r>
      <w:r>
        <w:rPr>
          <w:rFonts w:ascii="Times New Roman" w:hAnsi="Times New Roman" w:cs="Times New Roman"/>
          <w:i/>
          <w:iCs/>
          <w:color w:val="222222"/>
          <w:sz w:val="24"/>
          <w:szCs w:val="24"/>
          <w:shd w:val="clear" w:color="auto" w:fill="FFFFFF"/>
        </w:rPr>
        <w:t>New Library World</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112</w:t>
      </w:r>
      <w:r>
        <w:rPr>
          <w:rFonts w:ascii="Times New Roman" w:hAnsi="Times New Roman" w:cs="Times New Roman"/>
          <w:color w:val="222222"/>
          <w:sz w:val="24"/>
          <w:szCs w:val="24"/>
          <w:shd w:val="clear" w:color="auto" w:fill="FFFFFF"/>
        </w:rPr>
        <w:t>(11/12), 549-565.</w:t>
      </w:r>
    </w:p>
    <w:p w14:paraId="2533099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Baro, E. E., Endouware, B. E. C., &amp; Ubogu, J. O. (2011). Information literacy among medical students in the College of Health Sciences in Niger Delta University, Nigeria. </w:t>
      </w:r>
      <w:r>
        <w:rPr>
          <w:rFonts w:ascii="Times New Roman" w:hAnsi="Times New Roman" w:cs="Times New Roman"/>
          <w:i/>
          <w:iCs/>
          <w:color w:val="222222"/>
          <w:sz w:val="24"/>
          <w:szCs w:val="24"/>
          <w:shd w:val="clear" w:color="auto" w:fill="FFFFFF"/>
        </w:rPr>
        <w:t>Program</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45</w:t>
      </w:r>
      <w:r>
        <w:rPr>
          <w:rFonts w:ascii="Times New Roman" w:hAnsi="Times New Roman" w:cs="Times New Roman"/>
          <w:color w:val="222222"/>
          <w:sz w:val="24"/>
          <w:szCs w:val="24"/>
          <w:shd w:val="clear" w:color="auto" w:fill="FFFFFF"/>
        </w:rPr>
        <w:t>(1), 107</w:t>
      </w:r>
    </w:p>
    <w:p w14:paraId="3202DF1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Barrows, H. S. (1996). Problem‐based learning in medicine and beyond: A brief overview. </w:t>
      </w:r>
      <w:r>
        <w:rPr>
          <w:rFonts w:ascii="Times New Roman" w:hAnsi="Times New Roman" w:cs="Times New Roman"/>
          <w:i/>
          <w:iCs/>
          <w:color w:val="222222"/>
          <w:sz w:val="24"/>
          <w:szCs w:val="24"/>
          <w:shd w:val="clear" w:color="auto" w:fill="FFFFFF"/>
        </w:rPr>
        <w:t>New directions for teaching and learning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1996</w:t>
      </w:r>
      <w:r>
        <w:rPr>
          <w:rFonts w:ascii="Times New Roman" w:hAnsi="Times New Roman" w:cs="Times New Roman"/>
          <w:color w:val="222222"/>
          <w:sz w:val="24"/>
          <w:szCs w:val="24"/>
          <w:shd w:val="clear" w:color="auto" w:fill="FFFFFF"/>
        </w:rPr>
        <w:t>(68), 3-12.</w:t>
      </w:r>
    </w:p>
    <w:p w14:paraId="3334250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02" w:name="_Hlk126048075"/>
      <w:r>
        <w:rPr>
          <w:rFonts w:ascii="Times New Roman" w:hAnsi="Times New Roman" w:cs="Times New Roman"/>
          <w:color w:val="222222"/>
          <w:sz w:val="24"/>
          <w:szCs w:val="24"/>
          <w:shd w:val="clear" w:color="auto" w:fill="FFFFFF"/>
        </w:rPr>
        <w:t xml:space="preserve">Barr-Walker, J. (2017). </w:t>
      </w:r>
      <w:bookmarkEnd w:id="2402"/>
      <w:r>
        <w:rPr>
          <w:rFonts w:ascii="Times New Roman" w:hAnsi="Times New Roman" w:cs="Times New Roman"/>
          <w:color w:val="222222"/>
          <w:sz w:val="24"/>
          <w:szCs w:val="24"/>
          <w:shd w:val="clear" w:color="auto" w:fill="FFFFFF"/>
        </w:rPr>
        <w:t>Evidence-based information needs of public health workers: a systematized review. </w:t>
      </w:r>
      <w:r>
        <w:rPr>
          <w:rFonts w:ascii="Times New Roman" w:hAnsi="Times New Roman" w:cs="Times New Roman"/>
          <w:i/>
          <w:iCs/>
          <w:color w:val="222222"/>
          <w:sz w:val="24"/>
          <w:szCs w:val="24"/>
          <w:shd w:val="clear" w:color="auto" w:fill="FFFFFF"/>
        </w:rPr>
        <w:t>Journal of the Medical Library Association: JMLA</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105</w:t>
      </w:r>
      <w:r>
        <w:rPr>
          <w:rFonts w:ascii="Times New Roman" w:hAnsi="Times New Roman" w:cs="Times New Roman"/>
          <w:color w:val="222222"/>
          <w:sz w:val="24"/>
          <w:szCs w:val="24"/>
          <w:shd w:val="clear" w:color="auto" w:fill="FFFFFF"/>
        </w:rPr>
        <w:t>(1), 69.</w:t>
      </w:r>
    </w:p>
    <w:p w14:paraId="727E656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Bartlett, H., &amp; Martin, W. (2002). Ethical issues in dementia care research. </w:t>
      </w:r>
      <w:r>
        <w:rPr>
          <w:rFonts w:ascii="Times New Roman" w:hAnsi="Times New Roman" w:cs="Times New Roman"/>
          <w:i/>
          <w:iCs/>
          <w:color w:val="222222"/>
          <w:sz w:val="24"/>
          <w:szCs w:val="24"/>
          <w:shd w:val="clear" w:color="auto" w:fill="FFFFFF"/>
        </w:rPr>
        <w:t>The perspectives of people with dementia: Research methods and motivations</w:t>
      </w:r>
      <w:r>
        <w:rPr>
          <w:rFonts w:ascii="Times New Roman" w:hAnsi="Times New Roman" w:cs="Times New Roman"/>
          <w:color w:val="222222"/>
          <w:sz w:val="24"/>
          <w:szCs w:val="24"/>
          <w:shd w:val="clear" w:color="auto" w:fill="FFFFFF"/>
        </w:rPr>
        <w:t>, 47-61.</w:t>
      </w:r>
    </w:p>
    <w:p w14:paraId="7605CA2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Bashorun, M. T., Bashorun, R. B., &amp; </w:t>
      </w:r>
      <w:bookmarkStart w:id="2403" w:name="_Hlk182143116"/>
      <w:r>
        <w:rPr>
          <w:rFonts w:ascii="Times New Roman" w:hAnsi="Times New Roman" w:cs="Times New Roman"/>
          <w:color w:val="222222"/>
          <w:sz w:val="24"/>
          <w:szCs w:val="24"/>
          <w:shd w:val="clear" w:color="auto" w:fill="FFFFFF"/>
        </w:rPr>
        <w:t>Akinbowale</w:t>
      </w:r>
      <w:bookmarkEnd w:id="2403"/>
      <w:r>
        <w:rPr>
          <w:rFonts w:ascii="Times New Roman" w:hAnsi="Times New Roman" w:cs="Times New Roman"/>
          <w:color w:val="222222"/>
          <w:sz w:val="24"/>
          <w:szCs w:val="24"/>
          <w:shd w:val="clear" w:color="auto" w:fill="FFFFFF"/>
        </w:rPr>
        <w:t>, A. T. (2021). Evaluating information literacy competence in the use of electronic resources among Medical Students in University of Ilorin, Nigeria. </w:t>
      </w:r>
      <w:r>
        <w:rPr>
          <w:rFonts w:ascii="Times New Roman" w:hAnsi="Times New Roman" w:cs="Times New Roman"/>
          <w:i/>
          <w:iCs/>
          <w:color w:val="222222"/>
          <w:sz w:val="24"/>
          <w:szCs w:val="24"/>
          <w:shd w:val="clear" w:color="auto" w:fill="FFFFFF"/>
        </w:rPr>
        <w:t>University of Dar es Salaam Library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16</w:t>
      </w:r>
      <w:r>
        <w:rPr>
          <w:rFonts w:ascii="Times New Roman" w:hAnsi="Times New Roman" w:cs="Times New Roman"/>
          <w:color w:val="222222"/>
          <w:sz w:val="24"/>
          <w:szCs w:val="24"/>
          <w:shd w:val="clear" w:color="auto" w:fill="FFFFFF"/>
        </w:rPr>
        <w:t>(1), 131-148.</w:t>
      </w:r>
    </w:p>
    <w:p w14:paraId="572A40E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Bazrafkan, A., &amp; Pakravan, M. R. (2017, May). An MADM network selection approach for next generation heterogeneous networks. In </w:t>
      </w:r>
      <w:r>
        <w:rPr>
          <w:rFonts w:ascii="Times New Roman" w:hAnsi="Times New Roman" w:cs="Times New Roman"/>
          <w:i/>
          <w:iCs/>
          <w:color w:val="222222"/>
          <w:sz w:val="24"/>
          <w:szCs w:val="24"/>
          <w:shd w:val="clear" w:color="auto" w:fill="FFFFFF"/>
        </w:rPr>
        <w:t>2017 Iranian Conference on Electrical Engineering (ICEE)</w:t>
      </w:r>
      <w:r>
        <w:rPr>
          <w:rFonts w:ascii="Times New Roman" w:hAnsi="Times New Roman" w:cs="Times New Roman"/>
          <w:color w:val="222222"/>
          <w:sz w:val="24"/>
          <w:szCs w:val="24"/>
          <w:shd w:val="clear" w:color="auto" w:fill="FFFFFF"/>
        </w:rPr>
        <w:t> (pp. 1884-1890). IEEE.</w:t>
      </w:r>
    </w:p>
    <w:p w14:paraId="0B095B1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Bazrafkan, L &amp;.  Bayati, T., Dehghan, A., Bonyadi, F., (2018). Investigating the effect of education on health literacy and its relation to health-promoting behaviors in health center. </w:t>
      </w:r>
      <w:r>
        <w:rPr>
          <w:rFonts w:ascii="Times New Roman" w:hAnsi="Times New Roman" w:cs="Times New Roman"/>
          <w:i/>
          <w:iCs/>
          <w:color w:val="222222"/>
          <w:sz w:val="24"/>
          <w:szCs w:val="24"/>
          <w:shd w:val="clear" w:color="auto" w:fill="FFFFFF"/>
        </w:rPr>
        <w:t>Journal of education and health promotion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w:t>
      </w:r>
    </w:p>
    <w:p w14:paraId="00F8C53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Bazrafkan, L., Hayat, A. A., Abbasi, K., Bazrafkan, A., Rohalamini, A., &amp; Fardid, M. (2017). Evaluation of information literacy status among medical students at Shiraz University of Medical Sciences. </w:t>
      </w:r>
      <w:r>
        <w:rPr>
          <w:rFonts w:ascii="Times New Roman" w:hAnsi="Times New Roman" w:cs="Times New Roman"/>
          <w:i/>
          <w:iCs/>
          <w:color w:val="222222"/>
          <w:sz w:val="24"/>
          <w:szCs w:val="24"/>
          <w:shd w:val="clear" w:color="auto" w:fill="FFFFFF"/>
        </w:rPr>
        <w:t>Journal of Advances in Medical Education &amp; Professionalism</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w:t>
      </w:r>
      <w:r>
        <w:rPr>
          <w:rFonts w:ascii="Times New Roman" w:hAnsi="Times New Roman" w:cs="Times New Roman"/>
          <w:color w:val="222222"/>
          <w:sz w:val="24"/>
          <w:szCs w:val="24"/>
          <w:shd w:val="clear" w:color="auto" w:fill="FFFFFF"/>
        </w:rPr>
        <w:t>(1), 42.</w:t>
      </w:r>
    </w:p>
    <w:p w14:paraId="62B2C7D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Beetham, H. (2013). Designing for learning in an uncertain future. In </w:t>
      </w:r>
      <w:r>
        <w:rPr>
          <w:rFonts w:ascii="Times New Roman" w:hAnsi="Times New Roman" w:cs="Times New Roman"/>
          <w:i/>
          <w:iCs/>
          <w:color w:val="222222"/>
          <w:sz w:val="24"/>
          <w:szCs w:val="24"/>
          <w:shd w:val="clear" w:color="auto" w:fill="FFFFFF"/>
        </w:rPr>
        <w:t>Rethinking pedagogy for a digital age</w:t>
      </w:r>
      <w:r>
        <w:rPr>
          <w:rFonts w:ascii="Times New Roman" w:hAnsi="Times New Roman" w:cs="Times New Roman"/>
          <w:color w:val="222222"/>
          <w:sz w:val="24"/>
          <w:szCs w:val="24"/>
          <w:shd w:val="clear" w:color="auto" w:fill="FFFFFF"/>
        </w:rPr>
        <w:t> (pp. 282-306). Routledge.</w:t>
      </w:r>
    </w:p>
    <w:p w14:paraId="7FA95C6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Bell, E., &amp; Bryman, A. (2007). The ethics of management research: an exploratory content analysis. </w:t>
      </w:r>
      <w:r>
        <w:rPr>
          <w:rFonts w:ascii="Times New Roman" w:hAnsi="Times New Roman" w:cs="Times New Roman"/>
          <w:i/>
          <w:iCs/>
          <w:color w:val="222222"/>
          <w:sz w:val="24"/>
          <w:szCs w:val="24"/>
          <w:shd w:val="clear" w:color="auto" w:fill="FFFFFF"/>
        </w:rPr>
        <w:t>British journal of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18</w:t>
      </w:r>
      <w:r>
        <w:rPr>
          <w:rFonts w:ascii="Times New Roman" w:hAnsi="Times New Roman" w:cs="Times New Roman"/>
          <w:color w:val="222222"/>
          <w:sz w:val="24"/>
          <w:szCs w:val="24"/>
          <w:shd w:val="clear" w:color="auto" w:fill="FFFFFF"/>
        </w:rPr>
        <w:t>(1), 63-77.</w:t>
      </w:r>
    </w:p>
    <w:p w14:paraId="1F4B6DF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Bennett, S. (2007). Campus cultures fostering information literacy. </w:t>
      </w:r>
      <w:r>
        <w:rPr>
          <w:rFonts w:ascii="Times New Roman" w:hAnsi="Times New Roman" w:cs="Times New Roman"/>
          <w:i/>
          <w:iCs/>
          <w:color w:val="222222"/>
          <w:sz w:val="24"/>
          <w:szCs w:val="24"/>
          <w:shd w:val="clear" w:color="auto" w:fill="FFFFFF"/>
        </w:rPr>
        <w:t>portal: Libraries and the Academy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(2), 147-167.</w:t>
      </w:r>
    </w:p>
    <w:p w14:paraId="2BC617D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04" w:name="_Hlk126063344"/>
      <w:r>
        <w:rPr>
          <w:rFonts w:ascii="Times New Roman" w:hAnsi="Times New Roman" w:cs="Times New Roman"/>
          <w:color w:val="222222"/>
          <w:sz w:val="24"/>
          <w:szCs w:val="24"/>
          <w:shd w:val="clear" w:color="auto" w:fill="FFFFFF"/>
        </w:rPr>
        <w:t xml:space="preserve">Bernaoui, R., &amp; Hassoun, M. (2015). </w:t>
      </w:r>
      <w:bookmarkEnd w:id="2404"/>
      <w:r>
        <w:rPr>
          <w:rFonts w:ascii="Times New Roman" w:hAnsi="Times New Roman" w:cs="Times New Roman"/>
          <w:color w:val="222222"/>
          <w:sz w:val="24"/>
          <w:szCs w:val="24"/>
          <w:shd w:val="clear" w:color="auto" w:fill="FFFFFF"/>
        </w:rPr>
        <w:t>Algerian university libraries and the digital age: new communication behaviors. </w:t>
      </w:r>
      <w:r>
        <w:rPr>
          <w:rFonts w:ascii="Times New Roman" w:hAnsi="Times New Roman" w:cs="Times New Roman"/>
          <w:i/>
          <w:iCs/>
          <w:color w:val="222222"/>
          <w:sz w:val="24"/>
          <w:szCs w:val="24"/>
          <w:shd w:val="clear" w:color="auto" w:fill="FFFFFF"/>
        </w:rPr>
        <w:t>Library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36</w:t>
      </w:r>
      <w:r>
        <w:rPr>
          <w:rFonts w:ascii="Times New Roman" w:hAnsi="Times New Roman" w:cs="Times New Roman"/>
          <w:color w:val="222222"/>
          <w:sz w:val="24"/>
          <w:szCs w:val="24"/>
          <w:shd w:val="clear" w:color="auto" w:fill="FFFFFF"/>
        </w:rPr>
        <w:t>(1/2), 58-69.</w:t>
      </w:r>
    </w:p>
    <w:p w14:paraId="698E342D" w14:textId="77777777" w:rsidR="00B01D46" w:rsidRDefault="0067013E">
      <w:pPr>
        <w:spacing w:line="240" w:lineRule="auto"/>
        <w:ind w:left="720" w:hanging="720"/>
        <w:jc w:val="both"/>
        <w:rPr>
          <w:rFonts w:ascii="Times New Roman" w:hAnsi="Times New Roman" w:cs="Times New Roman"/>
          <w:sz w:val="24"/>
          <w:szCs w:val="24"/>
          <w:shd w:val="clear" w:color="auto" w:fill="FFFFFF"/>
        </w:rPr>
      </w:pPr>
      <w:r>
        <w:rPr>
          <w:rStyle w:val="referencesurname"/>
          <w:rFonts w:ascii="Times New Roman" w:hAnsi="Times New Roman" w:cs="Times New Roman"/>
          <w:sz w:val="24"/>
          <w:szCs w:val="24"/>
          <w:shd w:val="clear" w:color="auto" w:fill="FFFFFF"/>
        </w:rPr>
        <w:t>Berners-Lee</w:t>
      </w:r>
      <w:r>
        <w:rPr>
          <w:rStyle w:val="referencestring-name"/>
          <w:rFonts w:ascii="Times New Roman" w:hAnsi="Times New Roman" w:cs="Times New Roman"/>
          <w:sz w:val="24"/>
          <w:szCs w:val="24"/>
          <w:shd w:val="clear" w:color="auto" w:fill="FFFFFF"/>
        </w:rPr>
        <w:t>, </w:t>
      </w:r>
      <w:r>
        <w:rPr>
          <w:rStyle w:val="referencegiven-names"/>
          <w:rFonts w:ascii="Times New Roman" w:hAnsi="Times New Roman" w:cs="Times New Roman"/>
          <w:sz w:val="24"/>
          <w:szCs w:val="24"/>
          <w:shd w:val="clear" w:color="auto" w:fill="FFFFFF"/>
        </w:rPr>
        <w:t>T.</w:t>
      </w:r>
      <w:r>
        <w:rPr>
          <w:rStyle w:val="referenceperson-group"/>
          <w:rFonts w:ascii="Times New Roman" w:hAnsi="Times New Roman" w:cs="Times New Roman"/>
          <w:sz w:val="24"/>
          <w:szCs w:val="24"/>
          <w:shd w:val="clear" w:color="auto" w:fill="FFFFFF"/>
        </w:rPr>
        <w:t>, </w:t>
      </w:r>
      <w:r>
        <w:rPr>
          <w:rStyle w:val="referencesurname"/>
          <w:rFonts w:ascii="Times New Roman" w:hAnsi="Times New Roman" w:cs="Times New Roman"/>
          <w:sz w:val="24"/>
          <w:szCs w:val="24"/>
          <w:shd w:val="clear" w:color="auto" w:fill="FFFFFF"/>
        </w:rPr>
        <w:t>Hendler</w:t>
      </w:r>
      <w:r>
        <w:rPr>
          <w:rStyle w:val="referencestring-name"/>
          <w:rFonts w:ascii="Times New Roman" w:hAnsi="Times New Roman" w:cs="Times New Roman"/>
          <w:sz w:val="24"/>
          <w:szCs w:val="24"/>
          <w:shd w:val="clear" w:color="auto" w:fill="FFFFFF"/>
        </w:rPr>
        <w:t>, </w:t>
      </w:r>
      <w:r>
        <w:rPr>
          <w:rStyle w:val="referencegiven-names"/>
          <w:rFonts w:ascii="Times New Roman" w:hAnsi="Times New Roman" w:cs="Times New Roman"/>
          <w:sz w:val="24"/>
          <w:szCs w:val="24"/>
          <w:shd w:val="clear" w:color="auto" w:fill="FFFFFF"/>
        </w:rPr>
        <w:t>J. y.</w:t>
      </w:r>
      <w:r>
        <w:rPr>
          <w:rStyle w:val="referenceperson-group"/>
          <w:rFonts w:ascii="Times New Roman" w:hAnsi="Times New Roman" w:cs="Times New Roman"/>
          <w:sz w:val="24"/>
          <w:szCs w:val="24"/>
          <w:shd w:val="clear" w:color="auto" w:fill="FFFFFF"/>
        </w:rPr>
        <w:t> and </w:t>
      </w:r>
      <w:r>
        <w:rPr>
          <w:rStyle w:val="referencesurname"/>
          <w:rFonts w:ascii="Times New Roman" w:hAnsi="Times New Roman" w:cs="Times New Roman"/>
          <w:sz w:val="24"/>
          <w:szCs w:val="24"/>
          <w:shd w:val="clear" w:color="auto" w:fill="FFFFFF"/>
        </w:rPr>
        <w:t>Lassila</w:t>
      </w:r>
      <w:r>
        <w:rPr>
          <w:rStyle w:val="referencestring-name"/>
          <w:rFonts w:ascii="Times New Roman" w:hAnsi="Times New Roman" w:cs="Times New Roman"/>
          <w:sz w:val="24"/>
          <w:szCs w:val="24"/>
          <w:shd w:val="clear" w:color="auto" w:fill="FFFFFF"/>
        </w:rPr>
        <w:t>, </w:t>
      </w:r>
      <w:r>
        <w:rPr>
          <w:rStyle w:val="referencegiven-names"/>
          <w:rFonts w:ascii="Times New Roman" w:hAnsi="Times New Roman" w:cs="Times New Roman"/>
          <w:sz w:val="24"/>
          <w:szCs w:val="24"/>
          <w:shd w:val="clear" w:color="auto" w:fill="FFFFFF"/>
        </w:rPr>
        <w:t>O.</w:t>
      </w:r>
      <w:r>
        <w:rPr>
          <w:rFonts w:ascii="Times New Roman" w:hAnsi="Times New Roman" w:cs="Times New Roman"/>
          <w:sz w:val="24"/>
          <w:szCs w:val="24"/>
          <w:shd w:val="clear" w:color="auto" w:fill="FFFFFF"/>
        </w:rPr>
        <w:t> (</w:t>
      </w:r>
      <w:r>
        <w:rPr>
          <w:rStyle w:val="referenceyear"/>
          <w:rFonts w:ascii="Times New Roman" w:hAnsi="Times New Roman" w:cs="Times New Roman"/>
          <w:sz w:val="24"/>
          <w:szCs w:val="24"/>
          <w:shd w:val="clear" w:color="auto" w:fill="FFFFFF"/>
        </w:rPr>
        <w:t>2006</w:t>
      </w:r>
      <w:r>
        <w:rPr>
          <w:rFonts w:ascii="Times New Roman" w:hAnsi="Times New Roman" w:cs="Times New Roman"/>
          <w:sz w:val="24"/>
          <w:szCs w:val="24"/>
          <w:shd w:val="clear" w:color="auto" w:fill="FFFFFF"/>
        </w:rPr>
        <w:t>), “</w:t>
      </w:r>
      <w:r>
        <w:rPr>
          <w:rStyle w:val="referencearticle-title"/>
          <w:rFonts w:ascii="Times New Roman" w:hAnsi="Times New Roman" w:cs="Times New Roman"/>
          <w:i/>
          <w:iCs/>
          <w:sz w:val="24"/>
          <w:szCs w:val="24"/>
          <w:shd w:val="clear" w:color="auto" w:fill="FFFFFF"/>
        </w:rPr>
        <w:t>The semantic web</w:t>
      </w:r>
      <w:r>
        <w:rPr>
          <w:rFonts w:ascii="Times New Roman" w:hAnsi="Times New Roman" w:cs="Times New Roman"/>
          <w:sz w:val="24"/>
          <w:szCs w:val="24"/>
          <w:shd w:val="clear" w:color="auto" w:fill="FFFFFF"/>
        </w:rPr>
        <w:t>”, </w:t>
      </w:r>
      <w:r>
        <w:rPr>
          <w:rStyle w:val="referencesource"/>
          <w:rFonts w:ascii="Times New Roman" w:hAnsi="Times New Roman" w:cs="Times New Roman"/>
          <w:sz w:val="24"/>
          <w:szCs w:val="24"/>
          <w:shd w:val="clear" w:color="auto" w:fill="FFFFFF"/>
        </w:rPr>
        <w:t>Scientific American</w:t>
      </w:r>
      <w:r>
        <w:rPr>
          <w:rFonts w:ascii="Times New Roman" w:hAnsi="Times New Roman" w:cs="Times New Roman"/>
          <w:sz w:val="24"/>
          <w:szCs w:val="24"/>
          <w:shd w:val="clear" w:color="auto" w:fill="FFFFFF"/>
        </w:rPr>
        <w:t>, Vol. </w:t>
      </w:r>
      <w:r>
        <w:rPr>
          <w:rStyle w:val="referencevolume"/>
          <w:rFonts w:ascii="Times New Roman" w:hAnsi="Times New Roman" w:cs="Times New Roman"/>
          <w:sz w:val="24"/>
          <w:szCs w:val="24"/>
          <w:shd w:val="clear" w:color="auto" w:fill="FFFFFF"/>
        </w:rPr>
        <w:t>284</w:t>
      </w:r>
      <w:r>
        <w:rPr>
          <w:rFonts w:ascii="Times New Roman" w:hAnsi="Times New Roman" w:cs="Times New Roman"/>
          <w:sz w:val="24"/>
          <w:szCs w:val="24"/>
          <w:shd w:val="clear" w:color="auto" w:fill="FFFFFF"/>
        </w:rPr>
        <w:t> No. </w:t>
      </w:r>
      <w:r>
        <w:rPr>
          <w:rStyle w:val="referenceissue"/>
          <w:rFonts w:ascii="Times New Roman" w:hAnsi="Times New Roman" w:cs="Times New Roman"/>
          <w:sz w:val="24"/>
          <w:szCs w:val="24"/>
          <w:shd w:val="clear" w:color="auto" w:fill="FFFFFF"/>
        </w:rPr>
        <w:t>5</w:t>
      </w:r>
      <w:r>
        <w:rPr>
          <w:rFonts w:ascii="Times New Roman" w:hAnsi="Times New Roman" w:cs="Times New Roman"/>
          <w:sz w:val="24"/>
          <w:szCs w:val="24"/>
          <w:shd w:val="clear" w:color="auto" w:fill="FFFFFF"/>
        </w:rPr>
        <w:t>, pp. </w:t>
      </w:r>
      <w:r>
        <w:rPr>
          <w:rStyle w:val="referencefpage"/>
          <w:rFonts w:ascii="Times New Roman" w:hAnsi="Times New Roman" w:cs="Times New Roman"/>
          <w:sz w:val="24"/>
          <w:szCs w:val="24"/>
          <w:shd w:val="clear" w:color="auto" w:fill="FFFFFF"/>
        </w:rPr>
        <w:t>34</w:t>
      </w:r>
      <w:r>
        <w:rPr>
          <w:rFonts w:ascii="Times New Roman" w:hAnsi="Times New Roman" w:cs="Times New Roman"/>
          <w:sz w:val="24"/>
          <w:szCs w:val="24"/>
          <w:shd w:val="clear" w:color="auto" w:fill="FFFFFF"/>
        </w:rPr>
        <w:t>-</w:t>
      </w:r>
      <w:r>
        <w:rPr>
          <w:rStyle w:val="referencelpage"/>
          <w:rFonts w:ascii="Times New Roman" w:hAnsi="Times New Roman" w:cs="Times New Roman"/>
          <w:sz w:val="24"/>
          <w:szCs w:val="24"/>
          <w:shd w:val="clear" w:color="auto" w:fill="FFFFFF"/>
        </w:rPr>
        <w:t>43</w:t>
      </w:r>
      <w:r>
        <w:rPr>
          <w:rFonts w:ascii="Times New Roman" w:hAnsi="Times New Roman" w:cs="Times New Roman"/>
          <w:sz w:val="24"/>
          <w:szCs w:val="24"/>
          <w:shd w:val="clear" w:color="auto" w:fill="FFFFFF"/>
        </w:rPr>
        <w:t>.</w:t>
      </w:r>
    </w:p>
    <w:p w14:paraId="0F7499B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Bethune, K. S., &amp; Wood, C. L. (2013). Effects of wh-question graphic organizers on reading comprehension skills of students with autism spectrum disorders. </w:t>
      </w:r>
      <w:r>
        <w:rPr>
          <w:rFonts w:ascii="Times New Roman" w:hAnsi="Times New Roman" w:cs="Times New Roman"/>
          <w:i/>
          <w:iCs/>
          <w:color w:val="222222"/>
          <w:sz w:val="24"/>
          <w:szCs w:val="24"/>
          <w:shd w:val="clear" w:color="auto" w:fill="FFFFFF"/>
        </w:rPr>
        <w:t>Education and Training in Autism and Developmental Disabilities</w:t>
      </w:r>
      <w:r>
        <w:rPr>
          <w:rFonts w:ascii="Times New Roman" w:hAnsi="Times New Roman" w:cs="Times New Roman"/>
          <w:color w:val="222222"/>
          <w:sz w:val="24"/>
          <w:szCs w:val="24"/>
          <w:shd w:val="clear" w:color="auto" w:fill="FFFFFF"/>
        </w:rPr>
        <w:t>, 236-244.</w:t>
      </w:r>
    </w:p>
    <w:p w14:paraId="07399C2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Biesta, G. J. (2011). </w:t>
      </w:r>
      <w:r>
        <w:rPr>
          <w:rFonts w:ascii="Times New Roman" w:hAnsi="Times New Roman" w:cs="Times New Roman"/>
          <w:i/>
          <w:iCs/>
          <w:color w:val="222222"/>
          <w:sz w:val="24"/>
          <w:szCs w:val="24"/>
          <w:shd w:val="clear" w:color="auto" w:fill="FFFFFF"/>
        </w:rPr>
        <w:t>Learning democracy in school and society: Education, lifelong learning, and the politics of citizenship</w:t>
      </w:r>
      <w:r>
        <w:rPr>
          <w:rFonts w:ascii="Times New Roman" w:hAnsi="Times New Roman" w:cs="Times New Roman"/>
          <w:color w:val="222222"/>
          <w:sz w:val="24"/>
          <w:szCs w:val="24"/>
          <w:shd w:val="clear" w:color="auto" w:fill="FFFFFF"/>
        </w:rPr>
        <w:t>. Springer Science &amp; Business Media.</w:t>
      </w:r>
    </w:p>
    <w:p w14:paraId="4828777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Biesta, G., Filippakou, O., Wainwright, E., &amp; Aldridge, D. (2019). Why educational research should not just solve problems, but should cause them as well. </w:t>
      </w:r>
      <w:r>
        <w:rPr>
          <w:rFonts w:ascii="Times New Roman" w:hAnsi="Times New Roman" w:cs="Times New Roman"/>
          <w:i/>
          <w:iCs/>
          <w:color w:val="222222"/>
          <w:sz w:val="24"/>
          <w:szCs w:val="24"/>
          <w:shd w:val="clear" w:color="auto" w:fill="FFFFFF"/>
        </w:rPr>
        <w:t>British educational research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45</w:t>
      </w:r>
      <w:r>
        <w:rPr>
          <w:rFonts w:ascii="Times New Roman" w:hAnsi="Times New Roman" w:cs="Times New Roman"/>
          <w:color w:val="222222"/>
          <w:sz w:val="24"/>
          <w:szCs w:val="24"/>
          <w:shd w:val="clear" w:color="auto" w:fill="FFFFFF"/>
        </w:rPr>
        <w:t>(1), 1-4.</w:t>
      </w:r>
    </w:p>
    <w:p w14:paraId="537C986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Black, J. B., &amp; McClintock, R. O. (1996). An interpretation construction approach to constructivist design. </w:t>
      </w:r>
      <w:r>
        <w:rPr>
          <w:rFonts w:ascii="Times New Roman" w:hAnsi="Times New Roman" w:cs="Times New Roman"/>
          <w:i/>
          <w:iCs/>
          <w:color w:val="222222"/>
          <w:sz w:val="24"/>
          <w:szCs w:val="24"/>
          <w:shd w:val="clear" w:color="auto" w:fill="FFFFFF"/>
        </w:rPr>
        <w:t>Constructivist learning environments: Case studies in instructional design</w:t>
      </w:r>
      <w:r>
        <w:rPr>
          <w:rFonts w:ascii="Times New Roman" w:hAnsi="Times New Roman" w:cs="Times New Roman"/>
          <w:color w:val="222222"/>
          <w:sz w:val="24"/>
          <w:szCs w:val="24"/>
          <w:shd w:val="clear" w:color="auto" w:fill="FFFFFF"/>
        </w:rPr>
        <w:t>, 25-31.</w:t>
      </w:r>
    </w:p>
    <w:p w14:paraId="6DF0794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Black, P., &amp; Wiliam, D. (1998). Assessment and classroom learning. </w:t>
      </w:r>
      <w:r>
        <w:rPr>
          <w:rFonts w:ascii="Times New Roman" w:hAnsi="Times New Roman" w:cs="Times New Roman"/>
          <w:i/>
          <w:iCs/>
          <w:color w:val="222222"/>
          <w:sz w:val="24"/>
          <w:szCs w:val="24"/>
          <w:shd w:val="clear" w:color="auto" w:fill="FFFFFF"/>
        </w:rPr>
        <w:t>Assessment in Education: principles, policy &amp; practice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w:t>
      </w:r>
      <w:r>
        <w:rPr>
          <w:rFonts w:ascii="Times New Roman" w:hAnsi="Times New Roman" w:cs="Times New Roman"/>
          <w:color w:val="222222"/>
          <w:sz w:val="24"/>
          <w:szCs w:val="24"/>
          <w:shd w:val="clear" w:color="auto" w:fill="FFFFFF"/>
        </w:rPr>
        <w:t>(1), 7-74.</w:t>
      </w:r>
    </w:p>
    <w:p w14:paraId="3D69269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Bond, P. (2015). Information literacy in MOOCs. </w:t>
      </w:r>
      <w:r>
        <w:rPr>
          <w:rFonts w:ascii="Times New Roman" w:hAnsi="Times New Roman" w:cs="Times New Roman"/>
          <w:i/>
          <w:iCs/>
          <w:color w:val="222222"/>
          <w:sz w:val="24"/>
          <w:szCs w:val="24"/>
          <w:shd w:val="clear" w:color="auto" w:fill="FFFFFF"/>
        </w:rPr>
        <w:t>Current issues in emerging e-learning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w:t>
      </w:r>
      <w:r>
        <w:rPr>
          <w:rFonts w:ascii="Times New Roman" w:hAnsi="Times New Roman" w:cs="Times New Roman"/>
          <w:color w:val="222222"/>
          <w:sz w:val="24"/>
          <w:szCs w:val="24"/>
          <w:shd w:val="clear" w:color="auto" w:fill="FFFFFF"/>
        </w:rPr>
        <w:t>(1), 6.</w:t>
      </w:r>
    </w:p>
    <w:p w14:paraId="05F9E5CB"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Bond, T. (2011). Sauce diagram: Accessed through Accessed 11 March 2018.</w:t>
      </w:r>
    </w:p>
    <w:p w14:paraId="5EF1510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Bora, A., &amp; Ahmed, S. (2020). Secondary school mathematics teachers’ perceptions on technological modern teaching approaches. </w:t>
      </w:r>
      <w:r>
        <w:rPr>
          <w:rFonts w:ascii="Times New Roman" w:hAnsi="Times New Roman" w:cs="Times New Roman"/>
          <w:i/>
          <w:iCs/>
          <w:color w:val="222222"/>
          <w:sz w:val="24"/>
          <w:szCs w:val="24"/>
          <w:shd w:val="clear" w:color="auto" w:fill="FFFFFF"/>
        </w:rPr>
        <w:t>International Journal of Scientific and Technology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w:t>
      </w:r>
      <w:r>
        <w:rPr>
          <w:rFonts w:ascii="Times New Roman" w:hAnsi="Times New Roman" w:cs="Times New Roman"/>
          <w:color w:val="222222"/>
          <w:sz w:val="24"/>
          <w:szCs w:val="24"/>
          <w:shd w:val="clear" w:color="auto" w:fill="FFFFFF"/>
        </w:rPr>
        <w:t>(1), 2418-2423.</w:t>
      </w:r>
    </w:p>
    <w:p w14:paraId="6ABF0AF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Boud, D., &amp; Feletti, G. (1997). Changing problem-based learning: Introduction to the second edition. </w:t>
      </w:r>
      <w:r>
        <w:rPr>
          <w:rFonts w:ascii="Times New Roman" w:hAnsi="Times New Roman" w:cs="Times New Roman"/>
          <w:i/>
          <w:iCs/>
          <w:color w:val="222222"/>
          <w:sz w:val="24"/>
          <w:szCs w:val="24"/>
          <w:shd w:val="clear" w:color="auto" w:fill="FFFFFF"/>
        </w:rPr>
        <w:t>The challenge of problem-based learning</w:t>
      </w:r>
      <w:r>
        <w:rPr>
          <w:rFonts w:ascii="Times New Roman" w:hAnsi="Times New Roman" w:cs="Times New Roman"/>
          <w:color w:val="222222"/>
          <w:sz w:val="24"/>
          <w:szCs w:val="24"/>
          <w:shd w:val="clear" w:color="auto" w:fill="FFFFFF"/>
        </w:rPr>
        <w:t>, 1-14.</w:t>
      </w:r>
    </w:p>
    <w:p w14:paraId="3E142B6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Boumarafi, B. (2010). Electronic resources at the University of Sharjah medical library: an investigation of students' information-seeking behavior. </w:t>
      </w:r>
      <w:r>
        <w:rPr>
          <w:rFonts w:ascii="Times New Roman" w:hAnsi="Times New Roman" w:cs="Times New Roman"/>
          <w:i/>
          <w:iCs/>
          <w:color w:val="222222"/>
          <w:sz w:val="24"/>
          <w:szCs w:val="24"/>
          <w:shd w:val="clear" w:color="auto" w:fill="FFFFFF"/>
        </w:rPr>
        <w:t>Medical reference services quarterly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29</w:t>
      </w:r>
      <w:r>
        <w:rPr>
          <w:rFonts w:ascii="Times New Roman" w:hAnsi="Times New Roman" w:cs="Times New Roman"/>
          <w:color w:val="222222"/>
          <w:sz w:val="24"/>
          <w:szCs w:val="24"/>
          <w:shd w:val="clear" w:color="auto" w:fill="FFFFFF"/>
        </w:rPr>
        <w:t>(4), 349-362.</w:t>
      </w:r>
    </w:p>
    <w:p w14:paraId="26D2C6F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Bouquet, P., Stoermer, H., Giacomuzzi, D., Demartini, G., de Vries, A. P., Iofciu, T., ... &amp; Mühlhäuser, M. (2010). Berners-Lee, T., Hendler, J., Lassila, O. </w:t>
      </w:r>
      <w:r>
        <w:rPr>
          <w:rFonts w:ascii="Times New Roman" w:hAnsi="Times New Roman" w:cs="Times New Roman"/>
          <w:i/>
          <w:iCs/>
          <w:color w:val="222222"/>
          <w:sz w:val="24"/>
          <w:szCs w:val="24"/>
          <w:shd w:val="clear" w:color="auto" w:fill="FFFFFF"/>
        </w:rPr>
        <w:t>Digital Humanities 2010</w:t>
      </w:r>
      <w:r>
        <w:rPr>
          <w:rFonts w:ascii="Times New Roman" w:hAnsi="Times New Roman" w:cs="Times New Roman"/>
          <w:color w:val="222222"/>
          <w:sz w:val="24"/>
          <w:szCs w:val="24"/>
          <w:shd w:val="clear" w:color="auto" w:fill="FFFFFF"/>
        </w:rPr>
        <w:t>, 94.</w:t>
      </w:r>
    </w:p>
    <w:p w14:paraId="7F26FD4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Braidotti, R. (2019). A theoretical framework for the critical posthumanities. </w:t>
      </w:r>
      <w:r>
        <w:rPr>
          <w:rFonts w:ascii="Times New Roman" w:hAnsi="Times New Roman" w:cs="Times New Roman"/>
          <w:i/>
          <w:iCs/>
          <w:color w:val="222222"/>
          <w:sz w:val="24"/>
          <w:szCs w:val="24"/>
          <w:shd w:val="clear" w:color="auto" w:fill="FFFFFF"/>
        </w:rPr>
        <w:t>Theory, culture &amp; society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36</w:t>
      </w:r>
      <w:r>
        <w:rPr>
          <w:rFonts w:ascii="Times New Roman" w:hAnsi="Times New Roman" w:cs="Times New Roman"/>
          <w:color w:val="222222"/>
          <w:sz w:val="24"/>
          <w:szCs w:val="24"/>
          <w:shd w:val="clear" w:color="auto" w:fill="FFFFFF"/>
        </w:rPr>
        <w:t>(6), 31-61.</w:t>
      </w:r>
    </w:p>
    <w:p w14:paraId="15CFF5B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eastAsia="Calibri" w:hAnsi="Times New Roman" w:cs="Times New Roman"/>
          <w:sz w:val="24"/>
          <w:szCs w:val="24"/>
        </w:rPr>
        <w:t xml:space="preserve">Brant, J. (2001). </w:t>
      </w:r>
      <w:r>
        <w:rPr>
          <w:rFonts w:ascii="Times New Roman" w:hAnsi="Times New Roman" w:cs="Times New Roman"/>
          <w:color w:val="222222"/>
          <w:sz w:val="24"/>
          <w:szCs w:val="24"/>
          <w:shd w:val="clear" w:color="auto" w:fill="FFFFFF"/>
        </w:rPr>
        <w:t>Librarians as literacy sponsors: A critique of information literacy assessment tools. </w:t>
      </w:r>
      <w:r>
        <w:rPr>
          <w:rFonts w:ascii="Times New Roman" w:hAnsi="Times New Roman" w:cs="Times New Roman"/>
          <w:i/>
          <w:iCs/>
          <w:color w:val="222222"/>
          <w:sz w:val="24"/>
          <w:szCs w:val="24"/>
          <w:shd w:val="clear" w:color="auto" w:fill="FFFFFF"/>
        </w:rPr>
        <w:t>Progressive Librarian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33</w:t>
      </w:r>
      <w:r>
        <w:rPr>
          <w:rFonts w:ascii="Times New Roman" w:hAnsi="Times New Roman" w:cs="Times New Roman"/>
          <w:color w:val="222222"/>
          <w:sz w:val="24"/>
          <w:szCs w:val="24"/>
          <w:shd w:val="clear" w:color="auto" w:fill="FFFFFF"/>
        </w:rPr>
        <w:t>, 18-25.</w:t>
      </w:r>
    </w:p>
    <w:p w14:paraId="66136F9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Breivik, P. S. (2018). </w:t>
      </w:r>
      <w:r>
        <w:rPr>
          <w:rFonts w:ascii="Times New Roman" w:hAnsi="Times New Roman" w:cs="Times New Roman"/>
          <w:i/>
          <w:iCs/>
          <w:color w:val="222222"/>
          <w:sz w:val="24"/>
          <w:szCs w:val="24"/>
          <w:shd w:val="clear" w:color="auto" w:fill="FFFFFF"/>
        </w:rPr>
        <w:t>Student Learning in the Information Age. American Council on Education Series on Higher Education</w:t>
      </w:r>
      <w:r>
        <w:rPr>
          <w:rFonts w:ascii="Times New Roman" w:hAnsi="Times New Roman" w:cs="Times New Roman"/>
          <w:color w:val="222222"/>
          <w:sz w:val="24"/>
          <w:szCs w:val="24"/>
          <w:shd w:val="clear" w:color="auto" w:fill="FFFFFF"/>
        </w:rPr>
        <w:t>. Oryx Press, PO Box 33889, Phoenix, AZ 85067-3889.</w:t>
      </w:r>
    </w:p>
    <w:p w14:paraId="12ACA71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Bruce, C. (1997). The seven faces of information literacy.</w:t>
      </w:r>
    </w:p>
    <w:p w14:paraId="049399F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05" w:name="_Hlk129089051"/>
      <w:r>
        <w:rPr>
          <w:rFonts w:ascii="Times New Roman" w:hAnsi="Times New Roman" w:cs="Times New Roman"/>
          <w:color w:val="222222"/>
          <w:sz w:val="24"/>
          <w:szCs w:val="24"/>
          <w:shd w:val="clear" w:color="auto" w:fill="FFFFFF"/>
        </w:rPr>
        <w:t>Bruce, C. (2000). Information literacy programs and research: An international review. </w:t>
      </w:r>
      <w:r>
        <w:rPr>
          <w:rFonts w:ascii="Times New Roman" w:hAnsi="Times New Roman" w:cs="Times New Roman"/>
          <w:i/>
          <w:iCs/>
          <w:color w:val="222222"/>
          <w:sz w:val="24"/>
          <w:szCs w:val="24"/>
          <w:shd w:val="clear" w:color="auto" w:fill="FFFFFF"/>
        </w:rPr>
        <w:t>The Australian Library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49</w:t>
      </w:r>
      <w:r>
        <w:rPr>
          <w:rFonts w:ascii="Times New Roman" w:hAnsi="Times New Roman" w:cs="Times New Roman"/>
          <w:color w:val="222222"/>
          <w:sz w:val="24"/>
          <w:szCs w:val="24"/>
          <w:shd w:val="clear" w:color="auto" w:fill="FFFFFF"/>
        </w:rPr>
        <w:t>(3), 209-218.</w:t>
      </w:r>
    </w:p>
    <w:p w14:paraId="2D8571F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Bruce, C. (2001). Faculty‐librarian partnerships in Australian higher education: critical dimensions. </w:t>
      </w:r>
      <w:r>
        <w:rPr>
          <w:rFonts w:ascii="Times New Roman" w:hAnsi="Times New Roman" w:cs="Times New Roman"/>
          <w:i/>
          <w:iCs/>
          <w:color w:val="222222"/>
          <w:sz w:val="24"/>
          <w:szCs w:val="24"/>
          <w:shd w:val="clear" w:color="auto" w:fill="FFFFFF"/>
        </w:rPr>
        <w:t>Reference services review</w:t>
      </w:r>
      <w:r>
        <w:rPr>
          <w:rFonts w:ascii="Times New Roman" w:hAnsi="Times New Roman" w:cs="Times New Roman"/>
          <w:color w:val="222222"/>
          <w:sz w:val="24"/>
          <w:szCs w:val="24"/>
          <w:shd w:val="clear" w:color="auto" w:fill="FFFFFF"/>
        </w:rPr>
        <w:t>.</w:t>
      </w:r>
    </w:p>
    <w:bookmarkEnd w:id="2405"/>
    <w:p w14:paraId="7370F7A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Bruce, C. (2001). Information literacy as a catalyst for educational change: A background paper. In </w:t>
      </w:r>
      <w:r>
        <w:rPr>
          <w:rFonts w:ascii="Times New Roman" w:hAnsi="Times New Roman" w:cs="Times New Roman"/>
          <w:i/>
          <w:iCs/>
          <w:color w:val="222222"/>
          <w:sz w:val="24"/>
          <w:szCs w:val="24"/>
          <w:shd w:val="clear" w:color="auto" w:fill="FFFFFF"/>
        </w:rPr>
        <w:t>International information literacy conferences and meetings</w:t>
      </w:r>
      <w:r>
        <w:rPr>
          <w:rFonts w:ascii="Times New Roman" w:hAnsi="Times New Roman" w:cs="Times New Roman"/>
          <w:color w:val="222222"/>
          <w:sz w:val="24"/>
          <w:szCs w:val="24"/>
          <w:shd w:val="clear" w:color="auto" w:fill="FFFFFF"/>
        </w:rPr>
        <w:t> (pp. 1-17). NCLIS. gov.</w:t>
      </w:r>
    </w:p>
    <w:p w14:paraId="4FD997F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Bruce, C. (2001). Interpreting the scope of their literature reviews: significant differences in research students’ concerns. </w:t>
      </w:r>
      <w:r>
        <w:rPr>
          <w:rFonts w:ascii="Times New Roman" w:hAnsi="Times New Roman" w:cs="Times New Roman"/>
          <w:i/>
          <w:iCs/>
          <w:color w:val="222222"/>
          <w:sz w:val="24"/>
          <w:szCs w:val="24"/>
          <w:shd w:val="clear" w:color="auto" w:fill="FFFFFF"/>
        </w:rPr>
        <w:t>New Library World</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102</w:t>
      </w:r>
      <w:r>
        <w:rPr>
          <w:rFonts w:ascii="Times New Roman" w:hAnsi="Times New Roman" w:cs="Times New Roman"/>
          <w:color w:val="222222"/>
          <w:sz w:val="24"/>
          <w:szCs w:val="24"/>
          <w:shd w:val="clear" w:color="auto" w:fill="FFFFFF"/>
        </w:rPr>
        <w:t>(4/5), 158-166.</w:t>
      </w:r>
    </w:p>
    <w:p w14:paraId="69A881F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Bruce, C. (2003). Information literacy as a catalyst for educational change: A background paper. In </w:t>
      </w:r>
      <w:r>
        <w:rPr>
          <w:rFonts w:ascii="Times New Roman" w:hAnsi="Times New Roman" w:cs="Times New Roman"/>
          <w:i/>
          <w:iCs/>
          <w:color w:val="222222"/>
          <w:sz w:val="24"/>
          <w:szCs w:val="24"/>
          <w:shd w:val="clear" w:color="auto" w:fill="FFFFFF"/>
        </w:rPr>
        <w:t>International information literacy conferences and meetings</w:t>
      </w:r>
      <w:r>
        <w:rPr>
          <w:rFonts w:ascii="Times New Roman" w:hAnsi="Times New Roman" w:cs="Times New Roman"/>
          <w:color w:val="222222"/>
          <w:sz w:val="24"/>
          <w:szCs w:val="24"/>
          <w:shd w:val="clear" w:color="auto" w:fill="FFFFFF"/>
        </w:rPr>
        <w:t> (pp. 1-17). NCLIS. gov.</w:t>
      </w:r>
    </w:p>
    <w:p w14:paraId="008F2F1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Bruce, C. S. (1999). Workplace experiences of information literacy. </w:t>
      </w:r>
      <w:r>
        <w:rPr>
          <w:rFonts w:ascii="Times New Roman" w:hAnsi="Times New Roman" w:cs="Times New Roman"/>
          <w:i/>
          <w:iCs/>
          <w:color w:val="222222"/>
          <w:sz w:val="24"/>
          <w:szCs w:val="24"/>
          <w:shd w:val="clear" w:color="auto" w:fill="FFFFFF"/>
        </w:rPr>
        <w:t>International journal of information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19</w:t>
      </w:r>
      <w:r>
        <w:rPr>
          <w:rFonts w:ascii="Times New Roman" w:hAnsi="Times New Roman" w:cs="Times New Roman"/>
          <w:color w:val="222222"/>
          <w:sz w:val="24"/>
          <w:szCs w:val="24"/>
          <w:shd w:val="clear" w:color="auto" w:fill="FFFFFF"/>
        </w:rPr>
        <w:t>(1), 33-47.</w:t>
      </w:r>
    </w:p>
    <w:p w14:paraId="100E1B9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Bruce, C. S., Demasson, A., Hughes, H., Lupton, M., Sayyad Abdi, E., Maybee, C., ... &amp; Mirijamdotter, A. (2017). Information literacy and informed learning: Conceptual innovations for IL research and practice futures. </w:t>
      </w:r>
      <w:r>
        <w:rPr>
          <w:rFonts w:ascii="Times New Roman" w:hAnsi="Times New Roman" w:cs="Times New Roman"/>
          <w:i/>
          <w:iCs/>
          <w:color w:val="222222"/>
          <w:sz w:val="24"/>
          <w:szCs w:val="24"/>
          <w:shd w:val="clear" w:color="auto" w:fill="FFFFFF"/>
        </w:rPr>
        <w:t>Journal of Information Literacy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(1).</w:t>
      </w:r>
    </w:p>
    <w:p w14:paraId="0846077E" w14:textId="77777777" w:rsidR="00B01D46" w:rsidRDefault="0067013E">
      <w:pPr>
        <w:spacing w:after="0"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019A274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Bruce, C. S., Somerville, M. M., Stoodley, I., &amp; Partridge, H. (2013). Diversifying information literacy research: An informed learning perspective. In </w:t>
      </w:r>
      <w:r>
        <w:rPr>
          <w:rFonts w:ascii="Times New Roman" w:hAnsi="Times New Roman" w:cs="Times New Roman"/>
          <w:i/>
          <w:iCs/>
          <w:color w:val="222222"/>
          <w:sz w:val="24"/>
          <w:szCs w:val="24"/>
          <w:shd w:val="clear" w:color="auto" w:fill="FFFFFF"/>
        </w:rPr>
        <w:t>Developing people’s information capabilities: Fostering information literacy in educational, workplace and community contexts</w:t>
      </w:r>
      <w:r>
        <w:rPr>
          <w:rFonts w:ascii="Times New Roman" w:hAnsi="Times New Roman" w:cs="Times New Roman"/>
          <w:color w:val="222222"/>
          <w:sz w:val="24"/>
          <w:szCs w:val="24"/>
          <w:shd w:val="clear" w:color="auto" w:fill="FFFFFF"/>
        </w:rPr>
        <w:t> (Vol. 8, pp. 223-240). Emerald Group Publishing Limited.</w:t>
      </w:r>
    </w:p>
    <w:p w14:paraId="11E0CCD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Bruce, C., Edwards, S., &amp; Lupton, M. (2006). Six Frames for Information literacy Education: a conceptual framework for interpreting the relationships between theory and practice. </w:t>
      </w:r>
      <w:r>
        <w:rPr>
          <w:rFonts w:ascii="Times New Roman" w:hAnsi="Times New Roman" w:cs="Times New Roman"/>
          <w:i/>
          <w:iCs/>
          <w:color w:val="222222"/>
          <w:sz w:val="24"/>
          <w:szCs w:val="24"/>
          <w:shd w:val="clear" w:color="auto" w:fill="FFFFFF"/>
        </w:rPr>
        <w:t>Innovation in Teaching and Learning in Information and Computer Sciences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w:t>
      </w:r>
      <w:r>
        <w:rPr>
          <w:rFonts w:ascii="Times New Roman" w:hAnsi="Times New Roman" w:cs="Times New Roman"/>
          <w:color w:val="222222"/>
          <w:sz w:val="24"/>
          <w:szCs w:val="24"/>
          <w:shd w:val="clear" w:color="auto" w:fill="FFFFFF"/>
        </w:rPr>
        <w:t>(1), 1-18.</w:t>
      </w:r>
    </w:p>
    <w:p w14:paraId="781ECBE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Bruce, J. P., &amp; Clark, R. H. (2013). </w:t>
      </w:r>
      <w:r>
        <w:rPr>
          <w:rFonts w:ascii="Times New Roman" w:hAnsi="Times New Roman" w:cs="Times New Roman"/>
          <w:i/>
          <w:iCs/>
          <w:color w:val="222222"/>
          <w:sz w:val="24"/>
          <w:szCs w:val="24"/>
          <w:shd w:val="clear" w:color="auto" w:fill="FFFFFF"/>
        </w:rPr>
        <w:t>Introduction to Hydrometeorology: Pergamon International Library of Science, Technology, Engineering and Social Studies</w:t>
      </w:r>
      <w:r>
        <w:rPr>
          <w:rFonts w:ascii="Times New Roman" w:hAnsi="Times New Roman" w:cs="Times New Roman"/>
          <w:color w:val="222222"/>
          <w:sz w:val="24"/>
          <w:szCs w:val="24"/>
          <w:shd w:val="clear" w:color="auto" w:fill="FFFFFF"/>
        </w:rPr>
        <w:t>. Elsevier.</w:t>
      </w:r>
    </w:p>
    <w:p w14:paraId="5081334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Bruner, J. S. (1961). The act of discovery. </w:t>
      </w:r>
      <w:r>
        <w:rPr>
          <w:rFonts w:ascii="Times New Roman" w:hAnsi="Times New Roman" w:cs="Times New Roman"/>
          <w:i/>
          <w:iCs/>
          <w:color w:val="222222"/>
          <w:sz w:val="24"/>
          <w:szCs w:val="24"/>
          <w:shd w:val="clear" w:color="auto" w:fill="FFFFFF"/>
        </w:rPr>
        <w:t>Understanding Children</w:t>
      </w:r>
      <w:r>
        <w:rPr>
          <w:rFonts w:ascii="Times New Roman" w:hAnsi="Times New Roman" w:cs="Times New Roman"/>
          <w:color w:val="222222"/>
          <w:sz w:val="24"/>
          <w:szCs w:val="24"/>
          <w:shd w:val="clear" w:color="auto" w:fill="FFFFFF"/>
        </w:rPr>
        <w:t>, 10-24.</w:t>
      </w:r>
    </w:p>
    <w:p w14:paraId="079A482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Bryman, A. (2004). Encyclopedia of social science research methods. </w:t>
      </w:r>
      <w:r>
        <w:rPr>
          <w:rFonts w:ascii="Times New Roman" w:hAnsi="Times New Roman" w:cs="Times New Roman"/>
          <w:i/>
          <w:iCs/>
          <w:color w:val="222222"/>
          <w:sz w:val="24"/>
          <w:szCs w:val="24"/>
          <w:shd w:val="clear" w:color="auto" w:fill="FFFFFF"/>
        </w:rPr>
        <w:t>Encycl. Soc. Sci. Res. Methods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1143</w:t>
      </w:r>
      <w:r>
        <w:rPr>
          <w:rFonts w:ascii="Times New Roman" w:hAnsi="Times New Roman" w:cs="Times New Roman"/>
          <w:color w:val="222222"/>
          <w:sz w:val="24"/>
          <w:szCs w:val="24"/>
          <w:shd w:val="clear" w:color="auto" w:fill="FFFFFF"/>
        </w:rPr>
        <w:t>, 1144.</w:t>
      </w:r>
    </w:p>
    <w:p w14:paraId="44CF9E1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Bryman, A., &amp; Cramer, D. (2012). </w:t>
      </w:r>
      <w:r>
        <w:rPr>
          <w:rFonts w:ascii="Times New Roman" w:hAnsi="Times New Roman" w:cs="Times New Roman"/>
          <w:i/>
          <w:iCs/>
          <w:color w:val="222222"/>
          <w:sz w:val="24"/>
          <w:szCs w:val="24"/>
          <w:shd w:val="clear" w:color="auto" w:fill="FFFFFF"/>
        </w:rPr>
        <w:t>Quantitative data analysis with IBM SPSS 17, 18 &amp; 19: A guide for social scientists</w:t>
      </w:r>
      <w:r>
        <w:rPr>
          <w:rFonts w:ascii="Times New Roman" w:hAnsi="Times New Roman" w:cs="Times New Roman"/>
          <w:color w:val="222222"/>
          <w:sz w:val="24"/>
          <w:szCs w:val="24"/>
          <w:shd w:val="clear" w:color="auto" w:fill="FFFFFF"/>
        </w:rPr>
        <w:t>. Routledge.</w:t>
      </w:r>
    </w:p>
    <w:p w14:paraId="6BF0DDF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Buarki, H., Hepworth, M., &amp; Murray, I. (2011). ICT skills and employability needs at the LIS programme Kuwait: a literature review. </w:t>
      </w:r>
      <w:r>
        <w:rPr>
          <w:rFonts w:ascii="Times New Roman" w:hAnsi="Times New Roman" w:cs="Times New Roman"/>
          <w:i/>
          <w:iCs/>
          <w:color w:val="222222"/>
          <w:sz w:val="24"/>
          <w:szCs w:val="24"/>
          <w:shd w:val="clear" w:color="auto" w:fill="FFFFFF"/>
        </w:rPr>
        <w:t>New Library World</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112</w:t>
      </w:r>
      <w:r>
        <w:rPr>
          <w:rFonts w:ascii="Times New Roman" w:hAnsi="Times New Roman" w:cs="Times New Roman"/>
          <w:color w:val="222222"/>
          <w:sz w:val="24"/>
          <w:szCs w:val="24"/>
          <w:shd w:val="clear" w:color="auto" w:fill="FFFFFF"/>
        </w:rPr>
        <w:t>(11/12), 499-512.</w:t>
      </w:r>
    </w:p>
    <w:p w14:paraId="127FAE5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Bundy, A. (2004). Australian and New Zealand information literacy framework. </w:t>
      </w:r>
      <w:r>
        <w:rPr>
          <w:rFonts w:ascii="Times New Roman" w:hAnsi="Times New Roman" w:cs="Times New Roman"/>
          <w:i/>
          <w:iCs/>
          <w:color w:val="222222"/>
          <w:sz w:val="24"/>
          <w:szCs w:val="24"/>
          <w:shd w:val="clear" w:color="auto" w:fill="FFFFFF"/>
        </w:rPr>
        <w:t>Principles, standards and practice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w:t>
      </w:r>
      <w:r>
        <w:rPr>
          <w:rFonts w:ascii="Times New Roman" w:hAnsi="Times New Roman" w:cs="Times New Roman"/>
          <w:color w:val="222222"/>
          <w:sz w:val="24"/>
          <w:szCs w:val="24"/>
          <w:shd w:val="clear" w:color="auto" w:fill="FFFFFF"/>
        </w:rPr>
        <w:t>, 48.</w:t>
      </w:r>
    </w:p>
    <w:p w14:paraId="474EF06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Bury, S. (2011). Faculty attitudes, perceptions and experiences of information literacy: a study across multiple disciplines at York University, Canada. </w:t>
      </w:r>
      <w:r>
        <w:rPr>
          <w:rFonts w:ascii="Times New Roman" w:hAnsi="Times New Roman" w:cs="Times New Roman"/>
          <w:i/>
          <w:iCs/>
          <w:color w:val="222222"/>
          <w:sz w:val="24"/>
          <w:szCs w:val="24"/>
          <w:shd w:val="clear" w:color="auto" w:fill="FFFFFF"/>
        </w:rPr>
        <w:t>Journal of information literacy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w:t>
      </w:r>
      <w:r>
        <w:rPr>
          <w:rFonts w:ascii="Times New Roman" w:hAnsi="Times New Roman" w:cs="Times New Roman"/>
          <w:color w:val="222222"/>
          <w:sz w:val="24"/>
          <w:szCs w:val="24"/>
          <w:shd w:val="clear" w:color="auto" w:fill="FFFFFF"/>
        </w:rPr>
        <w:t>(1), 45-64.</w:t>
      </w:r>
    </w:p>
    <w:p w14:paraId="3A6A7CB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Bury, S. (2016). Learning from faculty voices on information literacy: Opportunities and challenges for undergraduate information literacy education. </w:t>
      </w:r>
      <w:r>
        <w:rPr>
          <w:rFonts w:ascii="Times New Roman" w:hAnsi="Times New Roman" w:cs="Times New Roman"/>
          <w:i/>
          <w:iCs/>
          <w:color w:val="222222"/>
          <w:sz w:val="24"/>
          <w:szCs w:val="24"/>
          <w:shd w:val="clear" w:color="auto" w:fill="FFFFFF"/>
        </w:rPr>
        <w:t>Reference Services Review</w:t>
      </w:r>
      <w:r>
        <w:rPr>
          <w:rFonts w:ascii="Times New Roman" w:hAnsi="Times New Roman" w:cs="Times New Roman"/>
          <w:color w:val="222222"/>
          <w:sz w:val="24"/>
          <w:szCs w:val="24"/>
          <w:shd w:val="clear" w:color="auto" w:fill="FFFFFF"/>
        </w:rPr>
        <w:t>.</w:t>
      </w:r>
    </w:p>
    <w:p w14:paraId="22400AC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Buzzetto-More, N. (2009). Using web-enabled project-based learning to build information literacy. </w:t>
      </w:r>
      <w:r>
        <w:rPr>
          <w:rFonts w:ascii="Times New Roman" w:hAnsi="Times New Roman" w:cs="Times New Roman"/>
          <w:i/>
          <w:iCs/>
          <w:color w:val="222222"/>
          <w:sz w:val="24"/>
          <w:szCs w:val="24"/>
          <w:shd w:val="clear" w:color="auto" w:fill="FFFFFF"/>
        </w:rPr>
        <w:t>Issues in Information and Media Literacy: Education, Practice and Pedagogy</w:t>
      </w:r>
      <w:r>
        <w:rPr>
          <w:rFonts w:ascii="Times New Roman" w:hAnsi="Times New Roman" w:cs="Times New Roman"/>
          <w:color w:val="222222"/>
          <w:sz w:val="24"/>
          <w:szCs w:val="24"/>
          <w:shd w:val="clear" w:color="auto" w:fill="FFFFFF"/>
        </w:rPr>
        <w:t>, 51-74.</w:t>
      </w:r>
    </w:p>
    <w:p w14:paraId="0DEAE71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Buzzetto-More, N. (2015). Student attitudes towards the integration of YouTube in online, hybrid, and web-assisted courses: An examination of the impact of course modality on perception. </w:t>
      </w:r>
      <w:r>
        <w:rPr>
          <w:rFonts w:ascii="Times New Roman" w:hAnsi="Times New Roman" w:cs="Times New Roman"/>
          <w:i/>
          <w:iCs/>
          <w:color w:val="222222"/>
          <w:sz w:val="24"/>
          <w:szCs w:val="24"/>
          <w:shd w:val="clear" w:color="auto" w:fill="FFFFFF"/>
        </w:rPr>
        <w:t>Journal of Online Learning and Teaching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(1), 55.</w:t>
      </w:r>
    </w:p>
    <w:p w14:paraId="07AF181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Calmorin, E. A., &amp; Calmorin, M. A. (2007). Research Methods and Thesis Writing; Rex Bookstore. </w:t>
      </w:r>
      <w:r>
        <w:rPr>
          <w:rFonts w:ascii="Times New Roman" w:hAnsi="Times New Roman" w:cs="Times New Roman"/>
          <w:i/>
          <w:iCs/>
          <w:color w:val="222222"/>
          <w:sz w:val="24"/>
          <w:szCs w:val="24"/>
          <w:shd w:val="clear" w:color="auto" w:fill="FFFFFF"/>
        </w:rPr>
        <w:t>Inc.: Manila, Philippines</w:t>
      </w:r>
      <w:r>
        <w:rPr>
          <w:rFonts w:ascii="Times New Roman" w:hAnsi="Times New Roman" w:cs="Times New Roman"/>
          <w:color w:val="222222"/>
          <w:sz w:val="24"/>
          <w:szCs w:val="24"/>
          <w:shd w:val="clear" w:color="auto" w:fill="FFFFFF"/>
        </w:rPr>
        <w:t>.</w:t>
      </w:r>
    </w:p>
    <w:p w14:paraId="633B3A6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Cannell, C. F., &amp; Kahn, R. L. (1953). The collection of data by interviewing. </w:t>
      </w:r>
      <w:r>
        <w:rPr>
          <w:rFonts w:ascii="Times New Roman" w:hAnsi="Times New Roman" w:cs="Times New Roman"/>
          <w:i/>
          <w:iCs/>
          <w:color w:val="222222"/>
          <w:sz w:val="24"/>
          <w:szCs w:val="24"/>
          <w:shd w:val="clear" w:color="auto" w:fill="FFFFFF"/>
        </w:rPr>
        <w:t>Research methods in the behavioral sciences</w:t>
      </w:r>
      <w:r>
        <w:rPr>
          <w:rFonts w:ascii="Times New Roman" w:hAnsi="Times New Roman" w:cs="Times New Roman"/>
          <w:color w:val="222222"/>
          <w:sz w:val="24"/>
          <w:szCs w:val="24"/>
          <w:shd w:val="clear" w:color="auto" w:fill="FFFFFF"/>
        </w:rPr>
        <w:t>, 327-80.</w:t>
      </w:r>
    </w:p>
    <w:p w14:paraId="723CC01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Caracelli, V. J., &amp; Greene, J. C. (1997). Crafting mixed-method evaluation designs. </w:t>
      </w:r>
      <w:r>
        <w:rPr>
          <w:rFonts w:ascii="Times New Roman" w:hAnsi="Times New Roman" w:cs="Times New Roman"/>
          <w:i/>
          <w:iCs/>
          <w:color w:val="222222"/>
          <w:sz w:val="24"/>
          <w:szCs w:val="24"/>
          <w:shd w:val="clear" w:color="auto" w:fill="FFFFFF"/>
        </w:rPr>
        <w:t>New directions for evaluation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74</w:t>
      </w:r>
      <w:r>
        <w:rPr>
          <w:rFonts w:ascii="Times New Roman" w:hAnsi="Times New Roman" w:cs="Times New Roman"/>
          <w:color w:val="222222"/>
          <w:sz w:val="24"/>
          <w:szCs w:val="24"/>
          <w:shd w:val="clear" w:color="auto" w:fill="FFFFFF"/>
        </w:rPr>
        <w:t>, 19-32.</w:t>
      </w:r>
    </w:p>
    <w:p w14:paraId="1FA2D69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Carmines, E. G., &amp; Zeller, R. A. (1979). </w:t>
      </w:r>
      <w:r>
        <w:rPr>
          <w:rFonts w:ascii="Times New Roman" w:hAnsi="Times New Roman" w:cs="Times New Roman"/>
          <w:i/>
          <w:iCs/>
          <w:color w:val="222222"/>
          <w:sz w:val="24"/>
          <w:szCs w:val="24"/>
          <w:shd w:val="clear" w:color="auto" w:fill="FFFFFF"/>
        </w:rPr>
        <w:t>Reliability and validity assessment</w:t>
      </w:r>
      <w:r>
        <w:rPr>
          <w:rFonts w:ascii="Times New Roman" w:hAnsi="Times New Roman" w:cs="Times New Roman"/>
          <w:color w:val="222222"/>
          <w:sz w:val="24"/>
          <w:szCs w:val="24"/>
          <w:shd w:val="clear" w:color="auto" w:fill="FFFFFF"/>
        </w:rPr>
        <w:t>. Sage publications.</w:t>
      </w:r>
    </w:p>
    <w:p w14:paraId="450EAE8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Chacha, N. C. (2004, August). Reforming higher education in Kenya: Challenges, lessons and opportunities. In </w:t>
      </w:r>
      <w:r>
        <w:rPr>
          <w:rFonts w:ascii="Times New Roman" w:hAnsi="Times New Roman" w:cs="Times New Roman"/>
          <w:i/>
          <w:iCs/>
          <w:color w:val="222222"/>
          <w:sz w:val="24"/>
          <w:szCs w:val="24"/>
          <w:shd w:val="clear" w:color="auto" w:fill="FFFFFF"/>
        </w:rPr>
        <w:t>State University of New York workshop with the Parliamentary Committee on Education, Science and Technology, Naivasha, Kenya</w:t>
      </w:r>
      <w:r>
        <w:rPr>
          <w:rFonts w:ascii="Times New Roman" w:hAnsi="Times New Roman" w:cs="Times New Roman"/>
          <w:color w:val="222222"/>
          <w:sz w:val="24"/>
          <w:szCs w:val="24"/>
          <w:shd w:val="clear" w:color="auto" w:fill="FFFFFF"/>
        </w:rPr>
        <w:t>.</w:t>
      </w:r>
    </w:p>
    <w:p w14:paraId="5F4A44D0" w14:textId="77777777" w:rsidR="00B01D46" w:rsidRDefault="0067013E">
      <w:pPr>
        <w:spacing w:line="240" w:lineRule="auto"/>
        <w:ind w:left="720" w:hanging="720"/>
        <w:jc w:val="both"/>
        <w:rPr>
          <w:rFonts w:ascii="Times New Roman" w:hAnsi="Times New Roman" w:cs="Times New Roman"/>
          <w:color w:val="555555"/>
          <w:sz w:val="24"/>
          <w:szCs w:val="24"/>
          <w:shd w:val="clear" w:color="auto" w:fill="FFFFFF"/>
        </w:rPr>
      </w:pPr>
      <w:r>
        <w:rPr>
          <w:rFonts w:ascii="Times New Roman" w:hAnsi="Times New Roman" w:cs="Times New Roman"/>
          <w:sz w:val="24"/>
          <w:szCs w:val="24"/>
        </w:rPr>
        <w:t>Chan, L. et al 2002. Budapest Open Access Initiative. New York: Open Society Institute. Available at: http://www.soros.org/openaccess/read.shtm</w:t>
      </w:r>
    </w:p>
    <w:p w14:paraId="3F3EBC4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Chander, G., &amp; Markham, B. (2003). Revised Landsat-5 TM radiometric calibration procedures and postcalibration dynamic ranges. </w:t>
      </w:r>
      <w:r>
        <w:rPr>
          <w:rFonts w:ascii="Times New Roman" w:hAnsi="Times New Roman" w:cs="Times New Roman"/>
          <w:i/>
          <w:iCs/>
          <w:color w:val="222222"/>
          <w:sz w:val="24"/>
          <w:szCs w:val="24"/>
          <w:shd w:val="clear" w:color="auto" w:fill="FFFFFF"/>
        </w:rPr>
        <w:t>IEEE Transactions on geoscience and remote sensing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41</w:t>
      </w:r>
      <w:r>
        <w:rPr>
          <w:rFonts w:ascii="Times New Roman" w:hAnsi="Times New Roman" w:cs="Times New Roman"/>
          <w:color w:val="222222"/>
          <w:sz w:val="24"/>
          <w:szCs w:val="24"/>
          <w:shd w:val="clear" w:color="auto" w:fill="FFFFFF"/>
        </w:rPr>
        <w:t>(11), 2674-2677.</w:t>
      </w:r>
    </w:p>
    <w:p w14:paraId="64C8B12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Chege, M. N., Keiza, E. M., &amp; Omuga, B. O. (2017). Assessment of parents' perception of quality of pediatric oncology inpatient care at Kenyatta National Hospital. </w:t>
      </w:r>
      <w:r>
        <w:rPr>
          <w:rFonts w:ascii="Times New Roman" w:hAnsi="Times New Roman" w:cs="Times New Roman"/>
          <w:i/>
          <w:iCs/>
          <w:color w:val="222222"/>
          <w:sz w:val="24"/>
          <w:szCs w:val="24"/>
          <w:shd w:val="clear" w:color="auto" w:fill="FFFFFF"/>
        </w:rPr>
        <w:t>Asia-Pacific Journal of Oncology Nursing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(1), 29-37.</w:t>
      </w:r>
    </w:p>
    <w:p w14:paraId="0241E19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Choi, Y., &amp; Rasmussen, E. (2009). What qualifications and skills are important for digital librarian positions in academic libraries? A job advertisement analysis. </w:t>
      </w:r>
      <w:r>
        <w:rPr>
          <w:rFonts w:ascii="Times New Roman" w:hAnsi="Times New Roman" w:cs="Times New Roman"/>
          <w:i/>
          <w:iCs/>
          <w:color w:val="222222"/>
          <w:sz w:val="24"/>
          <w:szCs w:val="24"/>
          <w:shd w:val="clear" w:color="auto" w:fill="FFFFFF"/>
        </w:rPr>
        <w:t>The journal of academic librarianship</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35</w:t>
      </w:r>
      <w:r>
        <w:rPr>
          <w:rFonts w:ascii="Times New Roman" w:hAnsi="Times New Roman" w:cs="Times New Roman"/>
          <w:color w:val="222222"/>
          <w:sz w:val="24"/>
          <w:szCs w:val="24"/>
          <w:shd w:val="clear" w:color="auto" w:fill="FFFFFF"/>
        </w:rPr>
        <w:t>(5), 457-467.</w:t>
      </w:r>
    </w:p>
    <w:p w14:paraId="34783A5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Chow, K. Chu, S. K. W &amp; Tse, S. K (2011). Using collaborative teaching and inquiry project-based learning to help primary school students develop information literacy and information skills. </w:t>
      </w:r>
      <w:r>
        <w:rPr>
          <w:rFonts w:ascii="Times New Roman" w:hAnsi="Times New Roman" w:cs="Times New Roman"/>
          <w:i/>
          <w:iCs/>
          <w:color w:val="222222"/>
          <w:sz w:val="24"/>
          <w:szCs w:val="24"/>
          <w:shd w:val="clear" w:color="auto" w:fill="FFFFFF"/>
        </w:rPr>
        <w:t>Library &amp; Information Science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33</w:t>
      </w:r>
      <w:r>
        <w:rPr>
          <w:rFonts w:ascii="Times New Roman" w:hAnsi="Times New Roman" w:cs="Times New Roman"/>
          <w:color w:val="222222"/>
          <w:sz w:val="24"/>
          <w:szCs w:val="24"/>
          <w:shd w:val="clear" w:color="auto" w:fill="FFFFFF"/>
        </w:rPr>
        <w:t>(2), 132-143.</w:t>
      </w:r>
    </w:p>
    <w:p w14:paraId="036214D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Clark, V. L. P., Creswell, J. W., Green, D. O. N., &amp; Shope, R. J. (2008). Mixing quantitative and qualitative approaches. </w:t>
      </w:r>
      <w:r>
        <w:rPr>
          <w:rFonts w:ascii="Times New Roman" w:hAnsi="Times New Roman" w:cs="Times New Roman"/>
          <w:i/>
          <w:iCs/>
          <w:color w:val="222222"/>
          <w:sz w:val="24"/>
          <w:szCs w:val="24"/>
          <w:shd w:val="clear" w:color="auto" w:fill="FFFFFF"/>
        </w:rPr>
        <w:t>Handbook of emergent methods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363</w:t>
      </w:r>
      <w:r>
        <w:rPr>
          <w:rFonts w:ascii="Times New Roman" w:hAnsi="Times New Roman" w:cs="Times New Roman"/>
          <w:color w:val="222222"/>
          <w:sz w:val="24"/>
          <w:szCs w:val="24"/>
          <w:shd w:val="clear" w:color="auto" w:fill="FFFFFF"/>
        </w:rPr>
        <w:t>, 363-387.</w:t>
      </w:r>
    </w:p>
    <w:p w14:paraId="64C542C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06" w:name="_Hlk182133942"/>
      <w:r>
        <w:rPr>
          <w:rFonts w:ascii="Times New Roman" w:hAnsi="Times New Roman" w:cs="Times New Roman"/>
          <w:color w:val="222222"/>
          <w:sz w:val="24"/>
          <w:szCs w:val="24"/>
          <w:shd w:val="clear" w:color="auto" w:fill="FFFFFF"/>
        </w:rPr>
        <w:t>Cohen, L., &amp; Manion, L. (2018). </w:t>
      </w:r>
      <w:bookmarkEnd w:id="2406"/>
      <w:r>
        <w:rPr>
          <w:rFonts w:ascii="Times New Roman" w:hAnsi="Times New Roman" w:cs="Times New Roman"/>
          <w:i/>
          <w:iCs/>
          <w:color w:val="222222"/>
          <w:sz w:val="24"/>
          <w:szCs w:val="24"/>
          <w:shd w:val="clear" w:color="auto" w:fill="FFFFFF"/>
        </w:rPr>
        <w:t>Research methods in education</w:t>
      </w:r>
      <w:r>
        <w:rPr>
          <w:rFonts w:ascii="Times New Roman" w:hAnsi="Times New Roman" w:cs="Times New Roman"/>
          <w:color w:val="222222"/>
          <w:sz w:val="24"/>
          <w:szCs w:val="24"/>
          <w:shd w:val="clear" w:color="auto" w:fill="FFFFFF"/>
        </w:rPr>
        <w:t>. Routledge.</w:t>
      </w:r>
    </w:p>
    <w:p w14:paraId="7EA0D17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Cohen, L., Manion, L., &amp; Morrison, K. (2017). Validity and reliability. In </w:t>
      </w:r>
      <w:r>
        <w:rPr>
          <w:rFonts w:ascii="Times New Roman" w:hAnsi="Times New Roman" w:cs="Times New Roman"/>
          <w:i/>
          <w:iCs/>
          <w:color w:val="222222"/>
          <w:sz w:val="24"/>
          <w:szCs w:val="24"/>
          <w:shd w:val="clear" w:color="auto" w:fill="FFFFFF"/>
        </w:rPr>
        <w:t>Research methods in education</w:t>
      </w:r>
      <w:r>
        <w:rPr>
          <w:rFonts w:ascii="Times New Roman" w:hAnsi="Times New Roman" w:cs="Times New Roman"/>
          <w:color w:val="222222"/>
          <w:sz w:val="24"/>
          <w:szCs w:val="24"/>
          <w:shd w:val="clear" w:color="auto" w:fill="FFFFFF"/>
        </w:rPr>
        <w:t> (pp. 245-284). Routledge.</w:t>
      </w:r>
    </w:p>
    <w:p w14:paraId="7A90D35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Cohen, L., Manion, L., &amp; Morrison, K. (2018). </w:t>
      </w:r>
      <w:r>
        <w:rPr>
          <w:rFonts w:ascii="Times New Roman" w:hAnsi="Times New Roman" w:cs="Times New Roman"/>
          <w:i/>
          <w:iCs/>
          <w:color w:val="222222"/>
          <w:sz w:val="24"/>
          <w:szCs w:val="24"/>
          <w:shd w:val="clear" w:color="auto" w:fill="FFFFFF"/>
        </w:rPr>
        <w:t>Research methods in education</w:t>
      </w:r>
      <w:r>
        <w:rPr>
          <w:rFonts w:ascii="Times New Roman" w:hAnsi="Times New Roman" w:cs="Times New Roman"/>
          <w:color w:val="222222"/>
          <w:sz w:val="24"/>
          <w:szCs w:val="24"/>
          <w:shd w:val="clear" w:color="auto" w:fill="FFFFFF"/>
        </w:rPr>
        <w:t>. Routledge.</w:t>
      </w:r>
    </w:p>
    <w:p w14:paraId="210990D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Corrall, S. (2007). Benchmarking strategic engagement with information literacy in higher education: towards a working model. </w:t>
      </w:r>
      <w:r>
        <w:rPr>
          <w:rFonts w:ascii="Times New Roman" w:hAnsi="Times New Roman" w:cs="Times New Roman"/>
          <w:i/>
          <w:iCs/>
          <w:color w:val="222222"/>
          <w:sz w:val="24"/>
          <w:szCs w:val="24"/>
          <w:shd w:val="clear" w:color="auto" w:fill="FFFFFF"/>
        </w:rPr>
        <w:t>Information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12</w:t>
      </w:r>
      <w:r>
        <w:rPr>
          <w:rFonts w:ascii="Times New Roman" w:hAnsi="Times New Roman" w:cs="Times New Roman"/>
          <w:color w:val="222222"/>
          <w:sz w:val="24"/>
          <w:szCs w:val="24"/>
          <w:shd w:val="clear" w:color="auto" w:fill="FFFFFF"/>
        </w:rPr>
        <w:t>(4).</w:t>
      </w:r>
    </w:p>
    <w:p w14:paraId="0706844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Corrall, S. (2008). Information literacy strategy development in higher education: An exploratory study. </w:t>
      </w:r>
      <w:r>
        <w:rPr>
          <w:rFonts w:ascii="Times New Roman" w:hAnsi="Times New Roman" w:cs="Times New Roman"/>
          <w:i/>
          <w:iCs/>
          <w:color w:val="222222"/>
          <w:sz w:val="24"/>
          <w:szCs w:val="24"/>
          <w:shd w:val="clear" w:color="auto" w:fill="FFFFFF"/>
        </w:rPr>
        <w:t>International journal of information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(1), 26-37.</w:t>
      </w:r>
    </w:p>
    <w:p w14:paraId="200CD75B"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Correia, A (2002) "Information Literacy for an Active and Effective Citizenship. White Paper prepared for UNESCO, the U.S. National Commission on Libraries and Information Science, and the National Forum on Information Literacy, for use at the Information Literacy Meeting of Experts, Prague, The Czech Republic.” CiteSeerX,.</w:t>
      </w:r>
    </w:p>
    <w:p w14:paraId="27AE8FC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Cox, A. M., &amp; Corrall, S. (2013). Evolving academic library specialties. </w:t>
      </w:r>
      <w:r>
        <w:rPr>
          <w:rFonts w:ascii="Times New Roman" w:hAnsi="Times New Roman" w:cs="Times New Roman"/>
          <w:i/>
          <w:iCs/>
          <w:color w:val="222222"/>
          <w:sz w:val="24"/>
          <w:szCs w:val="24"/>
          <w:shd w:val="clear" w:color="auto" w:fill="FFFFFF"/>
        </w:rPr>
        <w:t>Journal of the American Society for Information Science and technology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64</w:t>
      </w:r>
      <w:r>
        <w:rPr>
          <w:rFonts w:ascii="Times New Roman" w:hAnsi="Times New Roman" w:cs="Times New Roman"/>
          <w:color w:val="222222"/>
          <w:sz w:val="24"/>
          <w:szCs w:val="24"/>
          <w:shd w:val="clear" w:color="auto" w:fill="FFFFFF"/>
        </w:rPr>
        <w:t>(8), 1526-1542.</w:t>
      </w:r>
    </w:p>
    <w:p w14:paraId="6ECFB231"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 Cox, M., Preston, C., &amp; Cox, K. (1999a). What factors support or prevent teachers from using ICT in their classrooms? Paper presented at the British Educational Research Association Annual Conference. Retrieved from: </w:t>
      </w:r>
      <w:hyperlink r:id="rId55" w:history="1">
        <w:r>
          <w:rPr>
            <w:rStyle w:val="Hyperlink"/>
            <w:rFonts w:ascii="Times New Roman" w:hAnsi="Times New Roman" w:cs="Times New Roman"/>
            <w:color w:val="auto"/>
            <w:sz w:val="24"/>
            <w:szCs w:val="24"/>
          </w:rPr>
          <w:t>http://leeds.ac.uk/educol/documents/00001304.htm</w:t>
        </w:r>
      </w:hyperlink>
      <w:r>
        <w:rPr>
          <w:rFonts w:ascii="Times New Roman" w:hAnsi="Times New Roman" w:cs="Times New Roman"/>
          <w:sz w:val="24"/>
          <w:szCs w:val="24"/>
        </w:rPr>
        <w:t xml:space="preserve"> </w:t>
      </w:r>
    </w:p>
    <w:p w14:paraId="30F3F245"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Cox, M.J., Preston, C., &amp; Cox, K. (1999) What Motivates Teachers to use ICT?. Paper presented at the British Educational Research Association Conference. Brighton. September</w:t>
      </w:r>
    </w:p>
    <w:p w14:paraId="19A20D4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Cozby, P. C., Kee, D. W., &amp; Worden, P. E. (2005). </w:t>
      </w:r>
      <w:r>
        <w:rPr>
          <w:rFonts w:ascii="Times New Roman" w:hAnsi="Times New Roman" w:cs="Times New Roman"/>
          <w:i/>
          <w:iCs/>
          <w:color w:val="222222"/>
          <w:sz w:val="24"/>
          <w:szCs w:val="24"/>
          <w:shd w:val="clear" w:color="auto" w:fill="FFFFFF"/>
        </w:rPr>
        <w:t>Research methods in human development</w:t>
      </w:r>
      <w:r>
        <w:rPr>
          <w:rFonts w:ascii="Times New Roman" w:hAnsi="Times New Roman" w:cs="Times New Roman"/>
          <w:color w:val="222222"/>
          <w:sz w:val="24"/>
          <w:szCs w:val="24"/>
          <w:shd w:val="clear" w:color="auto" w:fill="FFFFFF"/>
        </w:rPr>
        <w:t>. Mayfield.</w:t>
      </w:r>
    </w:p>
    <w:p w14:paraId="78E3DF7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Cresswell, A. J., &amp; Sanderson, D. C. W. (2009). The use of difference spectra with a filtered rolling average background in mobile gamma spectrometry measurements. </w:t>
      </w:r>
      <w:r>
        <w:rPr>
          <w:rFonts w:ascii="Times New Roman" w:hAnsi="Times New Roman" w:cs="Times New Roman"/>
          <w:i/>
          <w:iCs/>
          <w:color w:val="222222"/>
          <w:sz w:val="24"/>
          <w:szCs w:val="24"/>
          <w:shd w:val="clear" w:color="auto" w:fill="FFFFFF"/>
        </w:rPr>
        <w:t>Nuclear Instruments and Methods in Physics Research Section A: Accelerators, Spectrometers, Detectors and Associated Equipment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607</w:t>
      </w:r>
      <w:r>
        <w:rPr>
          <w:rFonts w:ascii="Times New Roman" w:hAnsi="Times New Roman" w:cs="Times New Roman"/>
          <w:color w:val="222222"/>
          <w:sz w:val="24"/>
          <w:szCs w:val="24"/>
          <w:shd w:val="clear" w:color="auto" w:fill="FFFFFF"/>
        </w:rPr>
        <w:t>(3), 685-694.</w:t>
      </w:r>
    </w:p>
    <w:p w14:paraId="5901ACE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Creswell, J. W. (2002). </w:t>
      </w:r>
      <w:r>
        <w:rPr>
          <w:rFonts w:ascii="Times New Roman" w:hAnsi="Times New Roman" w:cs="Times New Roman"/>
          <w:i/>
          <w:iCs/>
          <w:color w:val="222222"/>
          <w:sz w:val="24"/>
          <w:szCs w:val="24"/>
          <w:shd w:val="clear" w:color="auto" w:fill="FFFFFF"/>
        </w:rPr>
        <w:t>Educational research: Planning, conducting, and evaluating quantitative</w:t>
      </w:r>
      <w:r>
        <w:rPr>
          <w:rFonts w:ascii="Times New Roman" w:hAnsi="Times New Roman" w:cs="Times New Roman"/>
          <w:color w:val="222222"/>
          <w:sz w:val="24"/>
          <w:szCs w:val="24"/>
          <w:shd w:val="clear" w:color="auto" w:fill="FFFFFF"/>
        </w:rPr>
        <w:t> (Vol. 7). Prentice Hall Upper Saddle River, NJ.</w:t>
      </w:r>
    </w:p>
    <w:p w14:paraId="3053FD4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Creswell, J. W. (2009). Mapping the field of mixed methods research. </w:t>
      </w:r>
      <w:r>
        <w:rPr>
          <w:rFonts w:ascii="Times New Roman" w:hAnsi="Times New Roman" w:cs="Times New Roman"/>
          <w:i/>
          <w:iCs/>
          <w:color w:val="222222"/>
          <w:sz w:val="24"/>
          <w:szCs w:val="24"/>
          <w:shd w:val="clear" w:color="auto" w:fill="FFFFFF"/>
        </w:rPr>
        <w:t>Journal of mixed methods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w:t>
      </w:r>
      <w:r>
        <w:rPr>
          <w:rFonts w:ascii="Times New Roman" w:hAnsi="Times New Roman" w:cs="Times New Roman"/>
          <w:color w:val="222222"/>
          <w:sz w:val="24"/>
          <w:szCs w:val="24"/>
          <w:shd w:val="clear" w:color="auto" w:fill="FFFFFF"/>
        </w:rPr>
        <w:t>(2), 95-108.</w:t>
      </w:r>
    </w:p>
    <w:p w14:paraId="212960D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Creswell, J. W. (2013). Steps in conducting a scholarly mixed methods study.</w:t>
      </w:r>
    </w:p>
    <w:p w14:paraId="4B7416B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Creswell, J. W., &amp; Miller, D. L. (2000). Determining validity in qualitative inquiry. </w:t>
      </w:r>
      <w:r>
        <w:rPr>
          <w:rFonts w:ascii="Times New Roman" w:hAnsi="Times New Roman" w:cs="Times New Roman"/>
          <w:i/>
          <w:iCs/>
          <w:color w:val="222222"/>
          <w:sz w:val="24"/>
          <w:szCs w:val="24"/>
          <w:shd w:val="clear" w:color="auto" w:fill="FFFFFF"/>
        </w:rPr>
        <w:t>Theory into practice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39</w:t>
      </w:r>
      <w:r>
        <w:rPr>
          <w:rFonts w:ascii="Times New Roman" w:hAnsi="Times New Roman" w:cs="Times New Roman"/>
          <w:color w:val="222222"/>
          <w:sz w:val="24"/>
          <w:szCs w:val="24"/>
          <w:shd w:val="clear" w:color="auto" w:fill="FFFFFF"/>
        </w:rPr>
        <w:t>(3), 124-130.</w:t>
      </w:r>
    </w:p>
    <w:p w14:paraId="3F97DCF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Creswell, J. W., &amp; Tashakkori, A. (2007). Differing perspectives on mixed methods research. </w:t>
      </w:r>
      <w:r>
        <w:rPr>
          <w:rFonts w:ascii="Times New Roman" w:hAnsi="Times New Roman" w:cs="Times New Roman"/>
          <w:i/>
          <w:iCs/>
          <w:color w:val="222222"/>
          <w:sz w:val="24"/>
          <w:szCs w:val="24"/>
          <w:shd w:val="clear" w:color="auto" w:fill="FFFFFF"/>
        </w:rPr>
        <w:t>Journal of mixed methods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w:t>
      </w:r>
      <w:r>
        <w:rPr>
          <w:rFonts w:ascii="Times New Roman" w:hAnsi="Times New Roman" w:cs="Times New Roman"/>
          <w:color w:val="222222"/>
          <w:sz w:val="24"/>
          <w:szCs w:val="24"/>
          <w:shd w:val="clear" w:color="auto" w:fill="FFFFFF"/>
        </w:rPr>
        <w:t>(4), 303-308.</w:t>
      </w:r>
    </w:p>
    <w:p w14:paraId="4005E1C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Creswell, J. W., Klassen, A. C., Plano Clark, V. L., &amp; Smith, K. C. (2011). Best practices for mixed methods research in the health sciences. </w:t>
      </w:r>
      <w:r>
        <w:rPr>
          <w:rFonts w:ascii="Times New Roman" w:hAnsi="Times New Roman" w:cs="Times New Roman"/>
          <w:i/>
          <w:iCs/>
          <w:color w:val="222222"/>
          <w:sz w:val="24"/>
          <w:szCs w:val="24"/>
          <w:shd w:val="clear" w:color="auto" w:fill="FFFFFF"/>
        </w:rPr>
        <w:t>Bethesda (Maryland): National Institutes of Health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2013</w:t>
      </w:r>
      <w:r>
        <w:rPr>
          <w:rFonts w:ascii="Times New Roman" w:hAnsi="Times New Roman" w:cs="Times New Roman"/>
          <w:color w:val="222222"/>
          <w:sz w:val="24"/>
          <w:szCs w:val="24"/>
          <w:shd w:val="clear" w:color="auto" w:fill="FFFFFF"/>
        </w:rPr>
        <w:t>, 541-545.</w:t>
      </w:r>
    </w:p>
    <w:p w14:paraId="3CB4540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Creswell, J., Plano Clark, V. L., Smith, K. C., &amp; Meissner, H. I. (2012). Best practices in mixed methods for quality-of-life research. </w:t>
      </w:r>
      <w:r>
        <w:rPr>
          <w:rFonts w:ascii="Times New Roman" w:hAnsi="Times New Roman" w:cs="Times New Roman"/>
          <w:i/>
          <w:iCs/>
          <w:color w:val="222222"/>
          <w:sz w:val="24"/>
          <w:szCs w:val="24"/>
          <w:shd w:val="clear" w:color="auto" w:fill="FFFFFF"/>
        </w:rPr>
        <w:t>Quality of life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21</w:t>
      </w:r>
      <w:r>
        <w:rPr>
          <w:rFonts w:ascii="Times New Roman" w:hAnsi="Times New Roman" w:cs="Times New Roman"/>
          <w:color w:val="222222"/>
          <w:sz w:val="24"/>
          <w:szCs w:val="24"/>
          <w:shd w:val="clear" w:color="auto" w:fill="FFFFFF"/>
        </w:rPr>
        <w:t>, 377-380.</w:t>
      </w:r>
    </w:p>
    <w:p w14:paraId="6D08999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Crossman, K., Elmqvist, T., ... &amp; Ziter, C. (2020). Research gaps in knowledge of the impact of urban growth on biodiversity. </w:t>
      </w:r>
      <w:r>
        <w:rPr>
          <w:rFonts w:ascii="Times New Roman" w:hAnsi="Times New Roman" w:cs="Times New Roman"/>
          <w:i/>
          <w:iCs/>
          <w:color w:val="222222"/>
          <w:sz w:val="24"/>
          <w:szCs w:val="24"/>
          <w:shd w:val="clear" w:color="auto" w:fill="FFFFFF"/>
        </w:rPr>
        <w:t>Nature Sustainability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w:t>
      </w:r>
      <w:r>
        <w:rPr>
          <w:rFonts w:ascii="Times New Roman" w:hAnsi="Times New Roman" w:cs="Times New Roman"/>
          <w:color w:val="222222"/>
          <w:sz w:val="24"/>
          <w:szCs w:val="24"/>
          <w:shd w:val="clear" w:color="auto" w:fill="FFFFFF"/>
        </w:rPr>
        <w:t>(1), 16-24.</w:t>
      </w:r>
    </w:p>
    <w:p w14:paraId="7DF8F1C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Crotty, M. J. (1998). The foundations of social research: Meaning and perspective in the research process. </w:t>
      </w:r>
      <w:r>
        <w:rPr>
          <w:rFonts w:ascii="Times New Roman" w:hAnsi="Times New Roman" w:cs="Times New Roman"/>
          <w:i/>
          <w:iCs/>
          <w:color w:val="222222"/>
          <w:sz w:val="24"/>
          <w:szCs w:val="24"/>
          <w:shd w:val="clear" w:color="auto" w:fill="FFFFFF"/>
        </w:rPr>
        <w:t>The foundations of social research</w:t>
      </w:r>
      <w:r>
        <w:rPr>
          <w:rFonts w:ascii="Times New Roman" w:hAnsi="Times New Roman" w:cs="Times New Roman"/>
          <w:color w:val="222222"/>
          <w:sz w:val="24"/>
          <w:szCs w:val="24"/>
          <w:shd w:val="clear" w:color="auto" w:fill="FFFFFF"/>
        </w:rPr>
        <w:t>, 1-256.</w:t>
      </w:r>
    </w:p>
    <w:p w14:paraId="526104F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DaCosta, J. W. (2010). Is there an information literacy skills gap to be bridged? An examination of faculty perceptions and activities relating to information literacy in the United States and England. </w:t>
      </w:r>
      <w:r>
        <w:rPr>
          <w:rFonts w:ascii="Times New Roman" w:hAnsi="Times New Roman" w:cs="Times New Roman"/>
          <w:i/>
          <w:iCs/>
          <w:color w:val="222222"/>
          <w:sz w:val="24"/>
          <w:szCs w:val="24"/>
          <w:shd w:val="clear" w:color="auto" w:fill="FFFFFF"/>
        </w:rPr>
        <w:t>College &amp; research libraries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71</w:t>
      </w:r>
      <w:r>
        <w:rPr>
          <w:rFonts w:ascii="Times New Roman" w:hAnsi="Times New Roman" w:cs="Times New Roman"/>
          <w:color w:val="222222"/>
          <w:sz w:val="24"/>
          <w:szCs w:val="24"/>
          <w:shd w:val="clear" w:color="auto" w:fill="FFFFFF"/>
        </w:rPr>
        <w:t>(3), 203-222.</w:t>
      </w:r>
    </w:p>
    <w:p w14:paraId="6F073F5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Dadzie, P. S. (2007). Information literacy: assessing the readiness of Ghanaian universities. </w:t>
      </w:r>
      <w:r>
        <w:rPr>
          <w:rFonts w:ascii="Times New Roman" w:hAnsi="Times New Roman" w:cs="Times New Roman"/>
          <w:i/>
          <w:iCs/>
          <w:color w:val="222222"/>
          <w:sz w:val="24"/>
          <w:szCs w:val="24"/>
          <w:shd w:val="clear" w:color="auto" w:fill="FFFFFF"/>
        </w:rPr>
        <w:t>Information development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23</w:t>
      </w:r>
      <w:r>
        <w:rPr>
          <w:rFonts w:ascii="Times New Roman" w:hAnsi="Times New Roman" w:cs="Times New Roman"/>
          <w:color w:val="222222"/>
          <w:sz w:val="24"/>
          <w:szCs w:val="24"/>
          <w:shd w:val="clear" w:color="auto" w:fill="FFFFFF"/>
        </w:rPr>
        <w:t>(4), 266-277.</w:t>
      </w:r>
    </w:p>
    <w:p w14:paraId="0415790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Daniel, E. H., Meho, L. I., &amp; Moran, B. B. (2015). Education for library and information science in the Arab states. </w:t>
      </w:r>
      <w:r>
        <w:rPr>
          <w:rFonts w:ascii="Times New Roman" w:hAnsi="Times New Roman" w:cs="Times New Roman"/>
          <w:i/>
          <w:iCs/>
          <w:color w:val="222222"/>
          <w:sz w:val="24"/>
          <w:szCs w:val="24"/>
          <w:shd w:val="clear" w:color="auto" w:fill="FFFFFF"/>
        </w:rPr>
        <w:t>Library and information science in the Middle East and North Africa</w:t>
      </w:r>
      <w:r>
        <w:rPr>
          <w:rFonts w:ascii="Times New Roman" w:hAnsi="Times New Roman" w:cs="Times New Roman"/>
          <w:color w:val="222222"/>
          <w:sz w:val="24"/>
          <w:szCs w:val="24"/>
          <w:shd w:val="clear" w:color="auto" w:fill="FFFFFF"/>
        </w:rPr>
        <w:t xml:space="preserve">, 173-234. </w:t>
      </w:r>
    </w:p>
    <w:p w14:paraId="46D17AD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Davies, A., Williams, C., Tait, S., &amp; Condon, L. (2019). Improving the digital literacy competence of nursing and midwifery students: A qualitative study of the experiences of NICE student champions. </w:t>
      </w:r>
      <w:r>
        <w:rPr>
          <w:rFonts w:ascii="Times New Roman" w:hAnsi="Times New Roman" w:cs="Times New Roman"/>
          <w:i/>
          <w:iCs/>
          <w:color w:val="222222"/>
          <w:sz w:val="24"/>
          <w:szCs w:val="24"/>
          <w:shd w:val="clear" w:color="auto" w:fill="FFFFFF"/>
        </w:rPr>
        <w:t>Nurse education in practice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34</w:t>
      </w:r>
      <w:r>
        <w:rPr>
          <w:rFonts w:ascii="Times New Roman" w:hAnsi="Times New Roman" w:cs="Times New Roman"/>
          <w:color w:val="222222"/>
          <w:sz w:val="24"/>
          <w:szCs w:val="24"/>
          <w:shd w:val="clear" w:color="auto" w:fill="FFFFFF"/>
        </w:rPr>
        <w:t>, 192-198.</w:t>
      </w:r>
    </w:p>
    <w:p w14:paraId="6D61FD11" w14:textId="77777777" w:rsidR="00B01D46" w:rsidRPr="00C94025"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Davis, F. D., Bagozzi, R. P., and Warshaw, P. R. (1989). User acceptance of computer technology: A comparison of </w:t>
      </w:r>
      <w:r w:rsidRPr="00C94025">
        <w:rPr>
          <w:rFonts w:ascii="Times New Roman" w:hAnsi="Times New Roman" w:cs="Times New Roman"/>
          <w:sz w:val="24"/>
          <w:szCs w:val="24"/>
        </w:rPr>
        <w:t xml:space="preserve">two theoretical models.    Management Science, 35(8), 982‐1003. </w:t>
      </w:r>
      <w:hyperlink r:id="rId56" w:anchor="Con=structdefs" w:history="1">
        <w:r w:rsidRPr="00C94025">
          <w:rPr>
            <w:rStyle w:val="Hyperlink"/>
            <w:rFonts w:ascii="Times New Roman" w:hAnsi="Times New Roman" w:cs="Times New Roman"/>
            <w:color w:val="auto"/>
            <w:sz w:val="24"/>
            <w:szCs w:val="24"/>
            <w:u w:val="none"/>
          </w:rPr>
          <w:t>http://www.vvenkatesh.com/it/organizations/ Theoretical_Models.asp#Con=structdefs</w:t>
        </w:r>
      </w:hyperlink>
      <w:r w:rsidRPr="00C94025">
        <w:rPr>
          <w:rFonts w:ascii="Times New Roman" w:hAnsi="Times New Roman" w:cs="Times New Roman"/>
          <w:sz w:val="24"/>
          <w:szCs w:val="24"/>
        </w:rPr>
        <w:t xml:space="preserve"> </w:t>
      </w:r>
    </w:p>
    <w:p w14:paraId="63365E2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shd w:val="clear" w:color="auto" w:fill="FFFFFF"/>
        </w:rPr>
        <w:t>Davis, M. E. K., &amp; Petrowski, M. J. (2010). Association of College and Research Libraries (ACRL). </w:t>
      </w:r>
      <w:r>
        <w:rPr>
          <w:rFonts w:ascii="Times New Roman" w:hAnsi="Times New Roman" w:cs="Times New Roman"/>
          <w:i/>
          <w:iCs/>
          <w:sz w:val="24"/>
          <w:szCs w:val="24"/>
          <w:shd w:val="clear" w:color="auto" w:fill="FFFFFF"/>
        </w:rPr>
        <w:t>Encyclopedia of Library and Information</w:t>
      </w:r>
      <w:r>
        <w:rPr>
          <w:rFonts w:ascii="Times New Roman" w:hAnsi="Times New Roman" w:cs="Times New Roman"/>
          <w:color w:val="222222"/>
          <w:sz w:val="24"/>
          <w:szCs w:val="24"/>
          <w:shd w:val="clear" w:color="auto" w:fill="FFFFFF"/>
        </w:rPr>
        <w:t>.</w:t>
      </w:r>
    </w:p>
    <w:p w14:paraId="37C6C414"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Dawes, L. (2001). What stops teachers using new technology? In M. Leask (Ed.), Issues in Teaching using ICT (pp. 61‐79). London: Routledge.   </w:t>
      </w:r>
    </w:p>
    <w:p w14:paraId="5F5CF8C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 Jager, K., &amp; Nassimbeni, M. (2005). Information literacy and quality assurance in South African higher education institutions.</w:t>
      </w:r>
    </w:p>
    <w:p w14:paraId="0CC19988" w14:textId="77777777" w:rsidR="00B01D46" w:rsidRDefault="0067013E">
      <w:pPr>
        <w:spacing w:line="240" w:lineRule="auto"/>
        <w:ind w:left="720" w:hanging="720"/>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Dennis, Stephen. (2004) </w:t>
      </w:r>
      <w:r>
        <w:rPr>
          <w:rStyle w:val="Emphasis"/>
          <w:rFonts w:ascii="Times New Roman" w:hAnsi="Times New Roman" w:cs="Times New Roman"/>
          <w:color w:val="333333"/>
          <w:sz w:val="24"/>
          <w:szCs w:val="24"/>
          <w:shd w:val="clear" w:color="auto" w:fill="FFFFFF"/>
        </w:rPr>
        <w:t>User education programme and library use at The Balme Library. MA dissertation presented to the</w:t>
      </w:r>
      <w:r>
        <w:rPr>
          <w:rFonts w:ascii="Times New Roman" w:hAnsi="Times New Roman" w:cs="Times New Roman"/>
          <w:color w:val="333333"/>
          <w:sz w:val="24"/>
          <w:szCs w:val="24"/>
          <w:shd w:val="clear" w:color="auto" w:fill="FFFFFF"/>
        </w:rPr>
        <w:t> Department of Information Studies, University of Ghana, Legon</w:t>
      </w:r>
    </w:p>
    <w:p w14:paraId="7A2BADB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Derakhshan, M., &amp; Singh, D. (2011). Integration of information literacy into the curriculum: a meta‐synthesis. </w:t>
      </w:r>
      <w:r>
        <w:rPr>
          <w:rFonts w:ascii="Times New Roman" w:hAnsi="Times New Roman" w:cs="Times New Roman"/>
          <w:i/>
          <w:iCs/>
          <w:color w:val="222222"/>
          <w:sz w:val="24"/>
          <w:szCs w:val="24"/>
          <w:shd w:val="clear" w:color="auto" w:fill="FFFFFF"/>
        </w:rPr>
        <w:t>Library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60</w:t>
      </w:r>
      <w:r>
        <w:rPr>
          <w:rFonts w:ascii="Times New Roman" w:hAnsi="Times New Roman" w:cs="Times New Roman"/>
          <w:color w:val="222222"/>
          <w:sz w:val="24"/>
          <w:szCs w:val="24"/>
          <w:shd w:val="clear" w:color="auto" w:fill="FFFFFF"/>
        </w:rPr>
        <w:t>(3), 218-229.</w:t>
      </w:r>
    </w:p>
    <w:p w14:paraId="78B3AE2D" w14:textId="77777777" w:rsidR="00B01D46" w:rsidRDefault="0067013E">
      <w:pPr>
        <w:spacing w:line="240" w:lineRule="auto"/>
        <w:ind w:left="720" w:hanging="720"/>
        <w:jc w:val="both"/>
        <w:rPr>
          <w:rFonts w:ascii="Times New Roman" w:hAnsi="Times New Roman" w:cs="Times New Roman"/>
          <w:color w:val="414141"/>
          <w:sz w:val="24"/>
          <w:szCs w:val="24"/>
          <w:shd w:val="clear" w:color="auto" w:fill="FFFFFF"/>
        </w:rPr>
      </w:pPr>
      <w:bookmarkStart w:id="2407" w:name="_Hlk132189765"/>
      <w:r>
        <w:rPr>
          <w:rFonts w:ascii="Times New Roman" w:hAnsi="Times New Roman" w:cs="Times New Roman"/>
          <w:color w:val="414141"/>
          <w:sz w:val="24"/>
          <w:szCs w:val="24"/>
          <w:shd w:val="clear" w:color="auto" w:fill="FFFFFF"/>
        </w:rPr>
        <w:t>Detlor, et al. (2012) ‘Student Perceptions of Information Literacy Instruction: The Importance of Active Learning’.</w:t>
      </w:r>
      <w:bookmarkEnd w:id="2407"/>
      <w:r>
        <w:rPr>
          <w:rFonts w:ascii="Times New Roman" w:hAnsi="Times New Roman" w:cs="Times New Roman"/>
          <w:color w:val="414141"/>
          <w:sz w:val="24"/>
          <w:szCs w:val="24"/>
          <w:shd w:val="clear" w:color="auto" w:fill="FFFFFF"/>
        </w:rPr>
        <w:t xml:space="preserve"> 147 – 161.</w:t>
      </w:r>
    </w:p>
    <w:p w14:paraId="202DE1D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Dewan, S., &amp; Riggins, F. J. (2005). The digital divide: Current and future research directions. </w:t>
      </w:r>
      <w:r>
        <w:rPr>
          <w:rFonts w:ascii="Times New Roman" w:hAnsi="Times New Roman" w:cs="Times New Roman"/>
          <w:i/>
          <w:iCs/>
          <w:color w:val="222222"/>
          <w:sz w:val="24"/>
          <w:szCs w:val="24"/>
          <w:shd w:val="clear" w:color="auto" w:fill="FFFFFF"/>
        </w:rPr>
        <w:t>Journal of the Association for information systems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(12), 298-337.</w:t>
      </w:r>
    </w:p>
    <w:p w14:paraId="1B3CF74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Dewey, R. E. (1956). The future of philosophy. </w:t>
      </w:r>
      <w:r>
        <w:rPr>
          <w:rFonts w:ascii="Times New Roman" w:hAnsi="Times New Roman" w:cs="Times New Roman"/>
          <w:i/>
          <w:iCs/>
          <w:color w:val="222222"/>
          <w:sz w:val="24"/>
          <w:szCs w:val="24"/>
          <w:shd w:val="clear" w:color="auto" w:fill="FFFFFF"/>
        </w:rPr>
        <w:t>The Journal of Philosophy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53</w:t>
      </w:r>
      <w:r>
        <w:rPr>
          <w:rFonts w:ascii="Times New Roman" w:hAnsi="Times New Roman" w:cs="Times New Roman"/>
          <w:color w:val="222222"/>
          <w:sz w:val="24"/>
          <w:szCs w:val="24"/>
          <w:shd w:val="clear" w:color="auto" w:fill="FFFFFF"/>
        </w:rPr>
        <w:t>(5), 187-196.</w:t>
      </w:r>
    </w:p>
    <w:p w14:paraId="0CE81FC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Diehm, R. A., &amp; Lupton, M. (2012). Approaches to learning information literacy: A phenomenographic study. </w:t>
      </w:r>
      <w:r>
        <w:rPr>
          <w:rFonts w:ascii="Times New Roman" w:hAnsi="Times New Roman" w:cs="Times New Roman"/>
          <w:i/>
          <w:iCs/>
          <w:color w:val="222222"/>
          <w:sz w:val="24"/>
          <w:szCs w:val="24"/>
          <w:shd w:val="clear" w:color="auto" w:fill="FFFFFF"/>
        </w:rPr>
        <w:t>The Journal of Academic Librarianship</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38</w:t>
      </w:r>
      <w:r>
        <w:rPr>
          <w:rFonts w:ascii="Times New Roman" w:hAnsi="Times New Roman" w:cs="Times New Roman"/>
          <w:color w:val="222222"/>
          <w:sz w:val="24"/>
          <w:szCs w:val="24"/>
          <w:shd w:val="clear" w:color="auto" w:fill="FFFFFF"/>
        </w:rPr>
        <w:t>(4), 217-225.</w:t>
      </w:r>
    </w:p>
    <w:p w14:paraId="4018418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Diehm, R. A., &amp; Lupton, M. (2014). Learning information literacy. </w:t>
      </w:r>
      <w:r>
        <w:rPr>
          <w:rFonts w:ascii="Times New Roman" w:hAnsi="Times New Roman" w:cs="Times New Roman"/>
          <w:i/>
          <w:iCs/>
          <w:color w:val="222222"/>
          <w:sz w:val="24"/>
          <w:szCs w:val="24"/>
          <w:shd w:val="clear" w:color="auto" w:fill="FFFFFF"/>
        </w:rPr>
        <w:t>Information Research: An International Electronic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19</w:t>
      </w:r>
      <w:r>
        <w:rPr>
          <w:rFonts w:ascii="Times New Roman" w:hAnsi="Times New Roman" w:cs="Times New Roman"/>
          <w:color w:val="222222"/>
          <w:sz w:val="24"/>
          <w:szCs w:val="24"/>
          <w:shd w:val="clear" w:color="auto" w:fill="FFFFFF"/>
        </w:rPr>
        <w:t>(1), n1.</w:t>
      </w:r>
    </w:p>
    <w:p w14:paraId="7D97AEC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08" w:name="_Hlk182145530"/>
      <w:r>
        <w:rPr>
          <w:rFonts w:ascii="Times New Roman" w:hAnsi="Times New Roman" w:cs="Times New Roman"/>
          <w:color w:val="222222"/>
          <w:sz w:val="24"/>
          <w:szCs w:val="24"/>
          <w:shd w:val="clear" w:color="auto" w:fill="FFFFFF"/>
        </w:rPr>
        <w:t xml:space="preserve">Divayana, </w:t>
      </w:r>
      <w:bookmarkEnd w:id="2408"/>
      <w:r>
        <w:rPr>
          <w:rFonts w:ascii="Times New Roman" w:hAnsi="Times New Roman" w:cs="Times New Roman"/>
          <w:color w:val="222222"/>
          <w:sz w:val="24"/>
          <w:szCs w:val="24"/>
          <w:shd w:val="clear" w:color="auto" w:fill="FFFFFF"/>
        </w:rPr>
        <w:t>D. G. H., Suyasa, P. W. A., &amp; Widiartini, N. K. (2021). An innovative model as evaluation model for information technology-based learning at ICT vocational schools. </w:t>
      </w:r>
      <w:r>
        <w:rPr>
          <w:rFonts w:ascii="Times New Roman" w:hAnsi="Times New Roman" w:cs="Times New Roman"/>
          <w:i/>
          <w:iCs/>
          <w:color w:val="222222"/>
          <w:sz w:val="24"/>
          <w:szCs w:val="24"/>
          <w:shd w:val="clear" w:color="auto" w:fill="FFFFFF"/>
        </w:rPr>
        <w:t>Heliyon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(2).</w:t>
      </w:r>
    </w:p>
    <w:p w14:paraId="3F18684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09" w:name="_Hlk129085619"/>
      <w:bookmarkStart w:id="2410" w:name="_Hlk182167601"/>
      <w:r>
        <w:rPr>
          <w:rFonts w:ascii="Times New Roman" w:hAnsi="Times New Roman" w:cs="Times New Roman"/>
          <w:color w:val="222222"/>
          <w:sz w:val="24"/>
          <w:szCs w:val="24"/>
          <w:shd w:val="clear" w:color="auto" w:fill="FFFFFF"/>
        </w:rPr>
        <w:t>Dlamini,</w:t>
      </w:r>
      <w:bookmarkEnd w:id="2409"/>
      <w:r>
        <w:rPr>
          <w:rFonts w:ascii="Times New Roman" w:hAnsi="Times New Roman" w:cs="Times New Roman"/>
          <w:color w:val="222222"/>
          <w:sz w:val="24"/>
          <w:szCs w:val="24"/>
          <w:shd w:val="clear" w:color="auto" w:fill="FFFFFF"/>
        </w:rPr>
        <w:t xml:space="preserve"> S., Block, E., &amp; Rampedi, I. T. (2022)</w:t>
      </w:r>
      <w:bookmarkEnd w:id="2410"/>
      <w:r>
        <w:rPr>
          <w:rFonts w:ascii="Times New Roman" w:hAnsi="Times New Roman" w:cs="Times New Roman"/>
          <w:color w:val="222222"/>
          <w:sz w:val="24"/>
          <w:szCs w:val="24"/>
          <w:shd w:val="clear" w:color="auto" w:fill="FFFFFF"/>
        </w:rPr>
        <w:t>. Understanding students’ environmental perceptions and some of their determinants in Gauteng province: a case study at the University of Johannesburg, South Africa. </w:t>
      </w:r>
      <w:r>
        <w:rPr>
          <w:rFonts w:ascii="Times New Roman" w:hAnsi="Times New Roman" w:cs="Times New Roman"/>
          <w:i/>
          <w:iCs/>
          <w:color w:val="222222"/>
          <w:sz w:val="24"/>
          <w:szCs w:val="24"/>
          <w:shd w:val="clear" w:color="auto" w:fill="FFFFFF"/>
        </w:rPr>
        <w:t>South African Geographical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104</w:t>
      </w:r>
      <w:r>
        <w:rPr>
          <w:rFonts w:ascii="Times New Roman" w:hAnsi="Times New Roman" w:cs="Times New Roman"/>
          <w:color w:val="222222"/>
          <w:sz w:val="24"/>
          <w:szCs w:val="24"/>
          <w:shd w:val="clear" w:color="auto" w:fill="FFFFFF"/>
        </w:rPr>
        <w:t>(1), 89-106.</w:t>
      </w:r>
    </w:p>
    <w:p w14:paraId="2666166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Doody, Owen, and Catriona M. Doody. "Conducting a pilot study: Case study of a novice researcher." </w:t>
      </w:r>
      <w:r>
        <w:rPr>
          <w:rFonts w:ascii="Times New Roman" w:hAnsi="Times New Roman" w:cs="Times New Roman"/>
          <w:i/>
          <w:iCs/>
          <w:color w:val="222222"/>
          <w:sz w:val="24"/>
          <w:szCs w:val="24"/>
          <w:shd w:val="clear" w:color="auto" w:fill="FFFFFF"/>
        </w:rPr>
        <w:t>British journal of nursing</w:t>
      </w:r>
      <w:r>
        <w:rPr>
          <w:rFonts w:ascii="Times New Roman" w:hAnsi="Times New Roman" w:cs="Times New Roman"/>
          <w:color w:val="222222"/>
          <w:sz w:val="24"/>
          <w:szCs w:val="24"/>
          <w:shd w:val="clear" w:color="auto" w:fill="FFFFFF"/>
        </w:rPr>
        <w:t> 24.21 (2015): 1074-1078.</w:t>
      </w:r>
    </w:p>
    <w:p w14:paraId="35758139" w14:textId="77777777" w:rsidR="00B01D46" w:rsidRDefault="0067013E">
      <w:pPr>
        <w:spacing w:line="24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Dorvlo, S. S., &amp; Dadzie, P. S. (2016). Information Literacy among Post Graduate Students of the University of Ghana.</w:t>
      </w:r>
    </w:p>
    <w:p w14:paraId="77EB367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11" w:name="_Hlk128470221"/>
      <w:r>
        <w:rPr>
          <w:rFonts w:ascii="Times New Roman" w:hAnsi="Times New Roman" w:cs="Times New Roman"/>
          <w:color w:val="222222"/>
          <w:sz w:val="24"/>
          <w:szCs w:val="24"/>
          <w:shd w:val="clear" w:color="auto" w:fill="FFFFFF"/>
        </w:rPr>
        <w:t>Dorvlo, S. S., &amp; Dadzie, P. S. (2016).</w:t>
      </w:r>
      <w:bookmarkEnd w:id="2411"/>
      <w:r>
        <w:rPr>
          <w:rFonts w:ascii="Times New Roman" w:hAnsi="Times New Roman" w:cs="Times New Roman"/>
          <w:color w:val="222222"/>
          <w:sz w:val="24"/>
          <w:szCs w:val="24"/>
          <w:shd w:val="clear" w:color="auto" w:fill="FFFFFF"/>
        </w:rPr>
        <w:t xml:space="preserve"> Information literacy among post graduate students of the University of Ghana. </w:t>
      </w:r>
      <w:r>
        <w:rPr>
          <w:rFonts w:ascii="Times New Roman" w:hAnsi="Times New Roman" w:cs="Times New Roman"/>
          <w:i/>
          <w:iCs/>
          <w:color w:val="222222"/>
          <w:sz w:val="24"/>
          <w:szCs w:val="24"/>
          <w:shd w:val="clear" w:color="auto" w:fill="FFFFFF"/>
        </w:rPr>
        <w:t>Library Philosophy and Practice</w:t>
      </w:r>
      <w:r>
        <w:rPr>
          <w:rFonts w:ascii="Times New Roman" w:hAnsi="Times New Roman" w:cs="Times New Roman"/>
          <w:color w:val="222222"/>
          <w:sz w:val="24"/>
          <w:szCs w:val="24"/>
          <w:shd w:val="clear" w:color="auto" w:fill="FFFFFF"/>
        </w:rPr>
        <w:t>, 1.</w:t>
      </w:r>
    </w:p>
    <w:p w14:paraId="1594FCA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Doyle, M., Foster, B., &amp; Yukhymenko-Lescroart, M. A. (2019). Initial Development of the Perception of Information Literacy Scale (PILS). </w:t>
      </w:r>
      <w:r>
        <w:rPr>
          <w:rFonts w:ascii="Times New Roman" w:hAnsi="Times New Roman" w:cs="Times New Roman"/>
          <w:i/>
          <w:iCs/>
          <w:color w:val="222222"/>
          <w:sz w:val="24"/>
          <w:szCs w:val="24"/>
          <w:shd w:val="clear" w:color="auto" w:fill="FFFFFF"/>
        </w:rPr>
        <w:t>Communications in Information Literacy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13</w:t>
      </w:r>
      <w:r>
        <w:rPr>
          <w:rFonts w:ascii="Times New Roman" w:hAnsi="Times New Roman" w:cs="Times New Roman"/>
          <w:color w:val="222222"/>
          <w:sz w:val="24"/>
          <w:szCs w:val="24"/>
          <w:shd w:val="clear" w:color="auto" w:fill="FFFFFF"/>
        </w:rPr>
        <w:t>(2), 205-227.</w:t>
      </w:r>
    </w:p>
    <w:p w14:paraId="0FAE282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Dubicki, E. (2013). Faculty perceptions of students' information literacy skills competencies. </w:t>
      </w:r>
      <w:r>
        <w:rPr>
          <w:rFonts w:ascii="Times New Roman" w:hAnsi="Times New Roman" w:cs="Times New Roman"/>
          <w:i/>
          <w:iCs/>
          <w:color w:val="222222"/>
          <w:sz w:val="24"/>
          <w:szCs w:val="24"/>
          <w:shd w:val="clear" w:color="auto" w:fill="FFFFFF"/>
        </w:rPr>
        <w:t>Journal of Information Literacy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(2), 97-125.</w:t>
      </w:r>
    </w:p>
    <w:p w14:paraId="2746451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Dulle, F. W., &amp; Lwehabura, M. J. F. (2004). User information literacy: Challenges facing university libraries towards effective implementation. In </w:t>
      </w:r>
      <w:r>
        <w:rPr>
          <w:rFonts w:ascii="Times New Roman" w:hAnsi="Times New Roman" w:cs="Times New Roman"/>
          <w:i/>
          <w:iCs/>
          <w:color w:val="222222"/>
          <w:sz w:val="24"/>
          <w:szCs w:val="24"/>
          <w:shd w:val="clear" w:color="auto" w:fill="FFFFFF"/>
        </w:rPr>
        <w:t>Proceedings of the 6th Standing Conference of African National and University Libraries</w:t>
      </w:r>
      <w:r>
        <w:rPr>
          <w:rFonts w:ascii="Times New Roman" w:hAnsi="Times New Roman" w:cs="Times New Roman"/>
          <w:color w:val="222222"/>
          <w:sz w:val="24"/>
          <w:szCs w:val="24"/>
          <w:shd w:val="clear" w:color="auto" w:fill="FFFFFF"/>
        </w:rPr>
        <w:t>.</w:t>
      </w:r>
    </w:p>
    <w:p w14:paraId="4DD4772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Dunn, K. (2002). Assessing information literacy skills in the California State University: A progress report. </w:t>
      </w:r>
      <w:r>
        <w:rPr>
          <w:rFonts w:ascii="Times New Roman" w:hAnsi="Times New Roman" w:cs="Times New Roman"/>
          <w:i/>
          <w:iCs/>
          <w:color w:val="222222"/>
          <w:sz w:val="24"/>
          <w:szCs w:val="24"/>
          <w:shd w:val="clear" w:color="auto" w:fill="FFFFFF"/>
        </w:rPr>
        <w:t>The Journal of Academic Librarianship</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(1-2), 26-35.</w:t>
      </w:r>
    </w:p>
    <w:p w14:paraId="6AEC65D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Durrheim, K., &amp; Painter, D. (Eds.). (2006). </w:t>
      </w:r>
      <w:r>
        <w:rPr>
          <w:rFonts w:ascii="Times New Roman" w:hAnsi="Times New Roman" w:cs="Times New Roman"/>
          <w:i/>
          <w:iCs/>
          <w:color w:val="222222"/>
          <w:sz w:val="24"/>
          <w:szCs w:val="24"/>
          <w:shd w:val="clear" w:color="auto" w:fill="FFFFFF"/>
        </w:rPr>
        <w:t>Research in practice: Applied methods for the social sciences</w:t>
      </w:r>
      <w:r>
        <w:rPr>
          <w:rFonts w:ascii="Times New Roman" w:hAnsi="Times New Roman" w:cs="Times New Roman"/>
          <w:color w:val="222222"/>
          <w:sz w:val="24"/>
          <w:szCs w:val="24"/>
          <w:shd w:val="clear" w:color="auto" w:fill="FFFFFF"/>
        </w:rPr>
        <w:t>. Juta and Company Ltd.</w:t>
      </w:r>
    </w:p>
    <w:p w14:paraId="0A0CC6C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12" w:name="_Hlk129083473"/>
      <w:r>
        <w:rPr>
          <w:rFonts w:ascii="Times New Roman" w:hAnsi="Times New Roman" w:cs="Times New Roman"/>
          <w:color w:val="222222"/>
          <w:sz w:val="24"/>
          <w:szCs w:val="24"/>
          <w:shd w:val="clear" w:color="auto" w:fill="FFFFFF"/>
        </w:rPr>
        <w:t xml:space="preserve">Dyson, B., &amp; Casey, A. </w:t>
      </w:r>
      <w:bookmarkEnd w:id="2412"/>
      <w:r>
        <w:rPr>
          <w:rFonts w:ascii="Times New Roman" w:hAnsi="Times New Roman" w:cs="Times New Roman"/>
          <w:color w:val="222222"/>
          <w:sz w:val="24"/>
          <w:szCs w:val="24"/>
          <w:shd w:val="clear" w:color="auto" w:fill="FFFFFF"/>
        </w:rPr>
        <w:t>(2016). </w:t>
      </w:r>
      <w:r>
        <w:rPr>
          <w:rFonts w:ascii="Times New Roman" w:hAnsi="Times New Roman" w:cs="Times New Roman"/>
          <w:i/>
          <w:iCs/>
          <w:color w:val="222222"/>
          <w:sz w:val="24"/>
          <w:szCs w:val="24"/>
          <w:shd w:val="clear" w:color="auto" w:fill="FFFFFF"/>
        </w:rPr>
        <w:t>Cooperative learning in physical education and physical activity: A practical introduction</w:t>
      </w:r>
      <w:r>
        <w:rPr>
          <w:rFonts w:ascii="Times New Roman" w:hAnsi="Times New Roman" w:cs="Times New Roman"/>
          <w:color w:val="222222"/>
          <w:sz w:val="24"/>
          <w:szCs w:val="24"/>
          <w:shd w:val="clear" w:color="auto" w:fill="FFFFFF"/>
        </w:rPr>
        <w:t>. Routledge.</w:t>
      </w:r>
    </w:p>
    <w:p w14:paraId="27334F2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Ebiefung, R., &amp; Okafor, C. (2022). Information Literacy Skills and Use of Electronic Information Resources (EIRs) By Undergraduates in Federal University Otuoke, Bayelsa State, Nigeria. </w:t>
      </w:r>
      <w:r>
        <w:rPr>
          <w:rFonts w:ascii="Times New Roman" w:hAnsi="Times New Roman" w:cs="Times New Roman"/>
          <w:i/>
          <w:iCs/>
          <w:color w:val="222222"/>
          <w:sz w:val="24"/>
          <w:szCs w:val="24"/>
          <w:shd w:val="clear" w:color="auto" w:fill="FFFFFF"/>
        </w:rPr>
        <w:t>Library Philosophy &amp; Practice</w:t>
      </w:r>
      <w:r>
        <w:rPr>
          <w:rFonts w:ascii="Times New Roman" w:hAnsi="Times New Roman" w:cs="Times New Roman"/>
          <w:color w:val="222222"/>
          <w:sz w:val="24"/>
          <w:szCs w:val="24"/>
          <w:shd w:val="clear" w:color="auto" w:fill="FFFFFF"/>
        </w:rPr>
        <w:t>.</w:t>
      </w:r>
    </w:p>
    <w:p w14:paraId="7670A39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Edoka, B. E. (2000). Introduction to library science. Onitsha. </w:t>
      </w:r>
      <w:r>
        <w:rPr>
          <w:rFonts w:ascii="Times New Roman" w:hAnsi="Times New Roman" w:cs="Times New Roman"/>
          <w:i/>
          <w:iCs/>
          <w:color w:val="222222"/>
          <w:sz w:val="24"/>
          <w:szCs w:val="24"/>
          <w:shd w:val="clear" w:color="auto" w:fill="FFFFFF"/>
        </w:rPr>
        <w:t>Palma Publishing, J. Acad. Lib</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20</w:t>
      </w:r>
      <w:r>
        <w:rPr>
          <w:rFonts w:ascii="Times New Roman" w:hAnsi="Times New Roman" w:cs="Times New Roman"/>
          <w:color w:val="222222"/>
          <w:sz w:val="24"/>
          <w:szCs w:val="24"/>
          <w:shd w:val="clear" w:color="auto" w:fill="FFFFFF"/>
        </w:rPr>
        <w:t>, 517-532.</w:t>
      </w:r>
    </w:p>
    <w:p w14:paraId="5A40036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Edom, B. O. (2007). An assessment of the problems of the use of ICT facilities in information sourcing and retrieval by the academic staff in Nigerian universities. </w:t>
      </w:r>
      <w:r>
        <w:rPr>
          <w:rFonts w:ascii="Times New Roman" w:hAnsi="Times New Roman" w:cs="Times New Roman"/>
          <w:i/>
          <w:iCs/>
          <w:color w:val="222222"/>
          <w:sz w:val="24"/>
          <w:szCs w:val="24"/>
          <w:shd w:val="clear" w:color="auto" w:fill="FFFFFF"/>
        </w:rPr>
        <w:t>Information Technologist (The)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(2), 113-127.</w:t>
      </w:r>
    </w:p>
    <w:p w14:paraId="64CFB83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Edom, E. U.(2007) Repositioning Librarianship Through Entrepreneurship: The Nigerian Case.</w:t>
      </w:r>
    </w:p>
    <w:p w14:paraId="0FDB3DD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Eisenberg, M. B. (2008). Information literacy: Essential skills for the information age. </w:t>
      </w:r>
      <w:r>
        <w:rPr>
          <w:rFonts w:ascii="Times New Roman" w:hAnsi="Times New Roman" w:cs="Times New Roman"/>
          <w:i/>
          <w:iCs/>
          <w:color w:val="222222"/>
          <w:sz w:val="24"/>
          <w:szCs w:val="24"/>
          <w:shd w:val="clear" w:color="auto" w:fill="FFFFFF"/>
        </w:rPr>
        <w:t>DESIDOC journal of library &amp; information technology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(2).</w:t>
      </w:r>
    </w:p>
    <w:p w14:paraId="68DF765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Eisenberg, M. B., Lowe, C. A., &amp; Spitzer, K. L. (2004). </w:t>
      </w:r>
      <w:r>
        <w:rPr>
          <w:rFonts w:ascii="Times New Roman" w:hAnsi="Times New Roman" w:cs="Times New Roman"/>
          <w:i/>
          <w:iCs/>
          <w:color w:val="222222"/>
          <w:sz w:val="24"/>
          <w:szCs w:val="24"/>
          <w:shd w:val="clear" w:color="auto" w:fill="FFFFFF"/>
        </w:rPr>
        <w:t>Information literacy: Essential skills for the information age</w:t>
      </w:r>
      <w:r>
        <w:rPr>
          <w:rFonts w:ascii="Times New Roman" w:hAnsi="Times New Roman" w:cs="Times New Roman"/>
          <w:color w:val="222222"/>
          <w:sz w:val="24"/>
          <w:szCs w:val="24"/>
          <w:shd w:val="clear" w:color="auto" w:fill="FFFFFF"/>
        </w:rPr>
        <w:t>. Greenwood Publishing Group, 88 Post Road West, Westport, CT 06825.</w:t>
      </w:r>
    </w:p>
    <w:p w14:paraId="5FCB7AE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Eisenberg, M., &amp; Berkowitz, B. (1988). Library and Information Skills Curriculum Scope and Sequence: The Big Six Skills. </w:t>
      </w:r>
      <w:r>
        <w:rPr>
          <w:rFonts w:ascii="Times New Roman" w:hAnsi="Times New Roman" w:cs="Times New Roman"/>
          <w:i/>
          <w:iCs/>
          <w:color w:val="222222"/>
          <w:sz w:val="24"/>
          <w:szCs w:val="24"/>
          <w:shd w:val="clear" w:color="auto" w:fill="FFFFFF"/>
        </w:rPr>
        <w:t>School Library Media Activities Monthly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w:t>
      </w:r>
      <w:r>
        <w:rPr>
          <w:rFonts w:ascii="Times New Roman" w:hAnsi="Times New Roman" w:cs="Times New Roman"/>
          <w:color w:val="222222"/>
          <w:sz w:val="24"/>
          <w:szCs w:val="24"/>
          <w:shd w:val="clear" w:color="auto" w:fill="FFFFFF"/>
        </w:rPr>
        <w:t>(1).</w:t>
      </w:r>
    </w:p>
    <w:p w14:paraId="1C381DC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Eisenberg, M., Johnson, D., &amp; Berkowitz, B. (2010). Information, communications, and technology (ICT) skills curriculum based on the Big6 skills approach to information problem-solving. </w:t>
      </w:r>
      <w:r>
        <w:rPr>
          <w:rFonts w:ascii="Times New Roman" w:hAnsi="Times New Roman" w:cs="Times New Roman"/>
          <w:i/>
          <w:iCs/>
          <w:color w:val="222222"/>
          <w:sz w:val="24"/>
          <w:szCs w:val="24"/>
          <w:shd w:val="clear" w:color="auto" w:fill="FFFFFF"/>
        </w:rPr>
        <w:t>Library Media Connection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(6), 24-27.</w:t>
      </w:r>
    </w:p>
    <w:p w14:paraId="2FDB5E4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Emmanuel, G., &amp; Sife, A. (2008). Challenges of managing information and communication technologies for education: Experiences from Sokoine National Agricultural Library. </w:t>
      </w:r>
      <w:r>
        <w:rPr>
          <w:rFonts w:ascii="Times New Roman" w:hAnsi="Times New Roman" w:cs="Times New Roman"/>
          <w:i/>
          <w:iCs/>
          <w:color w:val="222222"/>
          <w:sz w:val="24"/>
          <w:szCs w:val="24"/>
          <w:shd w:val="clear" w:color="auto" w:fill="FFFFFF"/>
        </w:rPr>
        <w:t>International journal of education and development using ICT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(3).</w:t>
      </w:r>
    </w:p>
    <w:p w14:paraId="0DBC4407"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shd w:val="clear" w:color="auto" w:fill="FFFFFF"/>
        </w:rPr>
        <w:t>Emmett, A. and Emde, J. (2007), "Assessing information literacy skills using the ACRL standards as a guide", </w:t>
      </w:r>
      <w:r>
        <w:rPr>
          <w:rFonts w:ascii="Times New Roman" w:hAnsi="Times New Roman" w:cs="Times New Roman"/>
          <w:i/>
          <w:iCs/>
          <w:sz w:val="24"/>
          <w:szCs w:val="24"/>
        </w:rPr>
        <w:t>Reference Services Review</w:t>
      </w:r>
      <w:r>
        <w:rPr>
          <w:rFonts w:ascii="Times New Roman" w:hAnsi="Times New Roman" w:cs="Times New Roman"/>
          <w:sz w:val="24"/>
          <w:szCs w:val="24"/>
          <w:shd w:val="clear" w:color="auto" w:fill="FFFFFF"/>
        </w:rPr>
        <w:t>, Vol. 35 No. 2, pp. 210-229.</w:t>
      </w:r>
    </w:p>
    <w:p w14:paraId="0A8A748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13" w:name="_Hlk182147477"/>
      <w:r>
        <w:rPr>
          <w:rFonts w:ascii="Times New Roman" w:hAnsi="Times New Roman" w:cs="Times New Roman"/>
          <w:color w:val="222222"/>
          <w:sz w:val="24"/>
          <w:szCs w:val="24"/>
          <w:shd w:val="clear" w:color="auto" w:fill="FFFFFF"/>
        </w:rPr>
        <w:t xml:space="preserve">Erickson, G. S. (2017). </w:t>
      </w:r>
      <w:bookmarkEnd w:id="2413"/>
      <w:r>
        <w:rPr>
          <w:rFonts w:ascii="Times New Roman" w:hAnsi="Times New Roman" w:cs="Times New Roman"/>
          <w:color w:val="222222"/>
          <w:sz w:val="24"/>
          <w:szCs w:val="24"/>
          <w:shd w:val="clear" w:color="auto" w:fill="FFFFFF"/>
        </w:rPr>
        <w:t>Descriptive research design. In </w:t>
      </w:r>
      <w:r>
        <w:rPr>
          <w:rFonts w:ascii="Times New Roman" w:hAnsi="Times New Roman" w:cs="Times New Roman"/>
          <w:i/>
          <w:iCs/>
          <w:color w:val="222222"/>
          <w:sz w:val="24"/>
          <w:szCs w:val="24"/>
          <w:shd w:val="clear" w:color="auto" w:fill="FFFFFF"/>
        </w:rPr>
        <w:t>New Methods of Market Research and Analysis</w:t>
      </w:r>
      <w:r>
        <w:rPr>
          <w:rFonts w:ascii="Times New Roman" w:hAnsi="Times New Roman" w:cs="Times New Roman"/>
          <w:color w:val="222222"/>
          <w:sz w:val="24"/>
          <w:szCs w:val="24"/>
          <w:shd w:val="clear" w:color="auto" w:fill="FFFFFF"/>
        </w:rPr>
        <w:t> (pp. 51-77). Edward Elgar Publishing.</w:t>
      </w:r>
    </w:p>
    <w:p w14:paraId="7CA5D49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14" w:name="_Hlk125992553"/>
      <w:r>
        <w:rPr>
          <w:rFonts w:ascii="Times New Roman" w:hAnsi="Times New Roman" w:cs="Times New Roman"/>
          <w:color w:val="222222"/>
          <w:sz w:val="24"/>
          <w:szCs w:val="24"/>
          <w:shd w:val="clear" w:color="auto" w:fill="FFFFFF"/>
        </w:rPr>
        <w:t xml:space="preserve">Erickson, R. A. (2012). </w:t>
      </w:r>
      <w:bookmarkEnd w:id="2414"/>
      <w:r>
        <w:rPr>
          <w:rFonts w:ascii="Times New Roman" w:hAnsi="Times New Roman" w:cs="Times New Roman"/>
          <w:color w:val="222222"/>
          <w:sz w:val="24"/>
          <w:szCs w:val="24"/>
          <w:shd w:val="clear" w:color="auto" w:fill="FFFFFF"/>
        </w:rPr>
        <w:t>Middle States Commission on Higher Education.</w:t>
      </w:r>
    </w:p>
    <w:p w14:paraId="00D93B0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Eskola, E. L. (2005). Information Literacy of Medical Students Studying in the Problem-Based and Traditional Curriculum. </w:t>
      </w:r>
      <w:r>
        <w:rPr>
          <w:rFonts w:ascii="Times New Roman" w:hAnsi="Times New Roman" w:cs="Times New Roman"/>
          <w:i/>
          <w:iCs/>
          <w:color w:val="222222"/>
          <w:sz w:val="24"/>
          <w:szCs w:val="24"/>
          <w:shd w:val="clear" w:color="auto" w:fill="FFFFFF"/>
        </w:rPr>
        <w:t>Information Research: An International Electronic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w:t>
      </w:r>
      <w:r>
        <w:rPr>
          <w:rFonts w:ascii="Times New Roman" w:hAnsi="Times New Roman" w:cs="Times New Roman"/>
          <w:color w:val="222222"/>
          <w:sz w:val="24"/>
          <w:szCs w:val="24"/>
          <w:shd w:val="clear" w:color="auto" w:fill="FFFFFF"/>
        </w:rPr>
        <w:t>(2), n2.</w:t>
      </w:r>
    </w:p>
    <w:p w14:paraId="28BA991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15" w:name="_Hlk125992475"/>
      <w:r>
        <w:rPr>
          <w:rFonts w:ascii="Times New Roman" w:hAnsi="Times New Roman" w:cs="Times New Roman"/>
          <w:color w:val="222222"/>
          <w:sz w:val="24"/>
          <w:szCs w:val="24"/>
          <w:shd w:val="clear" w:color="auto" w:fill="FFFFFF"/>
        </w:rPr>
        <w:t>Evans, G. E., &amp; Alire, C. (2013). </w:t>
      </w:r>
      <w:bookmarkEnd w:id="2415"/>
      <w:r>
        <w:rPr>
          <w:rFonts w:ascii="Times New Roman" w:hAnsi="Times New Roman" w:cs="Times New Roman"/>
          <w:i/>
          <w:iCs/>
          <w:color w:val="222222"/>
          <w:sz w:val="24"/>
          <w:szCs w:val="24"/>
          <w:shd w:val="clear" w:color="auto" w:fill="FFFFFF"/>
        </w:rPr>
        <w:t>Management basics for information professionals</w:t>
      </w:r>
      <w:r>
        <w:rPr>
          <w:rFonts w:ascii="Times New Roman" w:hAnsi="Times New Roman" w:cs="Times New Roman"/>
          <w:color w:val="222222"/>
          <w:sz w:val="24"/>
          <w:szCs w:val="24"/>
          <w:shd w:val="clear" w:color="auto" w:fill="FFFFFF"/>
        </w:rPr>
        <w:t>. American Library Association.</w:t>
      </w:r>
    </w:p>
    <w:p w14:paraId="1990ED5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Farrell, J., &amp; Nezlek, G. S. (2007, June). Rich internet applications the next stage of application development. In </w:t>
      </w:r>
      <w:r>
        <w:rPr>
          <w:rFonts w:ascii="Times New Roman" w:hAnsi="Times New Roman" w:cs="Times New Roman"/>
          <w:i/>
          <w:iCs/>
          <w:color w:val="222222"/>
          <w:sz w:val="24"/>
          <w:szCs w:val="24"/>
          <w:shd w:val="clear" w:color="auto" w:fill="FFFFFF"/>
        </w:rPr>
        <w:t>2007 29th International Conference on Information Technology Interfaces</w:t>
      </w:r>
      <w:r>
        <w:rPr>
          <w:rFonts w:ascii="Times New Roman" w:hAnsi="Times New Roman" w:cs="Times New Roman"/>
          <w:color w:val="222222"/>
          <w:sz w:val="24"/>
          <w:szCs w:val="24"/>
          <w:shd w:val="clear" w:color="auto" w:fill="FFFFFF"/>
        </w:rPr>
        <w:t> (pp. 413-418). IEEE.</w:t>
      </w:r>
    </w:p>
    <w:p w14:paraId="67EEE97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Fiawotoafor, T. (2018). Library services and user satisfaction at the College of Agriculture Education, University of Education, Winneba. </w:t>
      </w:r>
      <w:r>
        <w:rPr>
          <w:rFonts w:ascii="Times New Roman" w:hAnsi="Times New Roman" w:cs="Times New Roman"/>
          <w:i/>
          <w:iCs/>
          <w:color w:val="222222"/>
          <w:sz w:val="24"/>
          <w:szCs w:val="24"/>
          <w:shd w:val="clear" w:color="auto" w:fill="FFFFFF"/>
        </w:rPr>
        <w:t>African Journal of Interdisciplinary Studies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(2), 68-77.</w:t>
      </w:r>
    </w:p>
    <w:p w14:paraId="537FE9F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Fineburg, A. C. (2011). Psychology Teacher. NETwORk.</w:t>
      </w:r>
    </w:p>
    <w:p w14:paraId="6D3F757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Flick, U. (2009). Qualitative Methoden in der Evaluationsforschung. </w:t>
      </w:r>
      <w:r>
        <w:rPr>
          <w:rFonts w:ascii="Times New Roman" w:hAnsi="Times New Roman" w:cs="Times New Roman"/>
          <w:i/>
          <w:iCs/>
          <w:color w:val="222222"/>
          <w:sz w:val="24"/>
          <w:szCs w:val="24"/>
          <w:shd w:val="clear" w:color="auto" w:fill="FFFFFF"/>
        </w:rPr>
        <w:t>Zeitschrift für qualitative Forschung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w:t>
      </w:r>
      <w:r>
        <w:rPr>
          <w:rFonts w:ascii="Times New Roman" w:hAnsi="Times New Roman" w:cs="Times New Roman"/>
          <w:color w:val="222222"/>
          <w:sz w:val="24"/>
          <w:szCs w:val="24"/>
          <w:shd w:val="clear" w:color="auto" w:fill="FFFFFF"/>
        </w:rPr>
        <w:t>(1), 9-18. Johnson, B., &amp; Turner, L. A. (2003). Data collection strategies in mixed methods research. </w:t>
      </w:r>
      <w:r>
        <w:rPr>
          <w:rFonts w:ascii="Times New Roman" w:hAnsi="Times New Roman" w:cs="Times New Roman"/>
          <w:i/>
          <w:iCs/>
          <w:color w:val="222222"/>
          <w:sz w:val="24"/>
          <w:szCs w:val="24"/>
          <w:shd w:val="clear" w:color="auto" w:fill="FFFFFF"/>
        </w:rPr>
        <w:t>Handbook of mixed methods in social and behavioral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w:t>
      </w:r>
      <w:r>
        <w:rPr>
          <w:rFonts w:ascii="Times New Roman" w:hAnsi="Times New Roman" w:cs="Times New Roman"/>
          <w:color w:val="222222"/>
          <w:sz w:val="24"/>
          <w:szCs w:val="24"/>
          <w:shd w:val="clear" w:color="auto" w:fill="FFFFFF"/>
        </w:rPr>
        <w:t>(2), 297-319.</w:t>
      </w:r>
    </w:p>
    <w:p w14:paraId="3689E35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Foo, S., Majid, S., Azura Mokhtar, I., Zhang, X., Chang, Y. K., Luyt, B., &amp; Theng, Y. L. (2014). Information literacy skills of secondary school students in Singapore. </w:t>
      </w:r>
      <w:r>
        <w:rPr>
          <w:rFonts w:ascii="Times New Roman" w:hAnsi="Times New Roman" w:cs="Times New Roman"/>
          <w:i/>
          <w:iCs/>
          <w:color w:val="222222"/>
          <w:sz w:val="24"/>
          <w:szCs w:val="24"/>
          <w:shd w:val="clear" w:color="auto" w:fill="FFFFFF"/>
        </w:rPr>
        <w:t>Aslib journal of information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66</w:t>
      </w:r>
      <w:r>
        <w:rPr>
          <w:rFonts w:ascii="Times New Roman" w:hAnsi="Times New Roman" w:cs="Times New Roman"/>
          <w:color w:val="222222"/>
          <w:sz w:val="24"/>
          <w:szCs w:val="24"/>
          <w:shd w:val="clear" w:color="auto" w:fill="FFFFFF"/>
        </w:rPr>
        <w:t>(1), 54-76.</w:t>
      </w:r>
    </w:p>
    <w:p w14:paraId="62E378B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Foo, Schubert, Shaheen Majid, and Yun Ke Chang (2021). "Assessing information literacy skills among young information age students in Singapore." </w:t>
      </w:r>
      <w:r>
        <w:rPr>
          <w:rFonts w:ascii="Times New Roman" w:hAnsi="Times New Roman" w:cs="Times New Roman"/>
          <w:i/>
          <w:iCs/>
          <w:color w:val="222222"/>
          <w:sz w:val="24"/>
          <w:szCs w:val="24"/>
          <w:shd w:val="clear" w:color="auto" w:fill="FFFFFF"/>
        </w:rPr>
        <w:t>Aslib Journal of Information Management</w:t>
      </w:r>
      <w:r>
        <w:rPr>
          <w:rFonts w:ascii="Times New Roman" w:hAnsi="Times New Roman" w:cs="Times New Roman"/>
          <w:color w:val="222222"/>
          <w:sz w:val="24"/>
          <w:szCs w:val="24"/>
          <w:shd w:val="clear" w:color="auto" w:fill="FFFFFF"/>
        </w:rPr>
        <w:t> 69, no. 3: 335-353.</w:t>
      </w:r>
    </w:p>
    <w:p w14:paraId="4B9AE4D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16" w:name="_Hlk182168514"/>
      <w:r>
        <w:rPr>
          <w:rFonts w:ascii="Times New Roman" w:hAnsi="Times New Roman" w:cs="Times New Roman"/>
          <w:color w:val="222222"/>
          <w:sz w:val="24"/>
          <w:szCs w:val="24"/>
          <w:shd w:val="clear" w:color="auto" w:fill="FFFFFF"/>
        </w:rPr>
        <w:t>Foo</w:t>
      </w:r>
      <w:bookmarkEnd w:id="2416"/>
      <w:r>
        <w:rPr>
          <w:rFonts w:ascii="Times New Roman" w:hAnsi="Times New Roman" w:cs="Times New Roman"/>
          <w:color w:val="222222"/>
          <w:sz w:val="24"/>
          <w:szCs w:val="24"/>
          <w:shd w:val="clear" w:color="auto" w:fill="FFFFFF"/>
        </w:rPr>
        <w:t>, Schubert, Shaheen Majid, Intan Azura Mokhtar, Xue Zhang, Yun-Ke Chang, Brendan Luyt, and Yin-Leng Theng. "Information literacy skills of secondary school students in Singapore." </w:t>
      </w:r>
      <w:r>
        <w:rPr>
          <w:rFonts w:ascii="Times New Roman" w:hAnsi="Times New Roman" w:cs="Times New Roman"/>
          <w:i/>
          <w:iCs/>
          <w:color w:val="222222"/>
          <w:sz w:val="24"/>
          <w:szCs w:val="24"/>
          <w:shd w:val="clear" w:color="auto" w:fill="FFFFFF"/>
        </w:rPr>
        <w:t>Aslib journal of information management</w:t>
      </w:r>
      <w:r>
        <w:rPr>
          <w:rFonts w:ascii="Times New Roman" w:hAnsi="Times New Roman" w:cs="Times New Roman"/>
          <w:color w:val="222222"/>
          <w:sz w:val="24"/>
          <w:szCs w:val="24"/>
          <w:shd w:val="clear" w:color="auto" w:fill="FFFFFF"/>
        </w:rPr>
        <w:t> 66, no. 1 (2014): 54-76.</w:t>
      </w:r>
    </w:p>
    <w:p w14:paraId="1049D63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17" w:name="_Hlk182145988"/>
      <w:r>
        <w:rPr>
          <w:rFonts w:ascii="Times New Roman" w:hAnsi="Times New Roman" w:cs="Times New Roman"/>
          <w:color w:val="222222"/>
          <w:sz w:val="24"/>
          <w:szCs w:val="24"/>
          <w:shd w:val="clear" w:color="auto" w:fill="FFFFFF"/>
        </w:rPr>
        <w:t>Fossen, K., (2018).</w:t>
      </w:r>
      <w:bookmarkEnd w:id="2417"/>
      <w:r>
        <w:rPr>
          <w:rFonts w:ascii="Times New Roman" w:hAnsi="Times New Roman" w:cs="Times New Roman"/>
          <w:color w:val="222222"/>
          <w:sz w:val="24"/>
          <w:szCs w:val="24"/>
          <w:shd w:val="clear" w:color="auto" w:fill="FFFFFF"/>
        </w:rPr>
        <w:t xml:space="preserve"> Contemporary global perspectives of medical students on research during undergraduate medical education: a systematic literature review. </w:t>
      </w:r>
      <w:r>
        <w:rPr>
          <w:rFonts w:ascii="Times New Roman" w:hAnsi="Times New Roman" w:cs="Times New Roman"/>
          <w:i/>
          <w:iCs/>
          <w:color w:val="222222"/>
          <w:sz w:val="24"/>
          <w:szCs w:val="24"/>
          <w:shd w:val="clear" w:color="auto" w:fill="FFFFFF"/>
        </w:rPr>
        <w:t>Medical education online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23</w:t>
      </w:r>
      <w:r>
        <w:rPr>
          <w:rFonts w:ascii="Times New Roman" w:hAnsi="Times New Roman" w:cs="Times New Roman"/>
          <w:color w:val="222222"/>
          <w:sz w:val="24"/>
          <w:szCs w:val="24"/>
          <w:shd w:val="clear" w:color="auto" w:fill="FFFFFF"/>
        </w:rPr>
        <w:t>(1), 1537430.</w:t>
      </w:r>
    </w:p>
    <w:p w14:paraId="7BABA1B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Franklin, K. Y., Faulkner, K., Ford-Baxter, T., &amp; Fu, S. (2021). Redesigning an online information literacy tutorial for first-year undergraduate instruction. </w:t>
      </w:r>
      <w:r>
        <w:rPr>
          <w:rFonts w:ascii="Times New Roman" w:hAnsi="Times New Roman" w:cs="Times New Roman"/>
          <w:i/>
          <w:iCs/>
          <w:color w:val="222222"/>
          <w:sz w:val="24"/>
          <w:szCs w:val="24"/>
          <w:shd w:val="clear" w:color="auto" w:fill="FFFFFF"/>
        </w:rPr>
        <w:t>The Journal of Academic Librarianship</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47</w:t>
      </w:r>
      <w:r>
        <w:rPr>
          <w:rFonts w:ascii="Times New Roman" w:hAnsi="Times New Roman" w:cs="Times New Roman"/>
          <w:color w:val="222222"/>
          <w:sz w:val="24"/>
          <w:szCs w:val="24"/>
          <w:shd w:val="clear" w:color="auto" w:fill="FFFFFF"/>
        </w:rPr>
        <w:t>(1), 102277.</w:t>
      </w:r>
    </w:p>
    <w:p w14:paraId="0268E4D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Freeman, E., &amp; Lynd-Balta, E. (2010). Developing information literacy skills early in an undergraduate curriculum. </w:t>
      </w:r>
      <w:r>
        <w:rPr>
          <w:rFonts w:ascii="Times New Roman" w:hAnsi="Times New Roman" w:cs="Times New Roman"/>
          <w:i/>
          <w:iCs/>
          <w:color w:val="222222"/>
          <w:sz w:val="24"/>
          <w:szCs w:val="24"/>
          <w:shd w:val="clear" w:color="auto" w:fill="FFFFFF"/>
        </w:rPr>
        <w:t>College Teaching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58</w:t>
      </w:r>
      <w:r>
        <w:rPr>
          <w:rFonts w:ascii="Times New Roman" w:hAnsi="Times New Roman" w:cs="Times New Roman"/>
          <w:color w:val="222222"/>
          <w:sz w:val="24"/>
          <w:szCs w:val="24"/>
          <w:shd w:val="clear" w:color="auto" w:fill="FFFFFF"/>
        </w:rPr>
        <w:t>(3), 109-115.</w:t>
      </w:r>
    </w:p>
    <w:p w14:paraId="0D1FFED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Frenk, J., Chen, L., Bhutta, Z. A., Cohen, J., Crisp, N., Evans, T., ... &amp; Zurayk, H. (2010). Health professionals for a new century: transforming education to strengthen health systems in an interdependent world. </w:t>
      </w:r>
      <w:r>
        <w:rPr>
          <w:rFonts w:ascii="Times New Roman" w:hAnsi="Times New Roman" w:cs="Times New Roman"/>
          <w:i/>
          <w:iCs/>
          <w:color w:val="222222"/>
          <w:sz w:val="24"/>
          <w:szCs w:val="24"/>
          <w:shd w:val="clear" w:color="auto" w:fill="FFFFFF"/>
        </w:rPr>
        <w:t>The lancet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376</w:t>
      </w:r>
      <w:r>
        <w:rPr>
          <w:rFonts w:ascii="Times New Roman" w:hAnsi="Times New Roman" w:cs="Times New Roman"/>
          <w:color w:val="222222"/>
          <w:sz w:val="24"/>
          <w:szCs w:val="24"/>
          <w:shd w:val="clear" w:color="auto" w:fill="FFFFFF"/>
        </w:rPr>
        <w:t>(9756), 1923-1958.</w:t>
      </w:r>
    </w:p>
    <w:p w14:paraId="1F7F9BA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Furuya, J., Shen, Z., Kim, W., Okada, M., Fujimori, S., ... &amp; Nishimori, M. (2017). Responses of crop yield growth to global temperature and socioeconomic changes. </w:t>
      </w:r>
      <w:r>
        <w:rPr>
          <w:rFonts w:ascii="Times New Roman" w:hAnsi="Times New Roman" w:cs="Times New Roman"/>
          <w:i/>
          <w:iCs/>
          <w:color w:val="222222"/>
          <w:sz w:val="24"/>
          <w:szCs w:val="24"/>
          <w:shd w:val="clear" w:color="auto" w:fill="FFFFFF"/>
        </w:rPr>
        <w:t>Scientific Reports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(1), 7800.</w:t>
      </w:r>
    </w:p>
    <w:p w14:paraId="7D832C9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Gall, G., &amp; Gall, J. P. Borg.(2003). </w:t>
      </w:r>
      <w:r>
        <w:rPr>
          <w:rFonts w:ascii="Times New Roman" w:hAnsi="Times New Roman" w:cs="Times New Roman"/>
          <w:i/>
          <w:iCs/>
          <w:color w:val="222222"/>
          <w:sz w:val="24"/>
          <w:szCs w:val="24"/>
          <w:shd w:val="clear" w:color="auto" w:fill="FFFFFF"/>
        </w:rPr>
        <w:t>Educational research: An introduction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w:t>
      </w:r>
    </w:p>
    <w:p w14:paraId="2C51E8F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18" w:name="_Hlk128472835"/>
      <w:r>
        <w:rPr>
          <w:rFonts w:ascii="Times New Roman" w:hAnsi="Times New Roman" w:cs="Times New Roman"/>
          <w:color w:val="222222"/>
          <w:sz w:val="24"/>
          <w:szCs w:val="24"/>
          <w:shd w:val="clear" w:color="auto" w:fill="FFFFFF"/>
        </w:rPr>
        <w:t xml:space="preserve">Gallardo-Echenique, E., Bullen, M., &amp; Marqus-Molas, L. (2016). </w:t>
      </w:r>
      <w:bookmarkEnd w:id="2418"/>
      <w:r>
        <w:rPr>
          <w:rFonts w:ascii="Times New Roman" w:hAnsi="Times New Roman" w:cs="Times New Roman"/>
          <w:color w:val="222222"/>
          <w:sz w:val="24"/>
          <w:szCs w:val="24"/>
          <w:shd w:val="clear" w:color="auto" w:fill="FFFFFF"/>
        </w:rPr>
        <w:t>Student communication and study habits of first-year university students in the digital era| Communication tudiante et habitudes d’tude des tudiants universitaires de premire anne l’poque numrique. </w:t>
      </w:r>
      <w:r>
        <w:rPr>
          <w:rFonts w:ascii="Times New Roman" w:hAnsi="Times New Roman" w:cs="Times New Roman"/>
          <w:i/>
          <w:iCs/>
          <w:color w:val="222222"/>
          <w:sz w:val="24"/>
          <w:szCs w:val="24"/>
          <w:shd w:val="clear" w:color="auto" w:fill="FFFFFF"/>
        </w:rPr>
        <w:t>Canadian Journal of Learning and Technology/La revue canadienne de l’apprentissage et de la technologie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42</w:t>
      </w:r>
      <w:r>
        <w:rPr>
          <w:rFonts w:ascii="Times New Roman" w:hAnsi="Times New Roman" w:cs="Times New Roman"/>
          <w:color w:val="222222"/>
          <w:sz w:val="24"/>
          <w:szCs w:val="24"/>
          <w:shd w:val="clear" w:color="auto" w:fill="FFFFFF"/>
        </w:rPr>
        <w:t>(1).</w:t>
      </w:r>
    </w:p>
    <w:p w14:paraId="5D6340F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Gatero, G. (2011). Utilization of ICTs for accessing health information by medical professionals in Kenya: A case study of Kenyatta National Hospital. </w:t>
      </w:r>
      <w:r>
        <w:rPr>
          <w:rFonts w:ascii="Times New Roman" w:hAnsi="Times New Roman" w:cs="Times New Roman"/>
          <w:i/>
          <w:iCs/>
          <w:color w:val="222222"/>
          <w:sz w:val="24"/>
          <w:szCs w:val="24"/>
          <w:shd w:val="clear" w:color="auto" w:fill="FFFFFF"/>
        </w:rPr>
        <w:t>Journal of Health Informatics in Developing Countries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w:t>
      </w:r>
      <w:r>
        <w:rPr>
          <w:rFonts w:ascii="Times New Roman" w:hAnsi="Times New Roman" w:cs="Times New Roman"/>
          <w:color w:val="222222"/>
          <w:sz w:val="24"/>
          <w:szCs w:val="24"/>
          <w:shd w:val="clear" w:color="auto" w:fill="FFFFFF"/>
        </w:rPr>
        <w:t>(1).</w:t>
      </w:r>
    </w:p>
    <w:p w14:paraId="43C1346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George, R., McCausland, H., Wache, D., &amp; Doskatsch, I. (2001). Information literacy—an institution-wide strategy. </w:t>
      </w:r>
      <w:r>
        <w:rPr>
          <w:rFonts w:ascii="Times New Roman" w:hAnsi="Times New Roman" w:cs="Times New Roman"/>
          <w:i/>
          <w:iCs/>
          <w:color w:val="222222"/>
          <w:sz w:val="24"/>
          <w:szCs w:val="24"/>
          <w:shd w:val="clear" w:color="auto" w:fill="FFFFFF"/>
        </w:rPr>
        <w:t>Australian Academic &amp; Research Libraries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32</w:t>
      </w:r>
      <w:r>
        <w:rPr>
          <w:rFonts w:ascii="Times New Roman" w:hAnsi="Times New Roman" w:cs="Times New Roman"/>
          <w:color w:val="222222"/>
          <w:sz w:val="24"/>
          <w:szCs w:val="24"/>
          <w:shd w:val="clear" w:color="auto" w:fill="FFFFFF"/>
        </w:rPr>
        <w:t>(4), 278-293.</w:t>
      </w:r>
    </w:p>
    <w:p w14:paraId="66033A7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Ghavifekr, S., &amp; Rosdy, W. A. W. (2015). Teaching and learning with technology: Effectiveness of ICT integration in schools. </w:t>
      </w:r>
      <w:r>
        <w:rPr>
          <w:rFonts w:ascii="Times New Roman" w:hAnsi="Times New Roman" w:cs="Times New Roman"/>
          <w:i/>
          <w:iCs/>
          <w:color w:val="222222"/>
          <w:sz w:val="24"/>
          <w:szCs w:val="24"/>
          <w:shd w:val="clear" w:color="auto" w:fill="FFFFFF"/>
        </w:rPr>
        <w:t>International journal of research in education and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w:t>
      </w:r>
      <w:r>
        <w:rPr>
          <w:rFonts w:ascii="Times New Roman" w:hAnsi="Times New Roman" w:cs="Times New Roman"/>
          <w:color w:val="222222"/>
          <w:sz w:val="24"/>
          <w:szCs w:val="24"/>
          <w:shd w:val="clear" w:color="auto" w:fill="FFFFFF"/>
        </w:rPr>
        <w:t>(2), 175-191.</w:t>
      </w:r>
    </w:p>
    <w:p w14:paraId="24E7B1A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19" w:name="_Hlk182144366"/>
      <w:r>
        <w:rPr>
          <w:rFonts w:ascii="Times New Roman" w:hAnsi="Times New Roman" w:cs="Times New Roman"/>
          <w:color w:val="222222"/>
          <w:sz w:val="24"/>
          <w:szCs w:val="24"/>
          <w:shd w:val="clear" w:color="auto" w:fill="FFFFFF"/>
        </w:rPr>
        <w:t>Ghavifekr</w:t>
      </w:r>
      <w:bookmarkEnd w:id="2419"/>
      <w:r>
        <w:rPr>
          <w:rFonts w:ascii="Times New Roman" w:hAnsi="Times New Roman" w:cs="Times New Roman"/>
          <w:color w:val="222222"/>
          <w:sz w:val="24"/>
          <w:szCs w:val="24"/>
          <w:shd w:val="clear" w:color="auto" w:fill="FFFFFF"/>
        </w:rPr>
        <w:t>, S., Kunjappan, T., Ramasamy, L., &amp; Anthony, A. (2016). Teaching and Learning with ICT Tools: Issues and Challenges from Teachers' Perceptions. </w:t>
      </w:r>
      <w:r>
        <w:rPr>
          <w:rFonts w:ascii="Times New Roman" w:hAnsi="Times New Roman" w:cs="Times New Roman"/>
          <w:i/>
          <w:iCs/>
          <w:color w:val="222222"/>
          <w:sz w:val="24"/>
          <w:szCs w:val="24"/>
          <w:shd w:val="clear" w:color="auto" w:fill="FFFFFF"/>
        </w:rPr>
        <w:t>Malaysian Online Journal of Educational Technology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(2), 38-57.</w:t>
      </w:r>
    </w:p>
    <w:p w14:paraId="6797A1F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Ghaznavi, F., Evans, A., Madabhushi, A., &amp; Feldman, M. (2013). Digital imaging in pathology: whole-slide imaging and beyond. </w:t>
      </w:r>
      <w:r>
        <w:rPr>
          <w:rFonts w:ascii="Times New Roman" w:hAnsi="Times New Roman" w:cs="Times New Roman"/>
          <w:i/>
          <w:iCs/>
          <w:color w:val="222222"/>
          <w:sz w:val="24"/>
          <w:szCs w:val="24"/>
          <w:shd w:val="clear" w:color="auto" w:fill="FFFFFF"/>
        </w:rPr>
        <w:t>Annual Review of Pathology: Mechanisms of Disease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8</w:t>
      </w:r>
      <w:r>
        <w:rPr>
          <w:rFonts w:ascii="Times New Roman" w:hAnsi="Times New Roman" w:cs="Times New Roman"/>
          <w:color w:val="222222"/>
          <w:sz w:val="24"/>
          <w:szCs w:val="24"/>
          <w:shd w:val="clear" w:color="auto" w:fill="FFFFFF"/>
        </w:rPr>
        <w:t>(1), 331-359.</w:t>
      </w:r>
    </w:p>
    <w:p w14:paraId="3F2C9CE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Ghuloum, H. (2012). </w:t>
      </w:r>
      <w:r>
        <w:rPr>
          <w:rFonts w:ascii="Times New Roman" w:hAnsi="Times New Roman" w:cs="Times New Roman"/>
          <w:i/>
          <w:iCs/>
          <w:color w:val="222222"/>
          <w:sz w:val="24"/>
          <w:szCs w:val="24"/>
          <w:shd w:val="clear" w:color="auto" w:fill="FFFFFF"/>
        </w:rPr>
        <w:t>The utilisation of new ICT services in academic libraries in the state of Kuwait: an interpretive case study</w:t>
      </w:r>
      <w:r>
        <w:rPr>
          <w:rFonts w:ascii="Times New Roman" w:hAnsi="Times New Roman" w:cs="Times New Roman"/>
          <w:color w:val="222222"/>
          <w:sz w:val="24"/>
          <w:szCs w:val="24"/>
          <w:shd w:val="clear" w:color="auto" w:fill="FFFFFF"/>
        </w:rPr>
        <w:t>. University of Salford (United Kingdom).</w:t>
      </w:r>
    </w:p>
    <w:p w14:paraId="2D8D0C0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Ghuloum, H., &amp; Ahmed, V. (2011). The implementation of new ICT services in Kuwaiti academic libraries. </w:t>
      </w:r>
      <w:r>
        <w:rPr>
          <w:rFonts w:ascii="Times New Roman" w:hAnsi="Times New Roman" w:cs="Times New Roman"/>
          <w:i/>
          <w:iCs/>
          <w:color w:val="222222"/>
          <w:sz w:val="24"/>
          <w:szCs w:val="24"/>
          <w:shd w:val="clear" w:color="auto" w:fill="FFFFFF"/>
        </w:rPr>
        <w:t>The Built &amp; Human Environment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(1), 74-86.</w:t>
      </w:r>
    </w:p>
    <w:p w14:paraId="17138A3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Ghuloum, H., &amp; Ahmed, Z. (2021). The Interactive Applications (IAs) in Academic Libraries: Challenges and Opportunities. </w:t>
      </w:r>
      <w:r>
        <w:rPr>
          <w:rFonts w:ascii="Times New Roman" w:hAnsi="Times New Roman" w:cs="Times New Roman"/>
          <w:i/>
          <w:iCs/>
          <w:color w:val="222222"/>
          <w:sz w:val="24"/>
          <w:szCs w:val="24"/>
          <w:shd w:val="clear" w:color="auto" w:fill="FFFFFF"/>
        </w:rPr>
        <w:t>Digital Libraries-Advancing Open Science</w:t>
      </w:r>
      <w:r>
        <w:rPr>
          <w:rFonts w:ascii="Times New Roman" w:hAnsi="Times New Roman" w:cs="Times New Roman"/>
          <w:color w:val="222222"/>
          <w:sz w:val="24"/>
          <w:szCs w:val="24"/>
          <w:shd w:val="clear" w:color="auto" w:fill="FFFFFF"/>
        </w:rPr>
        <w:t>.</w:t>
      </w:r>
    </w:p>
    <w:p w14:paraId="63AB1F3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Gitonga, S. M. (2015). </w:t>
      </w:r>
      <w:r>
        <w:rPr>
          <w:rFonts w:ascii="Times New Roman" w:hAnsi="Times New Roman" w:cs="Times New Roman"/>
          <w:i/>
          <w:iCs/>
          <w:color w:val="222222"/>
          <w:sz w:val="24"/>
          <w:szCs w:val="24"/>
          <w:shd w:val="clear" w:color="auto" w:fill="FFFFFF"/>
        </w:rPr>
        <w:t>An evaluation of the influence of information sources on adoption of Agroforestry practices in Kajiado Central Sub-County, Kenya</w:t>
      </w:r>
      <w:r>
        <w:rPr>
          <w:rFonts w:ascii="Times New Roman" w:hAnsi="Times New Roman" w:cs="Times New Roman"/>
          <w:color w:val="222222"/>
          <w:sz w:val="24"/>
          <w:szCs w:val="24"/>
          <w:shd w:val="clear" w:color="auto" w:fill="FFFFFF"/>
        </w:rPr>
        <w:t> (Doctoral dissertation, University of Nairobi).</w:t>
      </w:r>
    </w:p>
    <w:p w14:paraId="36DAB2F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20" w:name="_Hlk126066541"/>
      <w:r>
        <w:rPr>
          <w:rFonts w:ascii="Times New Roman" w:hAnsi="Times New Roman" w:cs="Times New Roman"/>
          <w:color w:val="222222"/>
          <w:sz w:val="24"/>
          <w:szCs w:val="24"/>
          <w:shd w:val="clear" w:color="auto" w:fill="FFFFFF"/>
        </w:rPr>
        <w:t>Goddard, W., &amp; Melville, S. (2004). </w:t>
      </w:r>
      <w:bookmarkEnd w:id="2420"/>
      <w:r>
        <w:rPr>
          <w:rFonts w:ascii="Times New Roman" w:hAnsi="Times New Roman" w:cs="Times New Roman"/>
          <w:i/>
          <w:iCs/>
          <w:color w:val="222222"/>
          <w:sz w:val="24"/>
          <w:szCs w:val="24"/>
          <w:shd w:val="clear" w:color="auto" w:fill="FFFFFF"/>
        </w:rPr>
        <w:t>Research methodology: An introduction</w:t>
      </w:r>
      <w:r>
        <w:rPr>
          <w:rFonts w:ascii="Times New Roman" w:hAnsi="Times New Roman" w:cs="Times New Roman"/>
          <w:color w:val="222222"/>
          <w:sz w:val="24"/>
          <w:szCs w:val="24"/>
          <w:shd w:val="clear" w:color="auto" w:fill="FFFFFF"/>
        </w:rPr>
        <w:t>. Juta and Company Ltd.</w:t>
      </w:r>
    </w:p>
    <w:p w14:paraId="7F1089F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Goff Jr, D. C., Gerstein, H. C., Ginsberg, H. N., Cushman, W. C., Margolis, K. L., Byington, R. P., ... &amp; ACCORD Study Group. (2007). Prevention of cardiovascular disease in persons with type 2 diabetes mellitus: current knowledge and rationale for the Action to Control Cardiovascular Risk in Diabetes (ACCORD) trial. </w:t>
      </w:r>
      <w:r>
        <w:rPr>
          <w:rFonts w:ascii="Times New Roman" w:hAnsi="Times New Roman" w:cs="Times New Roman"/>
          <w:i/>
          <w:iCs/>
          <w:color w:val="222222"/>
          <w:sz w:val="24"/>
          <w:szCs w:val="24"/>
          <w:shd w:val="clear" w:color="auto" w:fill="FFFFFF"/>
        </w:rPr>
        <w:t>The American journal of cardiology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99</w:t>
      </w:r>
      <w:r>
        <w:rPr>
          <w:rFonts w:ascii="Times New Roman" w:hAnsi="Times New Roman" w:cs="Times New Roman"/>
          <w:color w:val="222222"/>
          <w:sz w:val="24"/>
          <w:szCs w:val="24"/>
          <w:shd w:val="clear" w:color="auto" w:fill="FFFFFF"/>
        </w:rPr>
        <w:t>(12), S4-S20.</w:t>
      </w:r>
    </w:p>
    <w:p w14:paraId="3889B99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21" w:name="_Hlk126087491"/>
      <w:r>
        <w:rPr>
          <w:rFonts w:ascii="Times New Roman" w:hAnsi="Times New Roman" w:cs="Times New Roman"/>
          <w:color w:val="222222"/>
          <w:sz w:val="24"/>
          <w:szCs w:val="24"/>
          <w:shd w:val="clear" w:color="auto" w:fill="FFFFFF"/>
        </w:rPr>
        <w:t xml:space="preserve">Goginsky, A. M., &amp; Collins, D. (1996). </w:t>
      </w:r>
      <w:bookmarkEnd w:id="2421"/>
      <w:r>
        <w:rPr>
          <w:rFonts w:ascii="Times New Roman" w:hAnsi="Times New Roman" w:cs="Times New Roman"/>
          <w:color w:val="222222"/>
          <w:sz w:val="24"/>
          <w:szCs w:val="24"/>
          <w:shd w:val="clear" w:color="auto" w:fill="FFFFFF"/>
        </w:rPr>
        <w:t>Research design and mental practice. </w:t>
      </w:r>
      <w:r>
        <w:rPr>
          <w:rFonts w:ascii="Times New Roman" w:hAnsi="Times New Roman" w:cs="Times New Roman"/>
          <w:i/>
          <w:iCs/>
          <w:color w:val="222222"/>
          <w:sz w:val="24"/>
          <w:szCs w:val="24"/>
          <w:shd w:val="clear" w:color="auto" w:fill="FFFFFF"/>
        </w:rPr>
        <w:t>Journal of Sports Sciences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14</w:t>
      </w:r>
      <w:r>
        <w:rPr>
          <w:rFonts w:ascii="Times New Roman" w:hAnsi="Times New Roman" w:cs="Times New Roman"/>
          <w:color w:val="222222"/>
          <w:sz w:val="24"/>
          <w:szCs w:val="24"/>
          <w:shd w:val="clear" w:color="auto" w:fill="FFFFFF"/>
        </w:rPr>
        <w:t>(5), 381-392.</w:t>
      </w:r>
    </w:p>
    <w:p w14:paraId="16A1052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Górny, M., Catlow, J., &amp; Lewandowski, R. (2010). The state of development of digital libraries in Poland. </w:t>
      </w:r>
      <w:r>
        <w:rPr>
          <w:rFonts w:ascii="Times New Roman" w:hAnsi="Times New Roman" w:cs="Times New Roman"/>
          <w:i/>
          <w:iCs/>
          <w:color w:val="222222"/>
          <w:sz w:val="24"/>
          <w:szCs w:val="24"/>
          <w:shd w:val="clear" w:color="auto" w:fill="FFFFFF"/>
        </w:rPr>
        <w:t>Program</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44</w:t>
      </w:r>
      <w:r>
        <w:rPr>
          <w:rFonts w:ascii="Times New Roman" w:hAnsi="Times New Roman" w:cs="Times New Roman"/>
          <w:color w:val="222222"/>
          <w:sz w:val="24"/>
          <w:szCs w:val="24"/>
          <w:shd w:val="clear" w:color="auto" w:fill="FFFFFF"/>
        </w:rPr>
        <w:t>(3), 207-214.</w:t>
      </w:r>
    </w:p>
    <w:p w14:paraId="3A4FB7A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Grassian, E. S., &amp; Kaplowitz, J. R. (2001). Information literacy instruction. </w:t>
      </w:r>
      <w:r>
        <w:rPr>
          <w:rFonts w:ascii="Times New Roman" w:hAnsi="Times New Roman" w:cs="Times New Roman"/>
          <w:i/>
          <w:iCs/>
          <w:color w:val="222222"/>
          <w:sz w:val="24"/>
          <w:szCs w:val="24"/>
          <w:shd w:val="clear" w:color="auto" w:fill="FFFFFF"/>
        </w:rPr>
        <w:t>Neal-Schuman, New York, NY</w:t>
      </w:r>
      <w:r>
        <w:rPr>
          <w:rFonts w:ascii="Times New Roman" w:hAnsi="Times New Roman" w:cs="Times New Roman"/>
          <w:color w:val="222222"/>
          <w:sz w:val="24"/>
          <w:szCs w:val="24"/>
          <w:shd w:val="clear" w:color="auto" w:fill="FFFFFF"/>
        </w:rPr>
        <w:t>.</w:t>
      </w:r>
    </w:p>
    <w:p w14:paraId="1F467A7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22" w:name="_Hlk126073063"/>
      <w:r>
        <w:rPr>
          <w:rFonts w:ascii="Times New Roman" w:hAnsi="Times New Roman" w:cs="Times New Roman"/>
          <w:color w:val="222222"/>
          <w:sz w:val="24"/>
          <w:szCs w:val="24"/>
          <w:shd w:val="clear" w:color="auto" w:fill="FFFFFF"/>
        </w:rPr>
        <w:t xml:space="preserve">Green, H. E. (2014). </w:t>
      </w:r>
      <w:bookmarkEnd w:id="2422"/>
      <w:r>
        <w:rPr>
          <w:rFonts w:ascii="Times New Roman" w:hAnsi="Times New Roman" w:cs="Times New Roman"/>
          <w:color w:val="222222"/>
          <w:sz w:val="24"/>
          <w:szCs w:val="24"/>
          <w:shd w:val="clear" w:color="auto" w:fill="FFFFFF"/>
        </w:rPr>
        <w:t>Use of theoretical and conceptual frameworks in qualitative research. </w:t>
      </w:r>
      <w:r>
        <w:rPr>
          <w:rFonts w:ascii="Times New Roman" w:hAnsi="Times New Roman" w:cs="Times New Roman"/>
          <w:i/>
          <w:iCs/>
          <w:color w:val="222222"/>
          <w:sz w:val="24"/>
          <w:szCs w:val="24"/>
          <w:shd w:val="clear" w:color="auto" w:fill="FFFFFF"/>
        </w:rPr>
        <w:t>Nurse researcher</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21</w:t>
      </w:r>
      <w:r>
        <w:rPr>
          <w:rFonts w:ascii="Times New Roman" w:hAnsi="Times New Roman" w:cs="Times New Roman"/>
          <w:color w:val="222222"/>
          <w:sz w:val="24"/>
          <w:szCs w:val="24"/>
          <w:shd w:val="clear" w:color="auto" w:fill="FFFFFF"/>
        </w:rPr>
        <w:t>(6).</w:t>
      </w:r>
    </w:p>
    <w:p w14:paraId="6DD5AC9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Greene, G. J., Esterhuizen, M., &amp; Fischer, B. (2017). Visualizing and exploring software version control repositories using interactive tag clouds over formal concept lattices. </w:t>
      </w:r>
      <w:r>
        <w:rPr>
          <w:rFonts w:ascii="Times New Roman" w:hAnsi="Times New Roman" w:cs="Times New Roman"/>
          <w:i/>
          <w:iCs/>
          <w:color w:val="222222"/>
          <w:sz w:val="24"/>
          <w:szCs w:val="24"/>
          <w:shd w:val="clear" w:color="auto" w:fill="FFFFFF"/>
        </w:rPr>
        <w:t>Information and Software Technology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87</w:t>
      </w:r>
      <w:r>
        <w:rPr>
          <w:rFonts w:ascii="Times New Roman" w:hAnsi="Times New Roman" w:cs="Times New Roman"/>
          <w:color w:val="222222"/>
          <w:sz w:val="24"/>
          <w:szCs w:val="24"/>
          <w:shd w:val="clear" w:color="auto" w:fill="FFFFFF"/>
        </w:rPr>
        <w:t>, 223-241.</w:t>
      </w:r>
    </w:p>
    <w:p w14:paraId="394A992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Greene, J. C. (2007). </w:t>
      </w:r>
      <w:r>
        <w:rPr>
          <w:rFonts w:ascii="Times New Roman" w:hAnsi="Times New Roman" w:cs="Times New Roman"/>
          <w:i/>
          <w:iCs/>
          <w:color w:val="222222"/>
          <w:sz w:val="24"/>
          <w:szCs w:val="24"/>
          <w:shd w:val="clear" w:color="auto" w:fill="FFFFFF"/>
        </w:rPr>
        <w:t>Mixed methods in social inquiry</w:t>
      </w:r>
      <w:r>
        <w:rPr>
          <w:rFonts w:ascii="Times New Roman" w:hAnsi="Times New Roman" w:cs="Times New Roman"/>
          <w:color w:val="222222"/>
          <w:sz w:val="24"/>
          <w:szCs w:val="24"/>
          <w:shd w:val="clear" w:color="auto" w:fill="FFFFFF"/>
        </w:rPr>
        <w:t> (Vol. 9). John Wiley &amp; Sons.</w:t>
      </w:r>
    </w:p>
    <w:p w14:paraId="7DE37DC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Greenstein, G., &amp; Zajonc, A. (2006). </w:t>
      </w:r>
      <w:r>
        <w:rPr>
          <w:rFonts w:ascii="Times New Roman" w:hAnsi="Times New Roman" w:cs="Times New Roman"/>
          <w:i/>
          <w:iCs/>
          <w:color w:val="222222"/>
          <w:sz w:val="24"/>
          <w:szCs w:val="24"/>
          <w:shd w:val="clear" w:color="auto" w:fill="FFFFFF"/>
        </w:rPr>
        <w:t>The quantum challenge: modern research on the foundations of quantum mechanics</w:t>
      </w:r>
      <w:r>
        <w:rPr>
          <w:rFonts w:ascii="Times New Roman" w:hAnsi="Times New Roman" w:cs="Times New Roman"/>
          <w:color w:val="222222"/>
          <w:sz w:val="24"/>
          <w:szCs w:val="24"/>
          <w:shd w:val="clear" w:color="auto" w:fill="FFFFFF"/>
        </w:rPr>
        <w:t>. Jones &amp; Bartlett Learning.</w:t>
      </w:r>
    </w:p>
    <w:p w14:paraId="1B5E50F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Gross, M., &amp; Latham, D. (2019). The information literacy continuum. </w:t>
      </w:r>
      <w:r>
        <w:rPr>
          <w:rFonts w:ascii="Times New Roman" w:hAnsi="Times New Roman" w:cs="Times New Roman"/>
          <w:i/>
          <w:iCs/>
          <w:color w:val="222222"/>
          <w:sz w:val="24"/>
          <w:szCs w:val="24"/>
          <w:shd w:val="clear" w:color="auto" w:fill="FFFFFF"/>
        </w:rPr>
        <w:t>School libraries worldwide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25</w:t>
      </w:r>
      <w:r>
        <w:rPr>
          <w:rFonts w:ascii="Times New Roman" w:hAnsi="Times New Roman" w:cs="Times New Roman"/>
          <w:color w:val="222222"/>
          <w:sz w:val="24"/>
          <w:szCs w:val="24"/>
          <w:shd w:val="clear" w:color="auto" w:fill="FFFFFF"/>
        </w:rPr>
        <w:t>(1), 1-20.</w:t>
      </w:r>
    </w:p>
    <w:p w14:paraId="0C548A1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Groves, R. M., &amp; Peytcheva, E. (2008). The impact of nonresponse rates on nonresponse bias: a meta-analysis. </w:t>
      </w:r>
      <w:r>
        <w:rPr>
          <w:rFonts w:ascii="Times New Roman" w:hAnsi="Times New Roman" w:cs="Times New Roman"/>
          <w:i/>
          <w:iCs/>
          <w:color w:val="222222"/>
          <w:sz w:val="24"/>
          <w:szCs w:val="24"/>
          <w:shd w:val="clear" w:color="auto" w:fill="FFFFFF"/>
        </w:rPr>
        <w:t>Public opinion quarterly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72</w:t>
      </w:r>
      <w:r>
        <w:rPr>
          <w:rFonts w:ascii="Times New Roman" w:hAnsi="Times New Roman" w:cs="Times New Roman"/>
          <w:color w:val="222222"/>
          <w:sz w:val="24"/>
          <w:szCs w:val="24"/>
          <w:shd w:val="clear" w:color="auto" w:fill="FFFFFF"/>
        </w:rPr>
        <w:t>(2), 167-189.</w:t>
      </w:r>
    </w:p>
    <w:p w14:paraId="2241777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Guba, E. G. (1990). The paradigm dialog. In </w:t>
      </w:r>
      <w:r>
        <w:rPr>
          <w:rFonts w:ascii="Times New Roman" w:hAnsi="Times New Roman" w:cs="Times New Roman"/>
          <w:i/>
          <w:iCs/>
          <w:color w:val="222222"/>
          <w:sz w:val="24"/>
          <w:szCs w:val="24"/>
          <w:shd w:val="clear" w:color="auto" w:fill="FFFFFF"/>
        </w:rPr>
        <w:t>Alternative paradigms conference, mar, 1989, indiana u, school of education, san francisco, ca, us</w:t>
      </w:r>
      <w:r>
        <w:rPr>
          <w:rFonts w:ascii="Times New Roman" w:hAnsi="Times New Roman" w:cs="Times New Roman"/>
          <w:color w:val="222222"/>
          <w:sz w:val="24"/>
          <w:szCs w:val="24"/>
          <w:shd w:val="clear" w:color="auto" w:fill="FFFFFF"/>
        </w:rPr>
        <w:t>. Sage Publications, Inc.</w:t>
      </w:r>
    </w:p>
    <w:p w14:paraId="44908FB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Haddad, H., &amp; MacLeod, S. (1999). Access to medical and health information in the developing world: an essential tool for change in medical education. </w:t>
      </w:r>
      <w:r>
        <w:rPr>
          <w:rFonts w:ascii="Times New Roman" w:hAnsi="Times New Roman" w:cs="Times New Roman"/>
          <w:i/>
          <w:iCs/>
          <w:color w:val="222222"/>
          <w:sz w:val="24"/>
          <w:szCs w:val="24"/>
          <w:shd w:val="clear" w:color="auto" w:fill="FFFFFF"/>
        </w:rPr>
        <w:t>CMAJ</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160</w:t>
      </w:r>
      <w:r>
        <w:rPr>
          <w:rFonts w:ascii="Times New Roman" w:hAnsi="Times New Roman" w:cs="Times New Roman"/>
          <w:color w:val="222222"/>
          <w:sz w:val="24"/>
          <w:szCs w:val="24"/>
          <w:shd w:val="clear" w:color="auto" w:fill="FFFFFF"/>
        </w:rPr>
        <w:t>(1), 63-64.</w:t>
      </w:r>
    </w:p>
    <w:p w14:paraId="78E5E22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Hart, G., &amp; Davids, M. (2010). Challenges for information literacy education at a university of technology. </w:t>
      </w:r>
      <w:r>
        <w:rPr>
          <w:rFonts w:ascii="Times New Roman" w:hAnsi="Times New Roman" w:cs="Times New Roman"/>
          <w:i/>
          <w:iCs/>
          <w:color w:val="222222"/>
          <w:sz w:val="24"/>
          <w:szCs w:val="24"/>
          <w:shd w:val="clear" w:color="auto" w:fill="FFFFFF"/>
        </w:rPr>
        <w:t>Innovation: Journal of appropriate librarianship and information work in Southern Africa</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2010</w:t>
      </w:r>
      <w:r>
        <w:rPr>
          <w:rFonts w:ascii="Times New Roman" w:hAnsi="Times New Roman" w:cs="Times New Roman"/>
          <w:color w:val="222222"/>
          <w:sz w:val="24"/>
          <w:szCs w:val="24"/>
          <w:shd w:val="clear" w:color="auto" w:fill="FFFFFF"/>
        </w:rPr>
        <w:t>(41), 25-41.</w:t>
      </w:r>
    </w:p>
    <w:p w14:paraId="2622C6D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23" w:name="_Hlk126046927"/>
      <w:r>
        <w:rPr>
          <w:rFonts w:ascii="Times New Roman" w:hAnsi="Times New Roman" w:cs="Times New Roman"/>
          <w:color w:val="222222"/>
          <w:sz w:val="24"/>
          <w:szCs w:val="24"/>
          <w:shd w:val="clear" w:color="auto" w:fill="FFFFFF"/>
        </w:rPr>
        <w:lastRenderedPageBreak/>
        <w:t xml:space="preserve">Henninger, M. (2021). </w:t>
      </w:r>
      <w:bookmarkEnd w:id="2423"/>
      <w:r>
        <w:rPr>
          <w:rFonts w:ascii="Times New Roman" w:hAnsi="Times New Roman" w:cs="Times New Roman"/>
          <w:color w:val="222222"/>
          <w:sz w:val="24"/>
          <w:szCs w:val="24"/>
          <w:shd w:val="clear" w:color="auto" w:fill="FFFFFF"/>
        </w:rPr>
        <w:t>Information Literacy: Importance and Consequences. </w:t>
      </w:r>
      <w:r>
        <w:rPr>
          <w:rFonts w:ascii="Times New Roman" w:hAnsi="Times New Roman" w:cs="Times New Roman"/>
          <w:i/>
          <w:iCs/>
          <w:color w:val="222222"/>
          <w:sz w:val="24"/>
          <w:szCs w:val="24"/>
          <w:shd w:val="clear" w:color="auto" w:fill="FFFFFF"/>
        </w:rPr>
        <w:t>Philippine Journal of Librarianship and Information Studies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41</w:t>
      </w:r>
      <w:r>
        <w:rPr>
          <w:rFonts w:ascii="Times New Roman" w:hAnsi="Times New Roman" w:cs="Times New Roman"/>
          <w:color w:val="222222"/>
          <w:sz w:val="24"/>
          <w:szCs w:val="24"/>
          <w:shd w:val="clear" w:color="auto" w:fill="FFFFFF"/>
        </w:rPr>
        <w:t>(2), 3-12.</w:t>
      </w:r>
    </w:p>
    <w:p w14:paraId="1F34097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Hiscock, J., &amp; Marriott, P. (2003). A Happy Partnership—Using an Information Portal to Integrate Information Literacy Skills into an Undergraduate Foundation Course. </w:t>
      </w:r>
      <w:r>
        <w:rPr>
          <w:rFonts w:ascii="Times New Roman" w:hAnsi="Times New Roman" w:cs="Times New Roman"/>
          <w:i/>
          <w:iCs/>
          <w:color w:val="222222"/>
          <w:sz w:val="24"/>
          <w:szCs w:val="24"/>
          <w:shd w:val="clear" w:color="auto" w:fill="FFFFFF"/>
        </w:rPr>
        <w:t>Australian Academic &amp; Research Libraries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34</w:t>
      </w:r>
      <w:r>
        <w:rPr>
          <w:rFonts w:ascii="Times New Roman" w:hAnsi="Times New Roman" w:cs="Times New Roman"/>
          <w:color w:val="222222"/>
          <w:sz w:val="24"/>
          <w:szCs w:val="24"/>
          <w:shd w:val="clear" w:color="auto" w:fill="FFFFFF"/>
        </w:rPr>
        <w:t>(1), 32-41.</w:t>
      </w:r>
    </w:p>
    <w:p w14:paraId="2A5CEE4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24" w:name="_Hlk182146580"/>
      <w:r>
        <w:rPr>
          <w:rFonts w:ascii="Times New Roman" w:hAnsi="Times New Roman" w:cs="Times New Roman"/>
          <w:color w:val="222222"/>
          <w:sz w:val="24"/>
          <w:szCs w:val="24"/>
          <w:shd w:val="clear" w:color="auto" w:fill="FFFFFF"/>
        </w:rPr>
        <w:t xml:space="preserve">Hollweck, T. (2015). </w:t>
      </w:r>
      <w:bookmarkEnd w:id="2424"/>
      <w:r>
        <w:rPr>
          <w:rFonts w:ascii="Times New Roman" w:hAnsi="Times New Roman" w:cs="Times New Roman"/>
          <w:color w:val="222222"/>
          <w:sz w:val="24"/>
          <w:szCs w:val="24"/>
          <w:shd w:val="clear" w:color="auto" w:fill="FFFFFF"/>
        </w:rPr>
        <w:t>Yin, R. K. (2014). Case Study Research Design and Methods. </w:t>
      </w:r>
      <w:r>
        <w:rPr>
          <w:rFonts w:ascii="Times New Roman" w:hAnsi="Times New Roman" w:cs="Times New Roman"/>
          <w:i/>
          <w:iCs/>
          <w:color w:val="222222"/>
          <w:sz w:val="24"/>
          <w:szCs w:val="24"/>
          <w:shd w:val="clear" w:color="auto" w:fill="FFFFFF"/>
        </w:rPr>
        <w:t>Canadian Journal of Program Evaluation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30</w:t>
      </w:r>
      <w:r>
        <w:rPr>
          <w:rFonts w:ascii="Times New Roman" w:hAnsi="Times New Roman" w:cs="Times New Roman"/>
          <w:color w:val="222222"/>
          <w:sz w:val="24"/>
          <w:szCs w:val="24"/>
          <w:shd w:val="clear" w:color="auto" w:fill="FFFFFF"/>
        </w:rPr>
        <w:t>(1), 108-110.</w:t>
      </w:r>
    </w:p>
    <w:p w14:paraId="4A2D186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Holmes, J., &amp; Hazen, K. (Eds.). (2013). </w:t>
      </w:r>
      <w:r>
        <w:rPr>
          <w:rFonts w:ascii="Times New Roman" w:hAnsi="Times New Roman" w:cs="Times New Roman"/>
          <w:i/>
          <w:iCs/>
          <w:color w:val="222222"/>
          <w:sz w:val="24"/>
          <w:szCs w:val="24"/>
          <w:shd w:val="clear" w:color="auto" w:fill="FFFFFF"/>
        </w:rPr>
        <w:t>Research methods in sociolinguistics: A practical guide</w:t>
      </w:r>
      <w:r>
        <w:rPr>
          <w:rFonts w:ascii="Times New Roman" w:hAnsi="Times New Roman" w:cs="Times New Roman"/>
          <w:color w:val="222222"/>
          <w:sz w:val="24"/>
          <w:szCs w:val="24"/>
          <w:shd w:val="clear" w:color="auto" w:fill="FFFFFF"/>
        </w:rPr>
        <w:t>. John Wiley &amp; Sons.</w:t>
      </w:r>
    </w:p>
    <w:p w14:paraId="3F0D99E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Holmes, R. J. (2016). Sampling procedures. In </w:t>
      </w:r>
      <w:r>
        <w:rPr>
          <w:rFonts w:ascii="Times New Roman" w:hAnsi="Times New Roman" w:cs="Times New Roman"/>
          <w:i/>
          <w:iCs/>
          <w:color w:val="222222"/>
          <w:sz w:val="24"/>
          <w:szCs w:val="24"/>
          <w:shd w:val="clear" w:color="auto" w:fill="FFFFFF"/>
        </w:rPr>
        <w:t>Gold Ore Processing</w:t>
      </w:r>
      <w:r>
        <w:rPr>
          <w:rFonts w:ascii="Times New Roman" w:hAnsi="Times New Roman" w:cs="Times New Roman"/>
          <w:color w:val="222222"/>
          <w:sz w:val="24"/>
          <w:szCs w:val="24"/>
          <w:shd w:val="clear" w:color="auto" w:fill="FFFFFF"/>
        </w:rPr>
        <w:t> (pp. 45-56). Elsevier.</w:t>
      </w:r>
    </w:p>
    <w:p w14:paraId="07D724F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Horo, A., &amp; Alam, S. (2016). Perception of Geography Students about Teaching Aids and Resources in Higher Secondary Schools of Varanasi: A Comparative Study. </w:t>
      </w:r>
      <w:r>
        <w:rPr>
          <w:rFonts w:ascii="Times New Roman" w:hAnsi="Times New Roman" w:cs="Times New Roman"/>
          <w:i/>
          <w:iCs/>
          <w:color w:val="222222"/>
          <w:sz w:val="24"/>
          <w:szCs w:val="24"/>
          <w:shd w:val="clear" w:color="auto" w:fill="FFFFFF"/>
        </w:rPr>
        <w:t>The Geographer</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63</w:t>
      </w:r>
      <w:r>
        <w:rPr>
          <w:rFonts w:ascii="Times New Roman" w:hAnsi="Times New Roman" w:cs="Times New Roman"/>
          <w:color w:val="222222"/>
          <w:sz w:val="24"/>
          <w:szCs w:val="24"/>
          <w:shd w:val="clear" w:color="auto" w:fill="FFFFFF"/>
        </w:rPr>
        <w:t>(2), 71-80.</w:t>
      </w:r>
    </w:p>
    <w:p w14:paraId="63B2DC7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25" w:name="_Hlk128475307"/>
      <w:r>
        <w:rPr>
          <w:rFonts w:ascii="Times New Roman" w:hAnsi="Times New Roman" w:cs="Times New Roman"/>
          <w:color w:val="222222"/>
          <w:sz w:val="24"/>
          <w:szCs w:val="24"/>
          <w:shd w:val="clear" w:color="auto" w:fill="FFFFFF"/>
        </w:rPr>
        <w:t xml:space="preserve">Horrigan, J. B. (2015). </w:t>
      </w:r>
      <w:bookmarkEnd w:id="2425"/>
      <w:r>
        <w:rPr>
          <w:rFonts w:ascii="Times New Roman" w:hAnsi="Times New Roman" w:cs="Times New Roman"/>
          <w:color w:val="222222"/>
          <w:sz w:val="24"/>
          <w:szCs w:val="24"/>
          <w:shd w:val="clear" w:color="auto" w:fill="FFFFFF"/>
        </w:rPr>
        <w:t>Libraries at the Crossroads.</w:t>
      </w:r>
    </w:p>
    <w:p w14:paraId="5FC0CA4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Howell, C. A. (2010). How can we improve information delivery to support conservation and restoration decisions?. </w:t>
      </w:r>
      <w:r>
        <w:rPr>
          <w:rFonts w:ascii="Times New Roman" w:hAnsi="Times New Roman" w:cs="Times New Roman"/>
          <w:i/>
          <w:iCs/>
          <w:color w:val="222222"/>
          <w:sz w:val="24"/>
          <w:szCs w:val="24"/>
          <w:shd w:val="clear" w:color="auto" w:fill="FFFFFF"/>
        </w:rPr>
        <w:t>Biodiversity and Conservation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19</w:t>
      </w:r>
      <w:r>
        <w:rPr>
          <w:rFonts w:ascii="Times New Roman" w:hAnsi="Times New Roman" w:cs="Times New Roman"/>
          <w:color w:val="222222"/>
          <w:sz w:val="24"/>
          <w:szCs w:val="24"/>
          <w:shd w:val="clear" w:color="auto" w:fill="FFFFFF"/>
        </w:rPr>
        <w:t>, 1261-1267.</w:t>
      </w:r>
    </w:p>
    <w:p w14:paraId="021CC1B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26" w:name="_Hlk125993641"/>
      <w:r>
        <w:rPr>
          <w:rFonts w:ascii="Times New Roman" w:hAnsi="Times New Roman" w:cs="Times New Roman"/>
          <w:color w:val="222222"/>
          <w:sz w:val="24"/>
          <w:szCs w:val="24"/>
          <w:shd w:val="clear" w:color="auto" w:fill="FFFFFF"/>
        </w:rPr>
        <w:t>Hsieh, M. L., Dawson, P. H., &amp; Yang, S. Q. (2021)</w:t>
      </w:r>
      <w:bookmarkEnd w:id="2426"/>
      <w:r>
        <w:rPr>
          <w:rFonts w:ascii="Times New Roman" w:hAnsi="Times New Roman" w:cs="Times New Roman"/>
          <w:color w:val="222222"/>
          <w:sz w:val="24"/>
          <w:szCs w:val="24"/>
          <w:shd w:val="clear" w:color="auto" w:fill="FFFFFF"/>
        </w:rPr>
        <w:t>. The ACRL Framework successes and challenges since 2016: A survey. </w:t>
      </w:r>
      <w:r>
        <w:rPr>
          <w:rFonts w:ascii="Times New Roman" w:hAnsi="Times New Roman" w:cs="Times New Roman"/>
          <w:i/>
          <w:iCs/>
          <w:color w:val="222222"/>
          <w:sz w:val="24"/>
          <w:szCs w:val="24"/>
          <w:shd w:val="clear" w:color="auto" w:fill="FFFFFF"/>
        </w:rPr>
        <w:t>The Journal of Academic Librarianship</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47</w:t>
      </w:r>
      <w:r>
        <w:rPr>
          <w:rFonts w:ascii="Times New Roman" w:hAnsi="Times New Roman" w:cs="Times New Roman"/>
          <w:color w:val="222222"/>
          <w:sz w:val="24"/>
          <w:szCs w:val="24"/>
          <w:shd w:val="clear" w:color="auto" w:fill="FFFFFF"/>
        </w:rPr>
        <w:t>(2), 102306.</w:t>
      </w:r>
    </w:p>
    <w:p w14:paraId="24412F2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Hurwitz, S. R., &amp; Slawson, D. C. (2010). Should we be teaching information management instead of evidence-based medicine?. </w:t>
      </w:r>
      <w:r>
        <w:rPr>
          <w:rFonts w:ascii="Times New Roman" w:hAnsi="Times New Roman" w:cs="Times New Roman"/>
          <w:i/>
          <w:iCs/>
          <w:color w:val="222222"/>
          <w:sz w:val="24"/>
          <w:szCs w:val="24"/>
          <w:shd w:val="clear" w:color="auto" w:fill="FFFFFF"/>
        </w:rPr>
        <w:t>Clinical Orthopaedics and Related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468</w:t>
      </w:r>
      <w:r>
        <w:rPr>
          <w:rFonts w:ascii="Times New Roman" w:hAnsi="Times New Roman" w:cs="Times New Roman"/>
          <w:color w:val="222222"/>
          <w:sz w:val="24"/>
          <w:szCs w:val="24"/>
          <w:shd w:val="clear" w:color="auto" w:fill="FFFFFF"/>
        </w:rPr>
        <w:t>, 2633-2639.</w:t>
      </w:r>
      <w:bookmarkStart w:id="2427" w:name="_Hlk182134307"/>
      <w:bookmarkStart w:id="2428" w:name="_Hlk182134232"/>
    </w:p>
    <w:p w14:paraId="73B9B2B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Iannuzzi, P. (2000). Information literacy competency standards for higher education. </w:t>
      </w:r>
      <w:r>
        <w:rPr>
          <w:rFonts w:ascii="Times New Roman" w:hAnsi="Times New Roman" w:cs="Times New Roman"/>
          <w:i/>
          <w:iCs/>
          <w:color w:val="222222"/>
          <w:sz w:val="24"/>
          <w:szCs w:val="24"/>
          <w:shd w:val="clear" w:color="auto" w:fill="FFFFFF"/>
        </w:rPr>
        <w:t>Community &amp; junior college libraries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w:t>
      </w:r>
      <w:r>
        <w:rPr>
          <w:rFonts w:ascii="Times New Roman" w:hAnsi="Times New Roman" w:cs="Times New Roman"/>
          <w:color w:val="222222"/>
          <w:sz w:val="24"/>
          <w:szCs w:val="24"/>
          <w:shd w:val="clear" w:color="auto" w:fill="FFFFFF"/>
        </w:rPr>
        <w:t>(4), 63-67.</w:t>
      </w:r>
    </w:p>
    <w:bookmarkEnd w:id="2427"/>
    <w:p w14:paraId="36093FD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Idiodi, E. A. (2005). Approaches to information literacy acquisition in Nigeria. </w:t>
      </w:r>
      <w:r>
        <w:rPr>
          <w:rFonts w:ascii="Times New Roman" w:hAnsi="Times New Roman" w:cs="Times New Roman"/>
          <w:i/>
          <w:iCs/>
          <w:color w:val="222222"/>
          <w:sz w:val="24"/>
          <w:szCs w:val="24"/>
          <w:shd w:val="clear" w:color="auto" w:fill="FFFFFF"/>
        </w:rPr>
        <w:t>Library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54</w:t>
      </w:r>
      <w:r>
        <w:rPr>
          <w:rFonts w:ascii="Times New Roman" w:hAnsi="Times New Roman" w:cs="Times New Roman"/>
          <w:color w:val="222222"/>
          <w:sz w:val="24"/>
          <w:szCs w:val="24"/>
          <w:shd w:val="clear" w:color="auto" w:fill="FFFFFF"/>
        </w:rPr>
        <w:t>(4), 223-230.</w:t>
      </w:r>
    </w:p>
    <w:p w14:paraId="1BE3DC0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29" w:name="_Hlk129082592"/>
      <w:bookmarkEnd w:id="2428"/>
      <w:r>
        <w:rPr>
          <w:rFonts w:ascii="Times New Roman" w:hAnsi="Times New Roman" w:cs="Times New Roman"/>
          <w:color w:val="222222"/>
          <w:sz w:val="24"/>
          <w:szCs w:val="24"/>
          <w:shd w:val="clear" w:color="auto" w:fill="FFFFFF"/>
        </w:rPr>
        <w:t xml:space="preserve">Inskip, C. (2015). </w:t>
      </w:r>
      <w:bookmarkEnd w:id="2429"/>
      <w:r>
        <w:rPr>
          <w:rFonts w:ascii="Times New Roman" w:hAnsi="Times New Roman" w:cs="Times New Roman"/>
          <w:color w:val="222222"/>
          <w:sz w:val="24"/>
          <w:szCs w:val="24"/>
          <w:shd w:val="clear" w:color="auto" w:fill="FFFFFF"/>
        </w:rPr>
        <w:t>Information literacy in LIS education: exploring the student view. </w:t>
      </w:r>
      <w:r>
        <w:rPr>
          <w:rFonts w:ascii="Times New Roman" w:hAnsi="Times New Roman" w:cs="Times New Roman"/>
          <w:i/>
          <w:iCs/>
          <w:color w:val="222222"/>
          <w:sz w:val="24"/>
          <w:szCs w:val="24"/>
          <w:shd w:val="clear" w:color="auto" w:fill="FFFFFF"/>
        </w:rPr>
        <w:t>Journal of Information Literacy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w:t>
      </w:r>
      <w:r>
        <w:rPr>
          <w:rFonts w:ascii="Times New Roman" w:hAnsi="Times New Roman" w:cs="Times New Roman"/>
          <w:color w:val="222222"/>
          <w:sz w:val="24"/>
          <w:szCs w:val="24"/>
          <w:shd w:val="clear" w:color="auto" w:fill="FFFFFF"/>
        </w:rPr>
        <w:t>(2).</w:t>
      </w:r>
    </w:p>
    <w:p w14:paraId="0F7CAAC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Ireri, J. M., Evans, N., &amp; Ocholla, D. (2022). Information literacy standards of school libraries of Nairobi and Tharaka-Nithi counties, Kenya.</w:t>
      </w:r>
    </w:p>
    <w:p w14:paraId="3CAF2FB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Ishtiaq, M. (2019). Book Review Creswell, JW (2014). Research Design: Qualitative, Quantitative and Mixed Methods Approaches. Thousand Oaks, CA: Sage. </w:t>
      </w:r>
      <w:r>
        <w:rPr>
          <w:rFonts w:ascii="Times New Roman" w:hAnsi="Times New Roman" w:cs="Times New Roman"/>
          <w:i/>
          <w:iCs/>
          <w:color w:val="222222"/>
          <w:sz w:val="24"/>
          <w:szCs w:val="24"/>
          <w:shd w:val="clear" w:color="auto" w:fill="FFFFFF"/>
        </w:rPr>
        <w:t>English Language Teaching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12</w:t>
      </w:r>
      <w:r>
        <w:rPr>
          <w:rFonts w:ascii="Times New Roman" w:hAnsi="Times New Roman" w:cs="Times New Roman"/>
          <w:color w:val="222222"/>
          <w:sz w:val="24"/>
          <w:szCs w:val="24"/>
          <w:shd w:val="clear" w:color="auto" w:fill="FFFFFF"/>
        </w:rPr>
        <w:t>(5), 40.</w:t>
      </w:r>
    </w:p>
    <w:p w14:paraId="27C545A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30" w:name="_Hlk128474492"/>
      <w:r>
        <w:rPr>
          <w:rFonts w:ascii="Times New Roman" w:hAnsi="Times New Roman" w:cs="Times New Roman"/>
          <w:color w:val="222222"/>
          <w:sz w:val="24"/>
          <w:szCs w:val="24"/>
          <w:shd w:val="clear" w:color="auto" w:fill="FFFFFF"/>
        </w:rPr>
        <w:t xml:space="preserve">Ismaila, Y. A. (2019). </w:t>
      </w:r>
      <w:bookmarkEnd w:id="2430"/>
      <w:r>
        <w:rPr>
          <w:rFonts w:ascii="Times New Roman" w:hAnsi="Times New Roman" w:cs="Times New Roman"/>
          <w:color w:val="222222"/>
          <w:sz w:val="24"/>
          <w:szCs w:val="24"/>
          <w:shd w:val="clear" w:color="auto" w:fill="FFFFFF"/>
        </w:rPr>
        <w:t>Information Litreacy Skills on the Use of Electronic Resources by Undergraduates Students of University of Ilorin and Kwara State University Malete, Kwara State, Nigeria. </w:t>
      </w:r>
      <w:r>
        <w:rPr>
          <w:rFonts w:ascii="Times New Roman" w:hAnsi="Times New Roman" w:cs="Times New Roman"/>
          <w:i/>
          <w:iCs/>
          <w:color w:val="222222"/>
          <w:sz w:val="24"/>
          <w:szCs w:val="24"/>
          <w:shd w:val="clear" w:color="auto" w:fill="FFFFFF"/>
        </w:rPr>
        <w:t>Library Philosophy and Practice</w:t>
      </w:r>
      <w:r>
        <w:rPr>
          <w:rFonts w:ascii="Times New Roman" w:hAnsi="Times New Roman" w:cs="Times New Roman"/>
          <w:color w:val="222222"/>
          <w:sz w:val="24"/>
          <w:szCs w:val="24"/>
          <w:shd w:val="clear" w:color="auto" w:fill="FFFFFF"/>
        </w:rPr>
        <w:t>, 1-21.</w:t>
      </w:r>
    </w:p>
    <w:p w14:paraId="560E2C4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31" w:name="_Hlk126051877"/>
      <w:r>
        <w:rPr>
          <w:rFonts w:ascii="Times New Roman" w:hAnsi="Times New Roman" w:cs="Times New Roman"/>
          <w:color w:val="222222"/>
          <w:sz w:val="24"/>
          <w:szCs w:val="24"/>
          <w:shd w:val="clear" w:color="auto" w:fill="FFFFFF"/>
        </w:rPr>
        <w:lastRenderedPageBreak/>
        <w:t>Jacobs, S. K., Rosenfeld, P., &amp; Haber, J. (2003</w:t>
      </w:r>
      <w:bookmarkEnd w:id="2431"/>
      <w:r>
        <w:rPr>
          <w:rFonts w:ascii="Times New Roman" w:hAnsi="Times New Roman" w:cs="Times New Roman"/>
          <w:color w:val="222222"/>
          <w:sz w:val="24"/>
          <w:szCs w:val="24"/>
          <w:shd w:val="clear" w:color="auto" w:fill="FFFFFF"/>
        </w:rPr>
        <w:t>). Information literacy as the foundation for evidence-based practice in graduate nursing education: a curriculum-integrated approach. </w:t>
      </w:r>
      <w:r>
        <w:rPr>
          <w:rFonts w:ascii="Times New Roman" w:hAnsi="Times New Roman" w:cs="Times New Roman"/>
          <w:i/>
          <w:iCs/>
          <w:color w:val="222222"/>
          <w:sz w:val="24"/>
          <w:szCs w:val="24"/>
          <w:shd w:val="clear" w:color="auto" w:fill="FFFFFF"/>
        </w:rPr>
        <w:t>Journal of Professional Nursing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19</w:t>
      </w:r>
      <w:r>
        <w:rPr>
          <w:rFonts w:ascii="Times New Roman" w:hAnsi="Times New Roman" w:cs="Times New Roman"/>
          <w:color w:val="222222"/>
          <w:sz w:val="24"/>
          <w:szCs w:val="24"/>
          <w:shd w:val="clear" w:color="auto" w:fill="FFFFFF"/>
        </w:rPr>
        <w:t>(5), 320-328.</w:t>
      </w:r>
    </w:p>
    <w:p w14:paraId="78C47481" w14:textId="77777777" w:rsidR="00B01D46" w:rsidRDefault="0067013E">
      <w:pPr>
        <w:spacing w:line="240" w:lineRule="auto"/>
        <w:ind w:left="720" w:hanging="720"/>
        <w:jc w:val="both"/>
        <w:rPr>
          <w:rFonts w:ascii="Times New Roman" w:hAnsi="Times New Roman" w:cs="Times New Roman"/>
          <w:sz w:val="24"/>
          <w:szCs w:val="24"/>
        </w:rPr>
      </w:pPr>
      <w:bookmarkStart w:id="2432" w:name="_Hlk182168279"/>
      <w:r>
        <w:rPr>
          <w:rFonts w:ascii="Times New Roman" w:hAnsi="Times New Roman" w:cs="Times New Roman"/>
          <w:sz w:val="24"/>
          <w:szCs w:val="24"/>
        </w:rPr>
        <w:t>John</w:t>
      </w:r>
      <w:bookmarkEnd w:id="2432"/>
      <w:r>
        <w:rPr>
          <w:rFonts w:ascii="Times New Roman" w:hAnsi="Times New Roman" w:cs="Times New Roman"/>
          <w:sz w:val="24"/>
          <w:szCs w:val="24"/>
        </w:rPr>
        <w:t xml:space="preserve">, H.C., Eti, C.C. and Ukangwa, C.C. (2015), </w:t>
      </w:r>
      <w:bookmarkStart w:id="2433" w:name="_Hlk132099828"/>
      <w:r>
        <w:rPr>
          <w:rFonts w:ascii="Times New Roman" w:hAnsi="Times New Roman" w:cs="Times New Roman"/>
          <w:sz w:val="24"/>
          <w:szCs w:val="24"/>
        </w:rPr>
        <w:t>“Information literacy education among faculty and students: the role of Laz Otti memorial library, Babcock University, Nigeria</w:t>
      </w:r>
      <w:bookmarkEnd w:id="2433"/>
      <w:r>
        <w:rPr>
          <w:rFonts w:ascii="Times New Roman" w:hAnsi="Times New Roman" w:cs="Times New Roman"/>
          <w:sz w:val="24"/>
          <w:szCs w:val="24"/>
        </w:rPr>
        <w:t>”, Information and Knowledge Management, Vol. 5 No. 5, pp. 25-30.</w:t>
      </w:r>
    </w:p>
    <w:p w14:paraId="23B6703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Johnson, D. W., &amp; Johnson, R. T. (2016). Cooperative, competitive, and individualistic learning. </w:t>
      </w:r>
      <w:r>
        <w:rPr>
          <w:rFonts w:ascii="Times New Roman" w:hAnsi="Times New Roman" w:cs="Times New Roman"/>
          <w:i/>
          <w:iCs/>
          <w:color w:val="222222"/>
          <w:sz w:val="24"/>
          <w:szCs w:val="24"/>
          <w:shd w:val="clear" w:color="auto" w:fill="FFFFFF"/>
        </w:rPr>
        <w:t>Journal of Research &amp; Development in Education</w:t>
      </w:r>
      <w:r>
        <w:rPr>
          <w:rFonts w:ascii="Times New Roman" w:hAnsi="Times New Roman" w:cs="Times New Roman"/>
          <w:color w:val="222222"/>
          <w:sz w:val="24"/>
          <w:szCs w:val="24"/>
          <w:shd w:val="clear" w:color="auto" w:fill="FFFFFF"/>
        </w:rPr>
        <w:t>.</w:t>
      </w:r>
    </w:p>
    <w:p w14:paraId="28FC222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Johnson, J. L., Adkins, D., &amp; Chauvin, S. (2020). A review of the quality indicators of rigor in qualitative research. </w:t>
      </w:r>
      <w:r>
        <w:rPr>
          <w:rFonts w:ascii="Times New Roman" w:hAnsi="Times New Roman" w:cs="Times New Roman"/>
          <w:i/>
          <w:iCs/>
          <w:color w:val="222222"/>
          <w:sz w:val="24"/>
          <w:szCs w:val="24"/>
          <w:shd w:val="clear" w:color="auto" w:fill="FFFFFF"/>
        </w:rPr>
        <w:t>American journal of pharmaceutical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84</w:t>
      </w:r>
      <w:r>
        <w:rPr>
          <w:rFonts w:ascii="Times New Roman" w:hAnsi="Times New Roman" w:cs="Times New Roman"/>
          <w:color w:val="222222"/>
          <w:sz w:val="24"/>
          <w:szCs w:val="24"/>
          <w:shd w:val="clear" w:color="auto" w:fill="FFFFFF"/>
        </w:rPr>
        <w:t>(1).</w:t>
      </w:r>
    </w:p>
    <w:p w14:paraId="6BB838F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Johnson, M. M., &amp; Webber, M. A. (2003). Activity of faropenem and imipenem for ciprofloxacin-resistant bacteria. </w:t>
      </w:r>
      <w:r>
        <w:rPr>
          <w:rFonts w:ascii="Times New Roman" w:hAnsi="Times New Roman" w:cs="Times New Roman"/>
          <w:i/>
          <w:iCs/>
          <w:color w:val="222222"/>
          <w:sz w:val="24"/>
          <w:szCs w:val="24"/>
          <w:shd w:val="clear" w:color="auto" w:fill="FFFFFF"/>
        </w:rPr>
        <w:t>Journal of Antimicrobial Chemotherapy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52</w:t>
      </w:r>
      <w:r>
        <w:rPr>
          <w:rFonts w:ascii="Times New Roman" w:hAnsi="Times New Roman" w:cs="Times New Roman"/>
          <w:color w:val="222222"/>
          <w:sz w:val="24"/>
          <w:szCs w:val="24"/>
          <w:shd w:val="clear" w:color="auto" w:fill="FFFFFF"/>
        </w:rPr>
        <w:t>(3), 500-502.</w:t>
      </w:r>
    </w:p>
    <w:p w14:paraId="156F52E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Johnson, P. I., Sutton, P., Atchley, D. S., Koustas, E., Lam, J., Sen, S., ... &amp; Woodruff, T. J. (2014). The Navigation Guide—evidence-based medicine meets environmental health: systematic review of human evidence for PFOA effects on fetal growth. </w:t>
      </w:r>
      <w:r>
        <w:rPr>
          <w:rFonts w:ascii="Times New Roman" w:hAnsi="Times New Roman" w:cs="Times New Roman"/>
          <w:i/>
          <w:iCs/>
          <w:color w:val="222222"/>
          <w:sz w:val="24"/>
          <w:szCs w:val="24"/>
          <w:shd w:val="clear" w:color="auto" w:fill="FFFFFF"/>
        </w:rPr>
        <w:t>Environmental health perspectives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122</w:t>
      </w:r>
      <w:r>
        <w:rPr>
          <w:rFonts w:ascii="Times New Roman" w:hAnsi="Times New Roman" w:cs="Times New Roman"/>
          <w:color w:val="222222"/>
          <w:sz w:val="24"/>
          <w:szCs w:val="24"/>
          <w:shd w:val="clear" w:color="auto" w:fill="FFFFFF"/>
        </w:rPr>
        <w:t>(10), 1028-1039.</w:t>
      </w:r>
    </w:p>
    <w:p w14:paraId="6ACC075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Johnson, R. B., &amp; Onwuegbuzie, A. J. (2004). Mixed methods research: A research paradigm whose time has come. </w:t>
      </w:r>
      <w:r>
        <w:rPr>
          <w:rFonts w:ascii="Times New Roman" w:hAnsi="Times New Roman" w:cs="Times New Roman"/>
          <w:i/>
          <w:iCs/>
          <w:color w:val="222222"/>
          <w:sz w:val="24"/>
          <w:szCs w:val="24"/>
          <w:shd w:val="clear" w:color="auto" w:fill="FFFFFF"/>
        </w:rPr>
        <w:t>Educational researcher</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33</w:t>
      </w:r>
      <w:r>
        <w:rPr>
          <w:rFonts w:ascii="Times New Roman" w:hAnsi="Times New Roman" w:cs="Times New Roman"/>
          <w:color w:val="222222"/>
          <w:sz w:val="24"/>
          <w:szCs w:val="24"/>
          <w:shd w:val="clear" w:color="auto" w:fill="FFFFFF"/>
        </w:rPr>
        <w:t>(7), 14-26.</w:t>
      </w:r>
    </w:p>
    <w:p w14:paraId="3041660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Johnston, B., &amp; Webber, S. (2003). Information literacy in higher education: a review and case study. </w:t>
      </w:r>
      <w:r>
        <w:rPr>
          <w:rFonts w:ascii="Times New Roman" w:hAnsi="Times New Roman" w:cs="Times New Roman"/>
          <w:i/>
          <w:iCs/>
          <w:color w:val="222222"/>
          <w:sz w:val="24"/>
          <w:szCs w:val="24"/>
          <w:shd w:val="clear" w:color="auto" w:fill="FFFFFF"/>
        </w:rPr>
        <w:t>Studies in higher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(3), 335-352.</w:t>
      </w:r>
    </w:p>
    <w:p w14:paraId="57F3C5A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Johnston, B., &amp; Webber, S. (2018). Information literacy in higher education: a review and case study. </w:t>
      </w:r>
      <w:r>
        <w:rPr>
          <w:rFonts w:ascii="Times New Roman" w:hAnsi="Times New Roman" w:cs="Times New Roman"/>
          <w:i/>
          <w:iCs/>
          <w:color w:val="222222"/>
          <w:sz w:val="24"/>
          <w:szCs w:val="24"/>
          <w:shd w:val="clear" w:color="auto" w:fill="FFFFFF"/>
        </w:rPr>
        <w:t>Studies in higher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(3), 335-352.</w:t>
      </w:r>
    </w:p>
    <w:p w14:paraId="3DF175F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Joseph, I., Ondrusek, A., Dent, V. F., &amp; Williams, C. (2005). A longitudinal study of the development and evaluation of an information literacy test. </w:t>
      </w:r>
      <w:r>
        <w:rPr>
          <w:rFonts w:ascii="Times New Roman" w:hAnsi="Times New Roman" w:cs="Times New Roman"/>
          <w:i/>
          <w:iCs/>
          <w:color w:val="222222"/>
          <w:sz w:val="24"/>
          <w:szCs w:val="24"/>
          <w:shd w:val="clear" w:color="auto" w:fill="FFFFFF"/>
        </w:rPr>
        <w:t>Reference Services Review</w:t>
      </w:r>
      <w:r>
        <w:rPr>
          <w:rFonts w:ascii="Times New Roman" w:hAnsi="Times New Roman" w:cs="Times New Roman"/>
          <w:color w:val="222222"/>
          <w:sz w:val="24"/>
          <w:szCs w:val="24"/>
          <w:shd w:val="clear" w:color="auto" w:fill="FFFFFF"/>
        </w:rPr>
        <w:t>.</w:t>
      </w:r>
    </w:p>
    <w:p w14:paraId="7347AC0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Jowi, J. (2003). Governing higher education in the stakeholder society. </w:t>
      </w:r>
      <w:r>
        <w:rPr>
          <w:rFonts w:ascii="Times New Roman" w:hAnsi="Times New Roman" w:cs="Times New Roman"/>
          <w:i/>
          <w:iCs/>
          <w:color w:val="222222"/>
          <w:sz w:val="24"/>
          <w:szCs w:val="24"/>
          <w:shd w:val="clear" w:color="auto" w:fill="FFFFFF"/>
        </w:rPr>
        <w:t>Rethinking the Role of the State in Kenya’s Higher Education</w:t>
      </w:r>
      <w:r>
        <w:rPr>
          <w:rFonts w:ascii="Times New Roman" w:hAnsi="Times New Roman" w:cs="Times New Roman"/>
          <w:color w:val="222222"/>
          <w:sz w:val="24"/>
          <w:szCs w:val="24"/>
          <w:shd w:val="clear" w:color="auto" w:fill="FFFFFF"/>
        </w:rPr>
        <w:t>.</w:t>
      </w:r>
    </w:p>
    <w:p w14:paraId="1FA012F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Julien, H. (1998), “</w:t>
      </w:r>
      <w:bookmarkStart w:id="2434" w:name="_Hlk132100061"/>
      <w:r>
        <w:rPr>
          <w:rFonts w:ascii="Times New Roman" w:hAnsi="Times New Roman" w:cs="Times New Roman"/>
          <w:sz w:val="24"/>
          <w:szCs w:val="24"/>
        </w:rPr>
        <w:t>User education in New Zealand tertiary libraries: an international comparison</w:t>
      </w:r>
      <w:bookmarkEnd w:id="2434"/>
      <w:r>
        <w:rPr>
          <w:rFonts w:ascii="Times New Roman" w:hAnsi="Times New Roman" w:cs="Times New Roman"/>
          <w:sz w:val="24"/>
          <w:szCs w:val="24"/>
        </w:rPr>
        <w:t>”, The Journal of Academic Librarianship, Vol. 24 No. 4, pp. 304-31</w:t>
      </w:r>
    </w:p>
    <w:p w14:paraId="5B054A7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35" w:name="_Hlk126061774"/>
      <w:r>
        <w:rPr>
          <w:rFonts w:ascii="Times New Roman" w:hAnsi="Times New Roman" w:cs="Times New Roman"/>
          <w:color w:val="222222"/>
          <w:sz w:val="24"/>
          <w:szCs w:val="24"/>
          <w:shd w:val="clear" w:color="auto" w:fill="FFFFFF"/>
        </w:rPr>
        <w:t xml:space="preserve">Julien, H., &amp; Barker, S. (2009). </w:t>
      </w:r>
      <w:bookmarkEnd w:id="2435"/>
      <w:r>
        <w:rPr>
          <w:rFonts w:ascii="Times New Roman" w:hAnsi="Times New Roman" w:cs="Times New Roman"/>
          <w:color w:val="222222"/>
          <w:sz w:val="24"/>
          <w:szCs w:val="24"/>
          <w:shd w:val="clear" w:color="auto" w:fill="FFFFFF"/>
        </w:rPr>
        <w:t>How high-school students find and evaluate scientific information: A basis for information literacy skills development. </w:t>
      </w:r>
      <w:r>
        <w:rPr>
          <w:rFonts w:ascii="Times New Roman" w:hAnsi="Times New Roman" w:cs="Times New Roman"/>
          <w:i/>
          <w:iCs/>
          <w:color w:val="222222"/>
          <w:sz w:val="24"/>
          <w:szCs w:val="24"/>
          <w:shd w:val="clear" w:color="auto" w:fill="FFFFFF"/>
        </w:rPr>
        <w:t>Library &amp; Information Science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31</w:t>
      </w:r>
      <w:r>
        <w:rPr>
          <w:rFonts w:ascii="Times New Roman" w:hAnsi="Times New Roman" w:cs="Times New Roman"/>
          <w:color w:val="222222"/>
          <w:sz w:val="24"/>
          <w:szCs w:val="24"/>
          <w:shd w:val="clear" w:color="auto" w:fill="FFFFFF"/>
        </w:rPr>
        <w:t>(1), 12-17.</w:t>
      </w:r>
    </w:p>
    <w:p w14:paraId="7506161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36" w:name="_Hlk125994159"/>
      <w:r>
        <w:rPr>
          <w:rFonts w:ascii="Times New Roman" w:hAnsi="Times New Roman" w:cs="Times New Roman"/>
          <w:color w:val="222222"/>
          <w:sz w:val="24"/>
          <w:szCs w:val="24"/>
          <w:shd w:val="clear" w:color="auto" w:fill="FFFFFF"/>
        </w:rPr>
        <w:t xml:space="preserve">Julien, H., &amp; Barker, S. (2009). </w:t>
      </w:r>
      <w:bookmarkEnd w:id="2436"/>
      <w:r>
        <w:rPr>
          <w:rFonts w:ascii="Times New Roman" w:hAnsi="Times New Roman" w:cs="Times New Roman"/>
          <w:color w:val="222222"/>
          <w:sz w:val="24"/>
          <w:szCs w:val="24"/>
          <w:shd w:val="clear" w:color="auto" w:fill="FFFFFF"/>
        </w:rPr>
        <w:t>How high-school students find and evaluate scientific information: A basis for information literacy skills development. </w:t>
      </w:r>
      <w:r>
        <w:rPr>
          <w:rFonts w:ascii="Times New Roman" w:hAnsi="Times New Roman" w:cs="Times New Roman"/>
          <w:i/>
          <w:iCs/>
          <w:color w:val="222222"/>
          <w:sz w:val="24"/>
          <w:szCs w:val="24"/>
          <w:shd w:val="clear" w:color="auto" w:fill="FFFFFF"/>
        </w:rPr>
        <w:t>Library &amp; Information Science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31</w:t>
      </w:r>
      <w:r>
        <w:rPr>
          <w:rFonts w:ascii="Times New Roman" w:hAnsi="Times New Roman" w:cs="Times New Roman"/>
          <w:color w:val="222222"/>
          <w:sz w:val="24"/>
          <w:szCs w:val="24"/>
          <w:shd w:val="clear" w:color="auto" w:fill="FFFFFF"/>
        </w:rPr>
        <w:t>(1), 12-17.</w:t>
      </w:r>
    </w:p>
    <w:p w14:paraId="058B2570" w14:textId="77777777" w:rsidR="00B01D46" w:rsidRDefault="0067013E">
      <w:pPr>
        <w:spacing w:after="0" w:line="240" w:lineRule="auto"/>
        <w:rPr>
          <w:rFonts w:ascii="Times New Roman" w:hAnsi="Times New Roman" w:cs="Times New Roman"/>
          <w:color w:val="222222"/>
          <w:sz w:val="24"/>
          <w:szCs w:val="24"/>
          <w:shd w:val="clear" w:color="auto" w:fill="FFFFFF"/>
        </w:rPr>
      </w:pPr>
      <w:bookmarkStart w:id="2437" w:name="_Hlk126061878"/>
      <w:r>
        <w:rPr>
          <w:rFonts w:ascii="Times New Roman" w:hAnsi="Times New Roman" w:cs="Times New Roman"/>
          <w:color w:val="222222"/>
          <w:sz w:val="24"/>
          <w:szCs w:val="24"/>
          <w:shd w:val="clear" w:color="auto" w:fill="FFFFFF"/>
        </w:rPr>
        <w:br w:type="page"/>
      </w:r>
    </w:p>
    <w:p w14:paraId="4627F78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Kadada, C., &amp; Tshabalala, T. (2019). </w:t>
      </w:r>
      <w:bookmarkEnd w:id="2437"/>
      <w:r>
        <w:rPr>
          <w:rFonts w:ascii="Times New Roman" w:hAnsi="Times New Roman" w:cs="Times New Roman"/>
          <w:color w:val="222222"/>
          <w:sz w:val="24"/>
          <w:szCs w:val="24"/>
          <w:shd w:val="clear" w:color="auto" w:fill="FFFFFF"/>
        </w:rPr>
        <w:t>Information and Communication Technologies’ (ICTs) Enhancing Teaching and Learning in ODL. </w:t>
      </w:r>
      <w:r>
        <w:rPr>
          <w:rFonts w:ascii="Times New Roman" w:hAnsi="Times New Roman" w:cs="Times New Roman"/>
          <w:i/>
          <w:iCs/>
          <w:color w:val="222222"/>
          <w:sz w:val="24"/>
          <w:szCs w:val="24"/>
          <w:shd w:val="clear" w:color="auto" w:fill="FFFFFF"/>
        </w:rPr>
        <w:t>International Journal of Social Sciences &amp; Educational Studies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(2), 14.</w:t>
      </w:r>
    </w:p>
    <w:p w14:paraId="064EE416" w14:textId="77777777" w:rsidR="00B01D46" w:rsidRDefault="0067013E">
      <w:pPr>
        <w:pStyle w:val="PlainText"/>
        <w:spacing w:after="160"/>
        <w:ind w:left="720" w:hanging="720"/>
        <w:rPr>
          <w:rFonts w:ascii="Times New Roman" w:hAnsi="Times New Roman" w:cs="Times New Roman"/>
          <w:sz w:val="24"/>
          <w:szCs w:val="24"/>
        </w:rPr>
      </w:pPr>
      <w:r>
        <w:rPr>
          <w:rFonts w:ascii="Times New Roman" w:hAnsi="Times New Roman" w:cs="Times New Roman"/>
          <w:sz w:val="24"/>
          <w:szCs w:val="24"/>
        </w:rPr>
        <w:t>Kamau, G. &amp; Adika, F. (2019) Collaboration Between the Faculty and Librarians to Improve Students" Information Literacy Skills at Strathmore University</w:t>
      </w:r>
    </w:p>
    <w:p w14:paraId="1B90D9C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Kamba, M. A. (2011). ICT competency framework for library and information science schools in Nigeria: The need for model curriculum. </w:t>
      </w:r>
      <w:r>
        <w:rPr>
          <w:rFonts w:ascii="Times New Roman" w:hAnsi="Times New Roman" w:cs="Times New Roman"/>
          <w:i/>
          <w:iCs/>
          <w:color w:val="222222"/>
          <w:sz w:val="24"/>
          <w:szCs w:val="24"/>
          <w:shd w:val="clear" w:color="auto" w:fill="FFFFFF"/>
        </w:rPr>
        <w:t>International Journal of Library and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w:t>
      </w:r>
      <w:r>
        <w:rPr>
          <w:rFonts w:ascii="Times New Roman" w:hAnsi="Times New Roman" w:cs="Times New Roman"/>
          <w:color w:val="222222"/>
          <w:sz w:val="24"/>
          <w:szCs w:val="24"/>
          <w:shd w:val="clear" w:color="auto" w:fill="FFFFFF"/>
        </w:rPr>
        <w:t>(4), 68-80.</w:t>
      </w:r>
    </w:p>
    <w:p w14:paraId="1EFEE96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Kanguha, E. M. (2016). </w:t>
      </w:r>
      <w:r>
        <w:rPr>
          <w:rFonts w:ascii="Times New Roman" w:hAnsi="Times New Roman" w:cs="Times New Roman"/>
          <w:i/>
          <w:iCs/>
          <w:color w:val="222222"/>
          <w:sz w:val="24"/>
          <w:szCs w:val="24"/>
          <w:shd w:val="clear" w:color="auto" w:fill="FFFFFF"/>
        </w:rPr>
        <w:t>Information literacy learning experiences of fourth-year psychology students in Kenyan universities</w:t>
      </w:r>
      <w:r>
        <w:rPr>
          <w:rFonts w:ascii="Times New Roman" w:hAnsi="Times New Roman" w:cs="Times New Roman"/>
          <w:color w:val="222222"/>
          <w:sz w:val="24"/>
          <w:szCs w:val="24"/>
          <w:shd w:val="clear" w:color="auto" w:fill="FFFFFF"/>
        </w:rPr>
        <w:t> (Doctoral dissertation).</w:t>
      </w:r>
    </w:p>
    <w:p w14:paraId="344CECE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Kanyengo, C. W., &amp; Kamau, N. (2020). Information literacy policies and practices in health science and medical libraries in Kenya. </w:t>
      </w:r>
      <w:r>
        <w:rPr>
          <w:rFonts w:ascii="Times New Roman" w:hAnsi="Times New Roman" w:cs="Times New Roman"/>
          <w:i/>
          <w:iCs/>
          <w:color w:val="222222"/>
          <w:sz w:val="24"/>
          <w:szCs w:val="24"/>
          <w:shd w:val="clear" w:color="auto" w:fill="FFFFFF"/>
        </w:rPr>
        <w:t>Zambia Journal of Library &amp; Information Science (ZAJLIS), ISSN: 2708-2695</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(1).</w:t>
      </w:r>
    </w:p>
    <w:p w14:paraId="06296DF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Kapiriri, L., &amp; Bondy, S. J. (2006). Health practitioners’ and health planners’ information needs and seeking behavior for decision making in Uganda. </w:t>
      </w:r>
      <w:r>
        <w:rPr>
          <w:rFonts w:ascii="Times New Roman" w:hAnsi="Times New Roman" w:cs="Times New Roman"/>
          <w:i/>
          <w:iCs/>
          <w:color w:val="222222"/>
          <w:sz w:val="24"/>
          <w:szCs w:val="24"/>
          <w:shd w:val="clear" w:color="auto" w:fill="FFFFFF"/>
        </w:rPr>
        <w:t>International journal of medical informatics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75</w:t>
      </w:r>
      <w:r>
        <w:rPr>
          <w:rFonts w:ascii="Times New Roman" w:hAnsi="Times New Roman" w:cs="Times New Roman"/>
          <w:color w:val="222222"/>
          <w:sz w:val="24"/>
          <w:szCs w:val="24"/>
          <w:shd w:val="clear" w:color="auto" w:fill="FFFFFF"/>
        </w:rPr>
        <w:t>(10-11), 714-721.</w:t>
      </w:r>
    </w:p>
    <w:p w14:paraId="7E6CE6A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Katundu, D. R. M. (2004). Mainstreaming Information Literacy Across University Curricula In Tanzania. </w:t>
      </w:r>
      <w:r>
        <w:rPr>
          <w:rFonts w:ascii="Times New Roman" w:hAnsi="Times New Roman" w:cs="Times New Roman"/>
          <w:i/>
          <w:iCs/>
          <w:color w:val="222222"/>
          <w:sz w:val="24"/>
          <w:szCs w:val="24"/>
          <w:shd w:val="clear" w:color="auto" w:fill="FFFFFF"/>
        </w:rPr>
        <w:t>Training and Management of Information Services in the New Milenium: 16th to 19th October, 2002 Bagamoyo Tanzania: Proceedings</w:t>
      </w:r>
      <w:r>
        <w:rPr>
          <w:rFonts w:ascii="Times New Roman" w:hAnsi="Times New Roman" w:cs="Times New Roman"/>
          <w:color w:val="222222"/>
          <w:sz w:val="24"/>
          <w:szCs w:val="24"/>
          <w:shd w:val="clear" w:color="auto" w:fill="FFFFFF"/>
        </w:rPr>
        <w:t>, 41.</w:t>
      </w:r>
    </w:p>
    <w:p w14:paraId="32D9CF3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Katundu, D. R. M., &amp; Sife, A. S. (2004). Parliamentarians access to information: a case of Dodoma Parliamentary Library in Tanzania. </w:t>
      </w:r>
      <w:r>
        <w:rPr>
          <w:rFonts w:ascii="Times New Roman" w:hAnsi="Times New Roman" w:cs="Times New Roman"/>
          <w:i/>
          <w:iCs/>
          <w:color w:val="222222"/>
          <w:sz w:val="24"/>
          <w:szCs w:val="24"/>
          <w:shd w:val="clear" w:color="auto" w:fill="FFFFFF"/>
        </w:rPr>
        <w:t>University of Dar es Salaam Library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(1), 44-55.</w:t>
      </w:r>
    </w:p>
    <w:p w14:paraId="68F03C1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Kavulya, J.M. (2003), “Challenges facing information literacy efforts in Kenya: a case study of selected university libraries in Kenya”, Library Management, Vol. 24 Nos 4/5, pp. 216-222</w:t>
      </w:r>
    </w:p>
    <w:p w14:paraId="633E0B8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Kemoni, H. N. (2008). Theoretical framework and literature review in graduate records management research. </w:t>
      </w:r>
      <w:r>
        <w:rPr>
          <w:rFonts w:ascii="Times New Roman" w:hAnsi="Times New Roman" w:cs="Times New Roman"/>
          <w:i/>
          <w:iCs/>
          <w:color w:val="222222"/>
          <w:sz w:val="24"/>
          <w:szCs w:val="24"/>
          <w:shd w:val="clear" w:color="auto" w:fill="FFFFFF"/>
        </w:rPr>
        <w:t>African Journal of Library, Archives &amp;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18</w:t>
      </w:r>
      <w:r>
        <w:rPr>
          <w:rFonts w:ascii="Times New Roman" w:hAnsi="Times New Roman" w:cs="Times New Roman"/>
          <w:color w:val="222222"/>
          <w:sz w:val="24"/>
          <w:szCs w:val="24"/>
          <w:shd w:val="clear" w:color="auto" w:fill="FFFFFF"/>
        </w:rPr>
        <w:t>(2).</w:t>
      </w:r>
    </w:p>
    <w:p w14:paraId="5E4D3DB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Kennedy, C. (2005). Teaching information literacy to the advanced writing class in three sessions.</w:t>
      </w:r>
    </w:p>
    <w:p w14:paraId="54448E9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Kennedy-Clark, S. (2013). Research by Design: Design-Based Research and the Higher Degree Research student. </w:t>
      </w:r>
      <w:r>
        <w:rPr>
          <w:rFonts w:ascii="Times New Roman" w:hAnsi="Times New Roman" w:cs="Times New Roman"/>
          <w:i/>
          <w:iCs/>
          <w:color w:val="222222"/>
          <w:sz w:val="24"/>
          <w:szCs w:val="24"/>
          <w:shd w:val="clear" w:color="auto" w:fill="FFFFFF"/>
        </w:rPr>
        <w:t>Journal of Learning Design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(2), 26-32.</w:t>
      </w:r>
    </w:p>
    <w:p w14:paraId="651FD24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Kerlinger, F. N. (1979). </w:t>
      </w:r>
      <w:r>
        <w:rPr>
          <w:rFonts w:ascii="Times New Roman" w:hAnsi="Times New Roman" w:cs="Times New Roman"/>
          <w:i/>
          <w:color w:val="222222"/>
          <w:sz w:val="24"/>
          <w:szCs w:val="24"/>
          <w:shd w:val="clear" w:color="auto" w:fill="FFFFFF"/>
        </w:rPr>
        <w:t>Behavioral research a conceptual approach</w:t>
      </w:r>
      <w:r>
        <w:rPr>
          <w:rFonts w:ascii="Times New Roman" w:hAnsi="Times New Roman" w:cs="Times New Roman"/>
          <w:color w:val="222222"/>
          <w:sz w:val="24"/>
          <w:szCs w:val="24"/>
          <w:shd w:val="clear" w:color="auto" w:fill="FFFFFF"/>
        </w:rPr>
        <w:t>.</w:t>
      </w:r>
    </w:p>
    <w:p w14:paraId="10D40029" w14:textId="77777777" w:rsidR="00B01D46" w:rsidRDefault="0067013E">
      <w:pPr>
        <w:spacing w:line="240" w:lineRule="auto"/>
        <w:ind w:left="720" w:hanging="720"/>
        <w:jc w:val="both"/>
        <w:rPr>
          <w:rStyle w:val="NoSpacingChar"/>
          <w:rFonts w:ascii="Times New Roman" w:hAnsi="Times New Roman" w:cs="Times New Roman"/>
          <w:sz w:val="24"/>
          <w:szCs w:val="24"/>
        </w:rPr>
      </w:pPr>
      <w:bookmarkStart w:id="2438" w:name="_Hlk126054646"/>
      <w:r>
        <w:rPr>
          <w:rFonts w:ascii="Times New Roman" w:hAnsi="Times New Roman" w:cs="Times New Roman"/>
          <w:color w:val="222222"/>
          <w:sz w:val="24"/>
          <w:szCs w:val="24"/>
          <w:shd w:val="clear" w:color="auto" w:fill="FFFFFF"/>
        </w:rPr>
        <w:t xml:space="preserve">Khakpour, A. (2020). </w:t>
      </w:r>
      <w:bookmarkEnd w:id="2438"/>
      <w:r>
        <w:rPr>
          <w:rFonts w:ascii="Times New Roman" w:hAnsi="Times New Roman" w:cs="Times New Roman"/>
          <w:color w:val="222222"/>
          <w:sz w:val="24"/>
          <w:szCs w:val="24"/>
          <w:shd w:val="clear" w:color="auto" w:fill="FFFFFF"/>
        </w:rPr>
        <w:t>Effectiveness of Knowledge Acquisition in Medical Education: An argumentative literature review of the resources’s requirements. </w:t>
      </w:r>
      <w:r>
        <w:rPr>
          <w:rFonts w:ascii="Times New Roman" w:hAnsi="Times New Roman" w:cs="Times New Roman"/>
          <w:i/>
          <w:iCs/>
          <w:color w:val="222222"/>
          <w:sz w:val="24"/>
          <w:szCs w:val="24"/>
          <w:shd w:val="clear" w:color="auto" w:fill="FFFFFF"/>
        </w:rPr>
        <w:t>Future of Medical Education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w:t>
      </w:r>
      <w:r>
        <w:rPr>
          <w:rFonts w:ascii="Times New Roman" w:hAnsi="Times New Roman" w:cs="Times New Roman"/>
          <w:color w:val="222222"/>
          <w:sz w:val="24"/>
          <w:szCs w:val="24"/>
          <w:shd w:val="clear" w:color="auto" w:fill="FFFFFF"/>
        </w:rPr>
        <w:t>(3), 56-63</w:t>
      </w:r>
    </w:p>
    <w:p w14:paraId="3016E81B" w14:textId="77777777" w:rsidR="00B01D46" w:rsidRDefault="0067013E">
      <w:pPr>
        <w:spacing w:line="240" w:lineRule="auto"/>
        <w:ind w:left="720" w:hanging="720"/>
        <w:jc w:val="both"/>
        <w:rPr>
          <w:rFonts w:ascii="Times New Roman" w:hAnsi="Times New Roman" w:cs="Times New Roman"/>
          <w:sz w:val="24"/>
          <w:szCs w:val="24"/>
        </w:rPr>
      </w:pPr>
      <w:r>
        <w:rPr>
          <w:rStyle w:val="NoSpacingChar"/>
          <w:rFonts w:ascii="Times New Roman" w:hAnsi="Times New Roman" w:cs="Times New Roman"/>
          <w:sz w:val="24"/>
          <w:szCs w:val="24"/>
        </w:rPr>
        <w:t>Khalid, H., Abrar, A., Hafiza, S. S., Qamar, N., Khan, M., &amp; Shabbir, N. (2023). Assessing The Graduating Students' pharmacological Knowledge and Calculating Abilities and Explain Their Self-Rated Preparedness to Safe Drug Treatment in Practice. </w:t>
      </w:r>
      <w:r>
        <w:rPr>
          <w:rStyle w:val="NoSpacingChar"/>
          <w:rFonts w:ascii="Times New Roman" w:hAnsi="Times New Roman" w:cs="Times New Roman"/>
          <w:i/>
          <w:sz w:val="24"/>
          <w:szCs w:val="24"/>
        </w:rPr>
        <w:t>NeuroQuantology,</w:t>
      </w:r>
      <w:r>
        <w:rPr>
          <w:rStyle w:val="NoSpacingChar"/>
          <w:rFonts w:ascii="Times New Roman" w:hAnsi="Times New Roman" w:cs="Times New Roman"/>
          <w:sz w:val="24"/>
          <w:szCs w:val="24"/>
        </w:rPr>
        <w:t> 21(6), 996</w:t>
      </w:r>
      <w:r>
        <w:rPr>
          <w:rFonts w:ascii="Times New Roman" w:hAnsi="Times New Roman" w:cs="Times New Roman"/>
          <w:sz w:val="24"/>
          <w:szCs w:val="24"/>
        </w:rPr>
        <w:t>.</w:t>
      </w:r>
    </w:p>
    <w:p w14:paraId="79D32B0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Khan, A., Richardson, J., &amp; Izhar, M. (2021). Awareness about plagiarism and the effectiveness of library literacy programme towards its deterrence: a perspective of postgraduate resident doctors. </w:t>
      </w:r>
      <w:r>
        <w:rPr>
          <w:rFonts w:ascii="Times New Roman" w:hAnsi="Times New Roman" w:cs="Times New Roman"/>
          <w:i/>
          <w:iCs/>
          <w:color w:val="222222"/>
          <w:sz w:val="24"/>
          <w:szCs w:val="24"/>
          <w:shd w:val="clear" w:color="auto" w:fill="FFFFFF"/>
        </w:rPr>
        <w:t>Global Knowledge, Memory and Communication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70</w:t>
      </w:r>
      <w:r>
        <w:rPr>
          <w:rFonts w:ascii="Times New Roman" w:hAnsi="Times New Roman" w:cs="Times New Roman"/>
          <w:color w:val="222222"/>
          <w:sz w:val="24"/>
          <w:szCs w:val="24"/>
          <w:shd w:val="clear" w:color="auto" w:fill="FFFFFF"/>
        </w:rPr>
        <w:t>(8/9), 731-755.</w:t>
      </w:r>
    </w:p>
    <w:p w14:paraId="35266F8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39" w:name="_Hlk129088058"/>
      <w:r>
        <w:rPr>
          <w:rFonts w:ascii="Times New Roman" w:hAnsi="Times New Roman" w:cs="Times New Roman"/>
          <w:color w:val="222222"/>
          <w:sz w:val="24"/>
          <w:szCs w:val="24"/>
          <w:shd w:val="clear" w:color="auto" w:fill="FFFFFF"/>
        </w:rPr>
        <w:t>Kimalu,</w:t>
      </w:r>
      <w:bookmarkEnd w:id="2439"/>
      <w:r>
        <w:rPr>
          <w:rFonts w:ascii="Times New Roman" w:hAnsi="Times New Roman" w:cs="Times New Roman"/>
          <w:color w:val="222222"/>
          <w:sz w:val="24"/>
          <w:szCs w:val="24"/>
          <w:shd w:val="clear" w:color="auto" w:fill="FFFFFF"/>
        </w:rPr>
        <w:t xml:space="preserve"> P. K., Nafula, N. N., Manda, D. K., Bedi, A., Mwabu, G., &amp; Kimenyi, M. S. (2004). A review of the health sector in Kenya. </w:t>
      </w:r>
      <w:r>
        <w:rPr>
          <w:rFonts w:ascii="Times New Roman" w:hAnsi="Times New Roman" w:cs="Times New Roman"/>
          <w:i/>
          <w:iCs/>
          <w:color w:val="222222"/>
          <w:sz w:val="24"/>
          <w:szCs w:val="24"/>
          <w:shd w:val="clear" w:color="auto" w:fill="FFFFFF"/>
        </w:rPr>
        <w:t>Kenya Institute for Public Policy Research and Analysis Working Paper. Nairobi</w:t>
      </w:r>
      <w:r>
        <w:rPr>
          <w:rFonts w:ascii="Times New Roman" w:hAnsi="Times New Roman" w:cs="Times New Roman"/>
          <w:color w:val="222222"/>
          <w:sz w:val="24"/>
          <w:szCs w:val="24"/>
          <w:shd w:val="clear" w:color="auto" w:fill="FFFFFF"/>
        </w:rPr>
        <w:t>.</w:t>
      </w:r>
    </w:p>
    <w:p w14:paraId="1E90781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Kingori, G. M., Chege, A., &amp; Kemoni, H. N. (2014). Re-engineering information literacy programmes of Nairobi-based public and private universities in Kenya. In </w:t>
      </w:r>
      <w:r>
        <w:rPr>
          <w:rFonts w:ascii="Times New Roman" w:hAnsi="Times New Roman" w:cs="Times New Roman"/>
          <w:i/>
          <w:iCs/>
          <w:color w:val="222222"/>
          <w:sz w:val="24"/>
          <w:szCs w:val="24"/>
          <w:shd w:val="clear" w:color="auto" w:fill="FFFFFF"/>
        </w:rPr>
        <w:t>Concepts and Advances in Information Knowledge Management</w:t>
      </w:r>
      <w:r>
        <w:rPr>
          <w:rFonts w:ascii="Times New Roman" w:hAnsi="Times New Roman" w:cs="Times New Roman"/>
          <w:color w:val="222222"/>
          <w:sz w:val="24"/>
          <w:szCs w:val="24"/>
          <w:shd w:val="clear" w:color="auto" w:fill="FFFFFF"/>
        </w:rPr>
        <w:t> (pp. 143-165). Chandos Publishing.</w:t>
      </w:r>
    </w:p>
    <w:p w14:paraId="275CB89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Kingori, G., Njiraine, D., &amp; Maina, S. (2015). Implementation of information literacy programmes in public libraries. </w:t>
      </w:r>
      <w:r>
        <w:rPr>
          <w:rFonts w:ascii="Times New Roman" w:hAnsi="Times New Roman" w:cs="Times New Roman"/>
          <w:i/>
          <w:iCs/>
          <w:color w:val="222222"/>
          <w:sz w:val="24"/>
          <w:szCs w:val="24"/>
          <w:shd w:val="clear" w:color="auto" w:fill="FFFFFF"/>
        </w:rPr>
        <w:t>Library hi tech news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33</w:t>
      </w:r>
      <w:r>
        <w:rPr>
          <w:rFonts w:ascii="Times New Roman" w:hAnsi="Times New Roman" w:cs="Times New Roman"/>
          <w:color w:val="222222"/>
          <w:sz w:val="24"/>
          <w:szCs w:val="24"/>
          <w:shd w:val="clear" w:color="auto" w:fill="FFFFFF"/>
        </w:rPr>
        <w:t>(2), 17-22.</w:t>
      </w:r>
    </w:p>
    <w:p w14:paraId="2B23553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Klomsri, T., &amp; Tedre, M. (2016). Poor information literacy skills and practices as barriers to academic performance: A mixed methods study of the University of Dar es Salaam. </w:t>
      </w:r>
      <w:r>
        <w:rPr>
          <w:rFonts w:ascii="Times New Roman" w:hAnsi="Times New Roman" w:cs="Times New Roman"/>
          <w:i/>
          <w:iCs/>
          <w:color w:val="222222"/>
          <w:sz w:val="24"/>
          <w:szCs w:val="24"/>
          <w:shd w:val="clear" w:color="auto" w:fill="FFFFFF"/>
        </w:rPr>
        <w:t>Reference and User Services Quarterly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55</w:t>
      </w:r>
      <w:r>
        <w:rPr>
          <w:rFonts w:ascii="Times New Roman" w:hAnsi="Times New Roman" w:cs="Times New Roman"/>
          <w:color w:val="222222"/>
          <w:sz w:val="24"/>
          <w:szCs w:val="24"/>
          <w:shd w:val="clear" w:color="auto" w:fill="FFFFFF"/>
        </w:rPr>
        <w:t>(4), 293-305.</w:t>
      </w:r>
    </w:p>
    <w:p w14:paraId="05884A2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Klomsri, T., &amp; Tedre, M. (2016). Poor information literacy skills and practices as barriers to academic performance: A mixed methods study of the University of Dar es Salaam. </w:t>
      </w:r>
      <w:r>
        <w:rPr>
          <w:rFonts w:ascii="Times New Roman" w:hAnsi="Times New Roman" w:cs="Times New Roman"/>
          <w:i/>
          <w:iCs/>
          <w:color w:val="222222"/>
          <w:sz w:val="24"/>
          <w:szCs w:val="24"/>
          <w:shd w:val="clear" w:color="auto" w:fill="FFFFFF"/>
        </w:rPr>
        <w:t>Reference and User Services Quarterly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55</w:t>
      </w:r>
      <w:r>
        <w:rPr>
          <w:rFonts w:ascii="Times New Roman" w:hAnsi="Times New Roman" w:cs="Times New Roman"/>
          <w:color w:val="222222"/>
          <w:sz w:val="24"/>
          <w:szCs w:val="24"/>
          <w:shd w:val="clear" w:color="auto" w:fill="FFFFFF"/>
        </w:rPr>
        <w:t>(4), 293-305.</w:t>
      </w:r>
    </w:p>
    <w:p w14:paraId="5891EF6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Knott, E., Rao, A. H., Summers, K., &amp; Teeger, C. (2022). Interviews in the social sciences. </w:t>
      </w:r>
      <w:r>
        <w:rPr>
          <w:rFonts w:ascii="Times New Roman" w:hAnsi="Times New Roman" w:cs="Times New Roman"/>
          <w:i/>
          <w:iCs/>
          <w:color w:val="222222"/>
          <w:sz w:val="24"/>
          <w:szCs w:val="24"/>
          <w:shd w:val="clear" w:color="auto" w:fill="FFFFFF"/>
        </w:rPr>
        <w:t>Nature Reviews Methods Primers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w:t>
      </w:r>
      <w:r>
        <w:rPr>
          <w:rFonts w:ascii="Times New Roman" w:hAnsi="Times New Roman" w:cs="Times New Roman"/>
          <w:color w:val="222222"/>
          <w:sz w:val="24"/>
          <w:szCs w:val="24"/>
          <w:shd w:val="clear" w:color="auto" w:fill="FFFFFF"/>
        </w:rPr>
        <w:t>(1), 73.</w:t>
      </w:r>
    </w:p>
    <w:p w14:paraId="719AC49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Komp, K. and Trompo, L. (2011) . Qualitative Research Methods. Nairobi: Pauline Publishers</w:t>
      </w:r>
    </w:p>
    <w:p w14:paraId="5975DF0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40" w:name="_Hlk125992926"/>
      <w:r>
        <w:rPr>
          <w:rFonts w:ascii="Times New Roman" w:hAnsi="Times New Roman" w:cs="Times New Roman"/>
          <w:color w:val="222222"/>
          <w:sz w:val="24"/>
          <w:szCs w:val="24"/>
          <w:shd w:val="clear" w:color="auto" w:fill="FFFFFF"/>
        </w:rPr>
        <w:t xml:space="preserve">Kostagiolas, P. A., Kourouthanassis, P. E., Martzoukou, K., Korfiatis, N., &amp; Niakas, D. (2018). </w:t>
      </w:r>
      <w:bookmarkEnd w:id="2440"/>
      <w:r>
        <w:rPr>
          <w:rFonts w:ascii="Times New Roman" w:hAnsi="Times New Roman" w:cs="Times New Roman"/>
          <w:color w:val="222222"/>
          <w:sz w:val="24"/>
          <w:szCs w:val="24"/>
          <w:shd w:val="clear" w:color="auto" w:fill="FFFFFF"/>
        </w:rPr>
        <w:t>Information seeking behavioural paths of physicians for diabetes mellitus care: a qualitative comparative analysis of information needs, sources, and barriers. </w:t>
      </w:r>
      <w:r>
        <w:rPr>
          <w:rFonts w:ascii="Times New Roman" w:hAnsi="Times New Roman" w:cs="Times New Roman"/>
          <w:i/>
          <w:iCs/>
          <w:color w:val="222222"/>
          <w:sz w:val="24"/>
          <w:szCs w:val="24"/>
          <w:shd w:val="clear" w:color="auto" w:fill="FFFFFF"/>
        </w:rPr>
        <w:t>Health Systems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(1), 13-28.</w:t>
      </w:r>
    </w:p>
    <w:p w14:paraId="19FAE71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Kothari, C. R. (2004). </w:t>
      </w:r>
      <w:r>
        <w:rPr>
          <w:rFonts w:ascii="Times New Roman" w:hAnsi="Times New Roman" w:cs="Times New Roman"/>
          <w:i/>
          <w:iCs/>
          <w:color w:val="222222"/>
          <w:sz w:val="24"/>
          <w:szCs w:val="24"/>
          <w:shd w:val="clear" w:color="auto" w:fill="FFFFFF"/>
        </w:rPr>
        <w:t>Research methodology: Methods and techniques</w:t>
      </w:r>
      <w:r>
        <w:rPr>
          <w:rFonts w:ascii="Times New Roman" w:hAnsi="Times New Roman" w:cs="Times New Roman"/>
          <w:color w:val="222222"/>
          <w:sz w:val="24"/>
          <w:szCs w:val="24"/>
          <w:shd w:val="clear" w:color="auto" w:fill="FFFFFF"/>
        </w:rPr>
        <w:t>. New Age International.</w:t>
      </w:r>
    </w:p>
    <w:p w14:paraId="4980306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Kothari, C. R. (2014). </w:t>
      </w:r>
      <w:r>
        <w:rPr>
          <w:rFonts w:ascii="Times New Roman" w:hAnsi="Times New Roman" w:cs="Times New Roman"/>
          <w:i/>
          <w:iCs/>
          <w:color w:val="222222"/>
          <w:sz w:val="24"/>
          <w:szCs w:val="24"/>
          <w:shd w:val="clear" w:color="auto" w:fill="FFFFFF"/>
        </w:rPr>
        <w:t>Research methodology: Methods and techniques</w:t>
      </w:r>
      <w:r>
        <w:rPr>
          <w:rFonts w:ascii="Times New Roman" w:hAnsi="Times New Roman" w:cs="Times New Roman"/>
          <w:color w:val="222222"/>
          <w:sz w:val="24"/>
          <w:szCs w:val="24"/>
          <w:shd w:val="clear" w:color="auto" w:fill="FFFFFF"/>
        </w:rPr>
        <w:t>. 5</w:t>
      </w:r>
      <w:r>
        <w:rPr>
          <w:rFonts w:ascii="Times New Roman" w:hAnsi="Times New Roman" w:cs="Times New Roman"/>
          <w:color w:val="222222"/>
          <w:sz w:val="24"/>
          <w:szCs w:val="24"/>
          <w:shd w:val="clear" w:color="auto" w:fill="FFFFFF"/>
          <w:vertAlign w:val="superscript"/>
        </w:rPr>
        <w:t>th</w:t>
      </w:r>
      <w:r>
        <w:rPr>
          <w:rFonts w:ascii="Times New Roman" w:hAnsi="Times New Roman" w:cs="Times New Roman"/>
          <w:color w:val="222222"/>
          <w:sz w:val="24"/>
          <w:szCs w:val="24"/>
          <w:shd w:val="clear" w:color="auto" w:fill="FFFFFF"/>
        </w:rPr>
        <w:t xml:space="preserve"> Edition. New Age International.</w:t>
      </w:r>
    </w:p>
    <w:p w14:paraId="55CCB69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Kraemer, K. L., Ganley, D., &amp; Dewan, S. (2005). Across the digital divide: A cross-country multi-technology analysis of the determinants of IT penetration. </w:t>
      </w:r>
      <w:r>
        <w:rPr>
          <w:rFonts w:ascii="Times New Roman" w:hAnsi="Times New Roman" w:cs="Times New Roman"/>
          <w:i/>
          <w:iCs/>
          <w:color w:val="222222"/>
          <w:sz w:val="24"/>
          <w:szCs w:val="24"/>
          <w:shd w:val="clear" w:color="auto" w:fill="FFFFFF"/>
        </w:rPr>
        <w:t>Journal of the Association for Information Systems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(12), 10.</w:t>
      </w:r>
    </w:p>
    <w:p w14:paraId="29862915" w14:textId="77777777" w:rsidR="00B01D46" w:rsidRDefault="0067013E">
      <w:pPr>
        <w:spacing w:line="240" w:lineRule="auto"/>
        <w:ind w:left="720" w:hanging="720"/>
        <w:jc w:val="both"/>
        <w:rPr>
          <w:rFonts w:ascii="Times New Roman" w:eastAsia="Times New Roman" w:hAnsi="Times New Roman" w:cs="Times New Roman"/>
          <w:sz w:val="24"/>
          <w:szCs w:val="24"/>
          <w:shd w:val="clear" w:color="auto" w:fill="FFFFFF"/>
        </w:rPr>
      </w:pPr>
      <w:bookmarkStart w:id="2441" w:name="_Hlk182162152"/>
      <w:r>
        <w:rPr>
          <w:rFonts w:ascii="Times New Roman" w:eastAsia="Times New Roman" w:hAnsi="Times New Roman" w:cs="Times New Roman"/>
          <w:sz w:val="24"/>
          <w:szCs w:val="24"/>
          <w:shd w:val="clear" w:color="auto" w:fill="FFFFFF"/>
        </w:rPr>
        <w:t>Krubu</w:t>
      </w:r>
      <w:bookmarkEnd w:id="2441"/>
      <w:r>
        <w:rPr>
          <w:rFonts w:ascii="Times New Roman" w:eastAsia="Times New Roman" w:hAnsi="Times New Roman" w:cs="Times New Roman"/>
          <w:sz w:val="24"/>
          <w:szCs w:val="24"/>
          <w:shd w:val="clear" w:color="auto" w:fill="FFFFFF"/>
        </w:rPr>
        <w:t>, D.E., Idhalama, O.U. and Omigie, C. (2017), “Lecturers’ perception of students’ information literacy skills versus students’ actual information literacy levels”, Information Impact: Journal of Information and Knowledge Management, Vol. 8 No. 2, pp. 99-117.</w:t>
      </w:r>
    </w:p>
    <w:p w14:paraId="1AE2DD2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Kuhn, T. S. (1962). Historical Structure of Scientific Discovery: To the historian discovery is seldom a unit event attributable to some particular man, time, and place. </w:t>
      </w:r>
      <w:r>
        <w:rPr>
          <w:rFonts w:ascii="Times New Roman" w:hAnsi="Times New Roman" w:cs="Times New Roman"/>
          <w:i/>
          <w:iCs/>
          <w:color w:val="222222"/>
          <w:sz w:val="24"/>
          <w:szCs w:val="24"/>
          <w:shd w:val="clear" w:color="auto" w:fill="FFFFFF"/>
        </w:rPr>
        <w:t>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136</w:t>
      </w:r>
      <w:r>
        <w:rPr>
          <w:rFonts w:ascii="Times New Roman" w:hAnsi="Times New Roman" w:cs="Times New Roman"/>
          <w:color w:val="222222"/>
          <w:sz w:val="24"/>
          <w:szCs w:val="24"/>
          <w:shd w:val="clear" w:color="auto" w:fill="FFFFFF"/>
        </w:rPr>
        <w:t>(3518), 760-764.</w:t>
      </w:r>
    </w:p>
    <w:p w14:paraId="0C49EDF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Kumar, A., Jain, S., Mathur, A., &amp; Canny, J. (2009, April). Improving literacy in rural India: Cellphone games in an after-school program. In </w:t>
      </w:r>
      <w:r>
        <w:rPr>
          <w:rFonts w:ascii="Times New Roman" w:hAnsi="Times New Roman" w:cs="Times New Roman"/>
          <w:i/>
          <w:iCs/>
          <w:color w:val="222222"/>
          <w:sz w:val="24"/>
          <w:szCs w:val="24"/>
          <w:shd w:val="clear" w:color="auto" w:fill="FFFFFF"/>
        </w:rPr>
        <w:t>2009 International Conference on Information and Communication Technologies and Development (ICTD)</w:t>
      </w:r>
      <w:r>
        <w:rPr>
          <w:rFonts w:ascii="Times New Roman" w:hAnsi="Times New Roman" w:cs="Times New Roman"/>
          <w:color w:val="222222"/>
          <w:sz w:val="24"/>
          <w:szCs w:val="24"/>
          <w:shd w:val="clear" w:color="auto" w:fill="FFFFFF"/>
        </w:rPr>
        <w:t> (pp. 139-149). IEEE.</w:t>
      </w:r>
    </w:p>
    <w:p w14:paraId="0B39FDD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Kumar, R. (2018). </w:t>
      </w:r>
      <w:r>
        <w:rPr>
          <w:rFonts w:ascii="Times New Roman" w:hAnsi="Times New Roman" w:cs="Times New Roman"/>
          <w:i/>
          <w:iCs/>
          <w:color w:val="222222"/>
          <w:sz w:val="24"/>
          <w:szCs w:val="24"/>
          <w:shd w:val="clear" w:color="auto" w:fill="FFFFFF"/>
        </w:rPr>
        <w:t>Research methodology: A step-by-step guide for beginners</w:t>
      </w:r>
      <w:r>
        <w:rPr>
          <w:rFonts w:ascii="Times New Roman" w:hAnsi="Times New Roman" w:cs="Times New Roman"/>
          <w:color w:val="222222"/>
          <w:sz w:val="24"/>
          <w:szCs w:val="24"/>
          <w:shd w:val="clear" w:color="auto" w:fill="FFFFFF"/>
        </w:rPr>
        <w:t>. Sage.</w:t>
      </w:r>
    </w:p>
    <w:p w14:paraId="4ACABE13" w14:textId="77777777" w:rsidR="00B01D46" w:rsidRDefault="0067013E">
      <w:pPr>
        <w:spacing w:line="240" w:lineRule="auto"/>
        <w:ind w:left="720" w:hanging="720"/>
        <w:jc w:val="both"/>
        <w:rPr>
          <w:rFonts w:ascii="Times New Roman" w:hAnsi="Times New Roman" w:cs="Times New Roman"/>
          <w:sz w:val="24"/>
          <w:szCs w:val="24"/>
          <w:shd w:val="clear" w:color="auto" w:fill="FFFFFF"/>
        </w:rPr>
      </w:pPr>
      <w:bookmarkStart w:id="2442" w:name="_Hlk128468963"/>
      <w:r>
        <w:rPr>
          <w:rFonts w:ascii="Times New Roman" w:hAnsi="Times New Roman" w:cs="Times New Roman"/>
          <w:color w:val="222222"/>
          <w:sz w:val="24"/>
          <w:szCs w:val="24"/>
          <w:shd w:val="clear" w:color="auto" w:fill="FFFFFF"/>
        </w:rPr>
        <w:t xml:space="preserve">Kumar, S., &amp; </w:t>
      </w:r>
      <w:r>
        <w:rPr>
          <w:rFonts w:ascii="Times New Roman" w:hAnsi="Times New Roman" w:cs="Times New Roman"/>
          <w:sz w:val="24"/>
          <w:szCs w:val="24"/>
          <w:shd w:val="clear" w:color="auto" w:fill="FFFFFF"/>
        </w:rPr>
        <w:t xml:space="preserve">Ochoa, M. (2012). </w:t>
      </w:r>
      <w:bookmarkEnd w:id="2442"/>
      <w:r>
        <w:rPr>
          <w:rFonts w:ascii="Times New Roman" w:hAnsi="Times New Roman" w:cs="Times New Roman"/>
          <w:sz w:val="24"/>
          <w:szCs w:val="24"/>
          <w:shd w:val="clear" w:color="auto" w:fill="FFFFFF"/>
        </w:rPr>
        <w:t>Program-integrated information literacy instruction for online graduate students. </w:t>
      </w:r>
      <w:r>
        <w:rPr>
          <w:rFonts w:ascii="Times New Roman" w:hAnsi="Times New Roman" w:cs="Times New Roman"/>
          <w:i/>
          <w:iCs/>
          <w:sz w:val="24"/>
          <w:szCs w:val="24"/>
          <w:shd w:val="clear" w:color="auto" w:fill="FFFFFF"/>
        </w:rPr>
        <w:t>Journal of Library &amp; Information Services in Distance Learning</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6</w:t>
      </w:r>
      <w:r>
        <w:rPr>
          <w:rFonts w:ascii="Times New Roman" w:hAnsi="Times New Roman" w:cs="Times New Roman"/>
          <w:sz w:val="24"/>
          <w:szCs w:val="24"/>
          <w:shd w:val="clear" w:color="auto" w:fill="FFFFFF"/>
        </w:rPr>
        <w:t>(2), 67-78.</w:t>
      </w:r>
    </w:p>
    <w:p w14:paraId="5EEAAA8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LaBonte, K., &amp; Hoffmann, D. (2012). Meeting information literacy outcomes: Partnering with faculty to create effective information literacy assessment. </w:t>
      </w:r>
      <w:r>
        <w:rPr>
          <w:rFonts w:ascii="Times New Roman" w:hAnsi="Times New Roman" w:cs="Times New Roman"/>
          <w:i/>
          <w:iCs/>
          <w:color w:val="222222"/>
          <w:sz w:val="24"/>
          <w:szCs w:val="24"/>
          <w:shd w:val="clear" w:color="auto" w:fill="FFFFFF"/>
        </w:rPr>
        <w:t>Journal of information Literacy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(2), 70.</w:t>
      </w:r>
    </w:p>
    <w:p w14:paraId="6B9BFB44" w14:textId="77777777" w:rsidR="00B01D46" w:rsidRDefault="00FE757F">
      <w:pPr>
        <w:pStyle w:val="NormalWeb"/>
        <w:spacing w:before="0" w:beforeAutospacing="0" w:after="160" w:afterAutospacing="0"/>
        <w:ind w:left="720" w:hanging="720"/>
        <w:jc w:val="both"/>
      </w:pPr>
      <w:hyperlink r:id="rId57" w:tooltip="Lynn D. Lampert" w:history="1">
        <w:r w:rsidR="0067013E">
          <w:rPr>
            <w:rStyle w:val="Hyperlink"/>
            <w:rFonts w:eastAsiaTheme="majorEastAsia"/>
            <w:color w:val="auto"/>
          </w:rPr>
          <w:t>Lampert, L.D.</w:t>
        </w:r>
      </w:hyperlink>
      <w:r w:rsidR="0067013E">
        <w:t> (2004), "Integrating discipline‐based anti‐plagiarism instruction into the information literacy curriculum", </w:t>
      </w:r>
      <w:hyperlink r:id="rId58" w:history="1">
        <w:r w:rsidR="0067013E">
          <w:rPr>
            <w:rStyle w:val="Hyperlink"/>
            <w:rFonts w:eastAsiaTheme="majorEastAsia"/>
            <w:i/>
            <w:iCs/>
            <w:color w:val="auto"/>
          </w:rPr>
          <w:t>Reference Services Review</w:t>
        </w:r>
      </w:hyperlink>
      <w:r w:rsidR="0067013E">
        <w:t>, Vol. 32 No. 4, pp. 347-355. </w:t>
      </w:r>
      <w:hyperlink r:id="rId59" w:tooltip="DOI: https://doi.org/10.1108/00907320410569699" w:history="1">
        <w:r w:rsidR="0067013E">
          <w:rPr>
            <w:rStyle w:val="Hyperlink"/>
            <w:rFonts w:eastAsiaTheme="majorEastAsia"/>
            <w:color w:val="auto"/>
          </w:rPr>
          <w:t>https://doi.org/10.1108/00907320410569699</w:t>
        </w:r>
      </w:hyperlink>
    </w:p>
    <w:p w14:paraId="5A0348D4" w14:textId="77777777" w:rsidR="00B01D46" w:rsidRDefault="0067013E">
      <w:pPr>
        <w:spacing w:line="240" w:lineRule="auto"/>
        <w:ind w:left="720" w:hanging="720"/>
        <w:jc w:val="both"/>
        <w:rPr>
          <w:rFonts w:ascii="Times New Roman" w:hAnsi="Times New Roman" w:cs="Times New Roman"/>
          <w:sz w:val="24"/>
          <w:szCs w:val="24"/>
          <w:shd w:val="clear" w:color="auto" w:fill="FFFFFF"/>
        </w:rPr>
      </w:pPr>
      <w:bookmarkStart w:id="2443" w:name="_Hlk128485031"/>
      <w:r>
        <w:rPr>
          <w:rFonts w:ascii="Times New Roman" w:hAnsi="Times New Roman" w:cs="Times New Roman"/>
          <w:sz w:val="24"/>
          <w:szCs w:val="24"/>
          <w:shd w:val="clear" w:color="auto" w:fill="FFFFFF"/>
        </w:rPr>
        <w:t>Lanning, S., &amp; Mallek, J. (2017</w:t>
      </w:r>
      <w:bookmarkEnd w:id="2443"/>
      <w:r>
        <w:rPr>
          <w:rFonts w:ascii="Times New Roman" w:hAnsi="Times New Roman" w:cs="Times New Roman"/>
          <w:sz w:val="24"/>
          <w:szCs w:val="24"/>
          <w:shd w:val="clear" w:color="auto" w:fill="FFFFFF"/>
        </w:rPr>
        <w:t>). Factors influencing information literacy competency of college students. </w:t>
      </w:r>
      <w:r>
        <w:rPr>
          <w:rFonts w:ascii="Times New Roman" w:hAnsi="Times New Roman" w:cs="Times New Roman"/>
          <w:i/>
          <w:iCs/>
          <w:sz w:val="24"/>
          <w:szCs w:val="24"/>
          <w:shd w:val="clear" w:color="auto" w:fill="FFFFFF"/>
        </w:rPr>
        <w:t>The Journal of Academic Librarianship</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43</w:t>
      </w:r>
      <w:r>
        <w:rPr>
          <w:rFonts w:ascii="Times New Roman" w:hAnsi="Times New Roman" w:cs="Times New Roman"/>
          <w:sz w:val="24"/>
          <w:szCs w:val="24"/>
          <w:shd w:val="clear" w:color="auto" w:fill="FFFFFF"/>
        </w:rPr>
        <w:t>(5), 443-450.</w:t>
      </w:r>
    </w:p>
    <w:p w14:paraId="4B0DC0D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shd w:val="clear" w:color="auto" w:fill="FFFFFF"/>
        </w:rPr>
        <w:t xml:space="preserve">Lau, S. (2008). Information and bargaining </w:t>
      </w:r>
      <w:r>
        <w:rPr>
          <w:rFonts w:ascii="Times New Roman" w:hAnsi="Times New Roman" w:cs="Times New Roman"/>
          <w:color w:val="222222"/>
          <w:sz w:val="24"/>
          <w:szCs w:val="24"/>
          <w:shd w:val="clear" w:color="auto" w:fill="FFFFFF"/>
        </w:rPr>
        <w:t>in the hold‐up problem. </w:t>
      </w:r>
      <w:r>
        <w:rPr>
          <w:rFonts w:ascii="Times New Roman" w:hAnsi="Times New Roman" w:cs="Times New Roman"/>
          <w:i/>
          <w:iCs/>
          <w:color w:val="222222"/>
          <w:sz w:val="24"/>
          <w:szCs w:val="24"/>
          <w:shd w:val="clear" w:color="auto" w:fill="FFFFFF"/>
        </w:rPr>
        <w:t>The RAND Journal of Economics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39</w:t>
      </w:r>
      <w:r>
        <w:rPr>
          <w:rFonts w:ascii="Times New Roman" w:hAnsi="Times New Roman" w:cs="Times New Roman"/>
          <w:color w:val="222222"/>
          <w:sz w:val="24"/>
          <w:szCs w:val="24"/>
          <w:shd w:val="clear" w:color="auto" w:fill="FFFFFF"/>
        </w:rPr>
        <w:t>(1), 266-282.</w:t>
      </w:r>
    </w:p>
    <w:p w14:paraId="69AC9B9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Lim, J., Lee, J., &amp; Cho, B. (2015). The mediating role of self-regulation between digital literacy and learning outcomes in the digital textbook for middle school English. </w:t>
      </w:r>
      <w:r>
        <w:rPr>
          <w:rFonts w:ascii="Times New Roman" w:hAnsi="Times New Roman" w:cs="Times New Roman"/>
          <w:i/>
          <w:iCs/>
          <w:color w:val="222222"/>
          <w:sz w:val="24"/>
          <w:szCs w:val="24"/>
          <w:shd w:val="clear" w:color="auto" w:fill="FFFFFF"/>
        </w:rPr>
        <w:t>Educational Technology International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16</w:t>
      </w:r>
      <w:r>
        <w:rPr>
          <w:rFonts w:ascii="Times New Roman" w:hAnsi="Times New Roman" w:cs="Times New Roman"/>
          <w:color w:val="222222"/>
          <w:sz w:val="24"/>
          <w:szCs w:val="24"/>
          <w:shd w:val="clear" w:color="auto" w:fill="FFFFFF"/>
        </w:rPr>
        <w:t>(1), 58-83.</w:t>
      </w:r>
    </w:p>
    <w:p w14:paraId="1DD9469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44" w:name="_Hlk126048392"/>
      <w:r>
        <w:rPr>
          <w:rFonts w:ascii="Times New Roman" w:eastAsia="Calibri" w:hAnsi="Times New Roman" w:cs="Times New Roman"/>
          <w:sz w:val="24"/>
          <w:szCs w:val="24"/>
        </w:rPr>
        <w:t>Limaye and Fotwenge, (2015)</w:t>
      </w:r>
      <w:r>
        <w:rPr>
          <w:rFonts w:ascii="Times New Roman" w:hAnsi="Times New Roman" w:cs="Times New Roman"/>
          <w:color w:val="222222"/>
          <w:sz w:val="24"/>
          <w:szCs w:val="24"/>
          <w:shd w:val="clear" w:color="auto" w:fill="FFFFFF"/>
        </w:rPr>
        <w:t xml:space="preserve">. </w:t>
      </w:r>
      <w:bookmarkEnd w:id="2444"/>
      <w:r>
        <w:rPr>
          <w:rFonts w:ascii="Times New Roman" w:hAnsi="Times New Roman" w:cs="Times New Roman"/>
          <w:color w:val="222222"/>
          <w:sz w:val="24"/>
          <w:szCs w:val="24"/>
          <w:shd w:val="clear" w:color="auto" w:fill="FFFFFF"/>
        </w:rPr>
        <w:t>Assessing information literacy skills in the Botswana: A progress report. </w:t>
      </w:r>
      <w:r>
        <w:rPr>
          <w:rFonts w:ascii="Times New Roman" w:hAnsi="Times New Roman" w:cs="Times New Roman"/>
          <w:i/>
          <w:iCs/>
          <w:color w:val="222222"/>
          <w:sz w:val="24"/>
          <w:szCs w:val="24"/>
          <w:shd w:val="clear" w:color="auto" w:fill="FFFFFF"/>
        </w:rPr>
        <w:t>The Journal of Academic Librarianship</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(1-2), 26-35.</w:t>
      </w:r>
    </w:p>
    <w:p w14:paraId="337525A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45" w:name="_Hlk126048494"/>
      <w:r>
        <w:rPr>
          <w:rFonts w:ascii="Times New Roman" w:hAnsi="Times New Roman" w:cs="Times New Roman"/>
          <w:color w:val="222222"/>
          <w:sz w:val="24"/>
          <w:szCs w:val="24"/>
          <w:shd w:val="clear" w:color="auto" w:fill="FFFFFF"/>
        </w:rPr>
        <w:t xml:space="preserve">Limberg, L., &amp; Sundin, O. (2006). </w:t>
      </w:r>
      <w:bookmarkEnd w:id="2445"/>
      <w:r>
        <w:rPr>
          <w:rFonts w:ascii="Times New Roman" w:hAnsi="Times New Roman" w:cs="Times New Roman"/>
          <w:color w:val="222222"/>
          <w:sz w:val="24"/>
          <w:szCs w:val="24"/>
          <w:shd w:val="clear" w:color="auto" w:fill="FFFFFF"/>
        </w:rPr>
        <w:t>Teaching information seeking: relating information literacy education to theories of information behaviour. </w:t>
      </w:r>
      <w:r>
        <w:rPr>
          <w:rFonts w:ascii="Times New Roman" w:hAnsi="Times New Roman" w:cs="Times New Roman"/>
          <w:i/>
          <w:iCs/>
          <w:color w:val="222222"/>
          <w:sz w:val="24"/>
          <w:szCs w:val="24"/>
          <w:shd w:val="clear" w:color="auto" w:fill="FFFFFF"/>
        </w:rPr>
        <w:t>Information Research: an international electronic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12</w:t>
      </w:r>
      <w:r>
        <w:rPr>
          <w:rFonts w:ascii="Times New Roman" w:hAnsi="Times New Roman" w:cs="Times New Roman"/>
          <w:color w:val="222222"/>
          <w:sz w:val="24"/>
          <w:szCs w:val="24"/>
          <w:shd w:val="clear" w:color="auto" w:fill="FFFFFF"/>
        </w:rPr>
        <w:t>(1), n1.</w:t>
      </w:r>
    </w:p>
    <w:p w14:paraId="303276F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46" w:name="_Hlk129080351"/>
      <w:r>
        <w:rPr>
          <w:rFonts w:ascii="Times New Roman" w:hAnsi="Times New Roman" w:cs="Times New Roman"/>
          <w:color w:val="222222"/>
          <w:sz w:val="24"/>
          <w:szCs w:val="24"/>
          <w:shd w:val="clear" w:color="auto" w:fill="FFFFFF"/>
        </w:rPr>
        <w:t xml:space="preserve">Limberg, L., Sundin, O., &amp; Talja, S. (2012). </w:t>
      </w:r>
      <w:bookmarkEnd w:id="2446"/>
      <w:r>
        <w:rPr>
          <w:rFonts w:ascii="Times New Roman" w:hAnsi="Times New Roman" w:cs="Times New Roman"/>
          <w:color w:val="222222"/>
          <w:sz w:val="24"/>
          <w:szCs w:val="24"/>
          <w:shd w:val="clear" w:color="auto" w:fill="FFFFFF"/>
        </w:rPr>
        <w:t>Three theoretical perspectives on information literacy. </w:t>
      </w:r>
      <w:r>
        <w:rPr>
          <w:rFonts w:ascii="Times New Roman" w:hAnsi="Times New Roman" w:cs="Times New Roman"/>
          <w:i/>
          <w:iCs/>
          <w:color w:val="222222"/>
          <w:sz w:val="24"/>
          <w:szCs w:val="24"/>
          <w:shd w:val="clear" w:color="auto" w:fill="FFFFFF"/>
        </w:rPr>
        <w:t>Human IT: Journal for Information Technology Studies as a Human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(2).</w:t>
      </w:r>
    </w:p>
    <w:p w14:paraId="1B0AF93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Lin, T. B., Mokhtar, I. A., &amp; Wang, L. Y. (2015). The construct of media and information literacy in Singapore education system: global trends and local policies. </w:t>
      </w:r>
      <w:r>
        <w:rPr>
          <w:rFonts w:ascii="Times New Roman" w:hAnsi="Times New Roman" w:cs="Times New Roman"/>
          <w:i/>
          <w:iCs/>
          <w:color w:val="222222"/>
          <w:sz w:val="24"/>
          <w:szCs w:val="24"/>
          <w:shd w:val="clear" w:color="auto" w:fill="FFFFFF"/>
        </w:rPr>
        <w:t>Asia Pacific Journal of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35</w:t>
      </w:r>
      <w:r>
        <w:rPr>
          <w:rFonts w:ascii="Times New Roman" w:hAnsi="Times New Roman" w:cs="Times New Roman"/>
          <w:color w:val="222222"/>
          <w:sz w:val="24"/>
          <w:szCs w:val="24"/>
          <w:shd w:val="clear" w:color="auto" w:fill="FFFFFF"/>
        </w:rPr>
        <w:t>(4), 423-437.</w:t>
      </w:r>
    </w:p>
    <w:p w14:paraId="0F08574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47" w:name="_Hlk126051113"/>
      <w:r>
        <w:rPr>
          <w:rFonts w:ascii="Times New Roman" w:hAnsi="Times New Roman" w:cs="Times New Roman"/>
          <w:color w:val="222222"/>
          <w:sz w:val="24"/>
          <w:szCs w:val="24"/>
          <w:shd w:val="clear" w:color="auto" w:fill="FFFFFF"/>
        </w:rPr>
        <w:t xml:space="preserve">Luoto, J., Levine, D., &amp; Albert, J. (2011). </w:t>
      </w:r>
      <w:bookmarkEnd w:id="2447"/>
      <w:r>
        <w:rPr>
          <w:rFonts w:ascii="Times New Roman" w:hAnsi="Times New Roman" w:cs="Times New Roman"/>
          <w:color w:val="222222"/>
          <w:sz w:val="24"/>
          <w:szCs w:val="24"/>
          <w:shd w:val="clear" w:color="auto" w:fill="FFFFFF"/>
        </w:rPr>
        <w:t>Information and persuasion: achieving safe water behaviors in Kenya.</w:t>
      </w:r>
    </w:p>
    <w:p w14:paraId="4E09088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Lwehabura, M. J. (2018). An assessment of information literacy skills among first-year postgraduate students at Sokoine University of Agriculture Tanzania. </w:t>
      </w:r>
      <w:r>
        <w:rPr>
          <w:rFonts w:ascii="Times New Roman" w:hAnsi="Times New Roman" w:cs="Times New Roman"/>
          <w:i/>
          <w:iCs/>
          <w:color w:val="222222"/>
          <w:sz w:val="24"/>
          <w:szCs w:val="24"/>
          <w:shd w:val="clear" w:color="auto" w:fill="FFFFFF"/>
        </w:rPr>
        <w:t>Journal of Librarianship and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50</w:t>
      </w:r>
      <w:r>
        <w:rPr>
          <w:rFonts w:ascii="Times New Roman" w:hAnsi="Times New Roman" w:cs="Times New Roman"/>
          <w:color w:val="222222"/>
          <w:sz w:val="24"/>
          <w:szCs w:val="24"/>
          <w:shd w:val="clear" w:color="auto" w:fill="FFFFFF"/>
        </w:rPr>
        <w:t>(4), 427-434.</w:t>
      </w:r>
    </w:p>
    <w:p w14:paraId="4B98CC54" w14:textId="77777777" w:rsidR="00B01D46" w:rsidRDefault="0067013E">
      <w:pPr>
        <w:pStyle w:val="PlainText"/>
        <w:spacing w:after="160"/>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Lwehabura, M. J., &amp; Stilwell, C. (2008). Information literacy in Tanzanian universities: Challenges and potential opportunities. </w:t>
      </w:r>
      <w:r>
        <w:rPr>
          <w:rFonts w:ascii="Times New Roman" w:hAnsi="Times New Roman" w:cs="Times New Roman"/>
          <w:i/>
          <w:iCs/>
          <w:color w:val="222222"/>
          <w:sz w:val="24"/>
          <w:szCs w:val="24"/>
          <w:shd w:val="clear" w:color="auto" w:fill="FFFFFF"/>
        </w:rPr>
        <w:t>Journal of Librarianship and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40</w:t>
      </w:r>
      <w:r>
        <w:rPr>
          <w:rFonts w:ascii="Times New Roman" w:hAnsi="Times New Roman" w:cs="Times New Roman"/>
          <w:color w:val="222222"/>
          <w:sz w:val="24"/>
          <w:szCs w:val="24"/>
          <w:shd w:val="clear" w:color="auto" w:fill="FFFFFF"/>
        </w:rPr>
        <w:t>(3), 179-191.</w:t>
      </w:r>
    </w:p>
    <w:p w14:paraId="3FE38F94"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14:paraId="1807EB2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Lwoga, E. T. (2014). Mapping information literacy outcomes and learning experiences of health sciences undergraduate students.</w:t>
      </w:r>
    </w:p>
    <w:p w14:paraId="02D5B8A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48" w:name="_Hlk126065917"/>
      <w:r>
        <w:rPr>
          <w:rFonts w:ascii="Times New Roman" w:hAnsi="Times New Roman" w:cs="Times New Roman"/>
          <w:color w:val="222222"/>
          <w:sz w:val="24"/>
          <w:szCs w:val="24"/>
          <w:shd w:val="clear" w:color="auto" w:fill="FFFFFF"/>
        </w:rPr>
        <w:t>MacColl, J. (2010). </w:t>
      </w:r>
      <w:bookmarkEnd w:id="2448"/>
      <w:r>
        <w:rPr>
          <w:rFonts w:ascii="Times New Roman" w:hAnsi="Times New Roman" w:cs="Times New Roman"/>
          <w:i/>
          <w:iCs/>
          <w:color w:val="222222"/>
          <w:sz w:val="24"/>
          <w:szCs w:val="24"/>
          <w:shd w:val="clear" w:color="auto" w:fill="FFFFFF"/>
        </w:rPr>
        <w:t>Research assessment and the role of the library: Report produced by OCLC Research</w:t>
      </w:r>
      <w:r>
        <w:rPr>
          <w:rFonts w:ascii="Times New Roman" w:hAnsi="Times New Roman" w:cs="Times New Roman"/>
          <w:color w:val="222222"/>
          <w:sz w:val="24"/>
          <w:szCs w:val="24"/>
          <w:shd w:val="clear" w:color="auto" w:fill="FFFFFF"/>
        </w:rPr>
        <w:t>. OCLC Research.</w:t>
      </w:r>
    </w:p>
    <w:p w14:paraId="5C188A1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Mackey, T. P., &amp; Jacobson, T. E. (2004). Integrating information literacy in lower-and upper-level courses: developing scalable models for higher education. </w:t>
      </w:r>
      <w:r>
        <w:rPr>
          <w:rFonts w:ascii="Times New Roman" w:hAnsi="Times New Roman" w:cs="Times New Roman"/>
          <w:i/>
          <w:iCs/>
          <w:color w:val="222222"/>
          <w:sz w:val="24"/>
          <w:szCs w:val="24"/>
          <w:shd w:val="clear" w:color="auto" w:fill="FFFFFF"/>
        </w:rPr>
        <w:t>The journal of general education</w:t>
      </w:r>
      <w:r>
        <w:rPr>
          <w:rFonts w:ascii="Times New Roman" w:hAnsi="Times New Roman" w:cs="Times New Roman"/>
          <w:color w:val="222222"/>
          <w:sz w:val="24"/>
          <w:szCs w:val="24"/>
          <w:shd w:val="clear" w:color="auto" w:fill="FFFFFF"/>
        </w:rPr>
        <w:t>, 201-224.</w:t>
      </w:r>
    </w:p>
    <w:p w14:paraId="3476AED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MacLeod, J., Yu, L., &amp; Wu, D. (2019). Investigating teenage students’ information literacy in China: A social cognitive theory perspective. </w:t>
      </w:r>
      <w:r>
        <w:rPr>
          <w:rFonts w:ascii="Times New Roman" w:hAnsi="Times New Roman" w:cs="Times New Roman"/>
          <w:i/>
          <w:iCs/>
          <w:color w:val="222222"/>
          <w:sz w:val="24"/>
          <w:szCs w:val="24"/>
          <w:shd w:val="clear" w:color="auto" w:fill="FFFFFF"/>
        </w:rPr>
        <w:t>The Asia-Pacific Education Researcher</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 251-263.</w:t>
      </w:r>
    </w:p>
    <w:p w14:paraId="481F0D3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49" w:name="_Hlk129084648"/>
      <w:r>
        <w:rPr>
          <w:rFonts w:ascii="Times New Roman" w:hAnsi="Times New Roman" w:cs="Times New Roman"/>
          <w:color w:val="222222"/>
          <w:sz w:val="24"/>
          <w:szCs w:val="24"/>
          <w:shd w:val="clear" w:color="auto" w:fill="FFFFFF"/>
        </w:rPr>
        <w:t>Mahmood, K. (2013)</w:t>
      </w:r>
      <w:bookmarkEnd w:id="2449"/>
      <w:r>
        <w:rPr>
          <w:rFonts w:ascii="Times New Roman" w:hAnsi="Times New Roman" w:cs="Times New Roman"/>
          <w:color w:val="222222"/>
          <w:sz w:val="24"/>
          <w:szCs w:val="24"/>
          <w:shd w:val="clear" w:color="auto" w:fill="FFFFFF"/>
        </w:rPr>
        <w:t>. Relationship of students’ perceived information literacy skills with personal and academic variables. </w:t>
      </w:r>
      <w:r>
        <w:rPr>
          <w:rFonts w:ascii="Times New Roman" w:hAnsi="Times New Roman" w:cs="Times New Roman"/>
          <w:i/>
          <w:iCs/>
          <w:color w:val="222222"/>
          <w:sz w:val="24"/>
          <w:szCs w:val="24"/>
          <w:shd w:val="clear" w:color="auto" w:fill="FFFFFF"/>
        </w:rPr>
        <w:t>Libri</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63</w:t>
      </w:r>
      <w:r>
        <w:rPr>
          <w:rFonts w:ascii="Times New Roman" w:hAnsi="Times New Roman" w:cs="Times New Roman"/>
          <w:color w:val="222222"/>
          <w:sz w:val="24"/>
          <w:szCs w:val="24"/>
          <w:shd w:val="clear" w:color="auto" w:fill="FFFFFF"/>
        </w:rPr>
        <w:t>(3), 232-239.</w:t>
      </w:r>
    </w:p>
    <w:p w14:paraId="6A4B6C1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Mahmood, K., &amp; Ajmal Khan, M. (2007). ICT training for LIS professionals in Pakistan: A needs assessment. </w:t>
      </w:r>
      <w:r>
        <w:rPr>
          <w:rFonts w:ascii="Times New Roman" w:hAnsi="Times New Roman" w:cs="Times New Roman"/>
          <w:i/>
          <w:iCs/>
          <w:color w:val="222222"/>
          <w:sz w:val="24"/>
          <w:szCs w:val="24"/>
          <w:shd w:val="clear" w:color="auto" w:fill="FFFFFF"/>
        </w:rPr>
        <w:t>Program</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41</w:t>
      </w:r>
      <w:r>
        <w:rPr>
          <w:rFonts w:ascii="Times New Roman" w:hAnsi="Times New Roman" w:cs="Times New Roman"/>
          <w:color w:val="222222"/>
          <w:sz w:val="24"/>
          <w:szCs w:val="24"/>
          <w:shd w:val="clear" w:color="auto" w:fill="FFFFFF"/>
        </w:rPr>
        <w:t>(4), 418-427.</w:t>
      </w:r>
    </w:p>
    <w:p w14:paraId="6A7DCDF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Mahmutović, A. (2022, September). Defining ERP system selection methodology–research carried out in small and medium-sized production companies in Croatia. In </w:t>
      </w:r>
      <w:r>
        <w:rPr>
          <w:rFonts w:ascii="Times New Roman" w:hAnsi="Times New Roman" w:cs="Times New Roman"/>
          <w:i/>
          <w:iCs/>
          <w:color w:val="222222"/>
          <w:sz w:val="24"/>
          <w:szCs w:val="24"/>
          <w:shd w:val="clear" w:color="auto" w:fill="FFFFFF"/>
        </w:rPr>
        <w:t>2020 43rd International Convention on Information, Communication and Electronic Technology (MIPRO)</w:t>
      </w:r>
      <w:r>
        <w:rPr>
          <w:rFonts w:ascii="Times New Roman" w:hAnsi="Times New Roman" w:cs="Times New Roman"/>
          <w:color w:val="222222"/>
          <w:sz w:val="24"/>
          <w:szCs w:val="24"/>
          <w:shd w:val="clear" w:color="auto" w:fill="FFFFFF"/>
        </w:rPr>
        <w:t> (pp. 1323-1328). IEEE.</w:t>
      </w:r>
    </w:p>
    <w:p w14:paraId="7754993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Makori, E. O. (2009). Contemporary issues in information management: A fresh look for information professionals.</w:t>
      </w:r>
    </w:p>
    <w:p w14:paraId="038683D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Makori, E. O. (2015). Micro factors influencing use of electronic information resources among postgraduate students in institutions of higher learning in Kenya. </w:t>
      </w:r>
      <w:r>
        <w:rPr>
          <w:rFonts w:ascii="Times New Roman" w:hAnsi="Times New Roman" w:cs="Times New Roman"/>
          <w:i/>
          <w:iCs/>
          <w:color w:val="222222"/>
          <w:sz w:val="24"/>
          <w:szCs w:val="24"/>
          <w:shd w:val="clear" w:color="auto" w:fill="FFFFFF"/>
        </w:rPr>
        <w:t>Library Hi Tech News</w:t>
      </w:r>
      <w:r>
        <w:rPr>
          <w:rFonts w:ascii="Times New Roman" w:hAnsi="Times New Roman" w:cs="Times New Roman"/>
          <w:color w:val="222222"/>
          <w:sz w:val="24"/>
          <w:szCs w:val="24"/>
          <w:shd w:val="clear" w:color="auto" w:fill="FFFFFF"/>
        </w:rPr>
        <w:t>.</w:t>
      </w:r>
    </w:p>
    <w:p w14:paraId="5A7C6CB3"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Makori, G., Ndirangu, M., &amp; Ogola, F. (2013). Information And Communication Technology Use Among Teacher Education Students In Universities In Kenya. </w:t>
      </w:r>
      <w:r>
        <w:rPr>
          <w:rFonts w:ascii="Times New Roman" w:hAnsi="Times New Roman" w:cs="Times New Roman"/>
          <w:i/>
          <w:iCs/>
          <w:color w:val="222222"/>
          <w:sz w:val="24"/>
          <w:szCs w:val="24"/>
          <w:shd w:val="clear" w:color="auto" w:fill="FFFFFF"/>
        </w:rPr>
        <w:t>International Journal of Scientific &amp; Technology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w:t>
      </w:r>
      <w:r>
        <w:rPr>
          <w:rFonts w:ascii="Times New Roman" w:hAnsi="Times New Roman" w:cs="Times New Roman"/>
          <w:color w:val="222222"/>
          <w:sz w:val="24"/>
          <w:szCs w:val="24"/>
          <w:shd w:val="clear" w:color="auto" w:fill="FFFFFF"/>
        </w:rPr>
        <w:t>(11), 176-179.</w:t>
      </w:r>
    </w:p>
    <w:p w14:paraId="7263059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50" w:name="_Hlk129081191"/>
      <w:r>
        <w:rPr>
          <w:rFonts w:ascii="Times New Roman" w:hAnsi="Times New Roman" w:cs="Times New Roman"/>
          <w:color w:val="222222"/>
          <w:sz w:val="24"/>
          <w:szCs w:val="24"/>
          <w:shd w:val="clear" w:color="auto" w:fill="FFFFFF"/>
        </w:rPr>
        <w:t>Malanga, D., &amp; Chigona, W. (2018).</w:t>
      </w:r>
      <w:bookmarkEnd w:id="2450"/>
      <w:r>
        <w:rPr>
          <w:rFonts w:ascii="Times New Roman" w:hAnsi="Times New Roman" w:cs="Times New Roman"/>
          <w:color w:val="222222"/>
          <w:sz w:val="24"/>
          <w:szCs w:val="24"/>
          <w:shd w:val="clear" w:color="auto" w:fill="FFFFFF"/>
        </w:rPr>
        <w:t xml:space="preserve"> Digital information literacy of undergraduate students in higher education institutions in Malawi: challenges and policy implications. </w:t>
      </w:r>
      <w:r>
        <w:rPr>
          <w:rFonts w:ascii="Times New Roman" w:hAnsi="Times New Roman" w:cs="Times New Roman"/>
          <w:i/>
          <w:iCs/>
          <w:color w:val="222222"/>
          <w:sz w:val="24"/>
          <w:szCs w:val="24"/>
          <w:shd w:val="clear" w:color="auto" w:fill="FFFFFF"/>
        </w:rPr>
        <w:t>CPR SOUTH</w:t>
      </w:r>
      <w:r>
        <w:rPr>
          <w:rFonts w:ascii="Times New Roman" w:hAnsi="Times New Roman" w:cs="Times New Roman"/>
          <w:color w:val="222222"/>
          <w:sz w:val="24"/>
          <w:szCs w:val="24"/>
          <w:shd w:val="clear" w:color="auto" w:fill="FFFFFF"/>
        </w:rPr>
        <w:t>.</w:t>
      </w:r>
    </w:p>
    <w:p w14:paraId="5BD94CC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Manheim, D. (2021). Forecasting AI progress: A research agenda. </w:t>
      </w:r>
      <w:r>
        <w:rPr>
          <w:rFonts w:ascii="Times New Roman" w:hAnsi="Times New Roman" w:cs="Times New Roman"/>
          <w:i/>
          <w:iCs/>
          <w:color w:val="222222"/>
          <w:sz w:val="24"/>
          <w:szCs w:val="24"/>
          <w:shd w:val="clear" w:color="auto" w:fill="FFFFFF"/>
        </w:rPr>
        <w:t>Technological Forecasting and Social Change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170</w:t>
      </w:r>
      <w:r>
        <w:rPr>
          <w:rFonts w:ascii="Times New Roman" w:hAnsi="Times New Roman" w:cs="Times New Roman"/>
          <w:color w:val="222222"/>
          <w:sz w:val="24"/>
          <w:szCs w:val="24"/>
          <w:shd w:val="clear" w:color="auto" w:fill="FFFFFF"/>
        </w:rPr>
        <w:t>, 120909.</w:t>
      </w:r>
    </w:p>
    <w:p w14:paraId="3A63B56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Manion, C., &amp; Shah, P. (2019). Decolonizing gender and education research: Unsettling and recasting feminist knowledges, power and research practices. </w:t>
      </w:r>
      <w:r>
        <w:rPr>
          <w:rFonts w:ascii="Times New Roman" w:hAnsi="Times New Roman" w:cs="Times New Roman"/>
          <w:i/>
          <w:iCs/>
          <w:color w:val="222222"/>
          <w:sz w:val="24"/>
          <w:szCs w:val="24"/>
          <w:shd w:val="clear" w:color="auto" w:fill="FFFFFF"/>
        </w:rPr>
        <w:t>Gender and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31</w:t>
      </w:r>
      <w:r>
        <w:rPr>
          <w:rFonts w:ascii="Times New Roman" w:hAnsi="Times New Roman" w:cs="Times New Roman"/>
          <w:color w:val="222222"/>
          <w:sz w:val="24"/>
          <w:szCs w:val="24"/>
          <w:shd w:val="clear" w:color="auto" w:fill="FFFFFF"/>
        </w:rPr>
        <w:t>(4), 445-451.</w:t>
      </w:r>
    </w:p>
    <w:p w14:paraId="1E32157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March, M. A., Vaikosen, H. A., &amp; Akporoghene, E. A. (2020). Information needs and seeking behaviour of nurses at Rivers state university teaching hospital (RSUTH), Port-Harcourt. </w:t>
      </w:r>
      <w:r>
        <w:rPr>
          <w:rFonts w:ascii="Times New Roman" w:hAnsi="Times New Roman" w:cs="Times New Roman"/>
          <w:i/>
          <w:iCs/>
          <w:color w:val="222222"/>
          <w:sz w:val="24"/>
          <w:szCs w:val="24"/>
          <w:shd w:val="clear" w:color="auto" w:fill="FFFFFF"/>
        </w:rPr>
        <w:t>Information Impact: Journal of Information and Knowledge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(3), 63-74.</w:t>
      </w:r>
    </w:p>
    <w:p w14:paraId="026E5E2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51" w:name="_Hlk129086076"/>
      <w:r>
        <w:rPr>
          <w:rFonts w:ascii="Times New Roman" w:hAnsi="Times New Roman" w:cs="Times New Roman"/>
          <w:color w:val="222222"/>
          <w:sz w:val="24"/>
          <w:szCs w:val="24"/>
          <w:shd w:val="clear" w:color="auto" w:fill="FFFFFF"/>
        </w:rPr>
        <w:t xml:space="preserve">Marcum, J. W. (2002). </w:t>
      </w:r>
      <w:bookmarkEnd w:id="2451"/>
      <w:r>
        <w:rPr>
          <w:rFonts w:ascii="Times New Roman" w:hAnsi="Times New Roman" w:cs="Times New Roman"/>
          <w:color w:val="222222"/>
          <w:sz w:val="24"/>
          <w:szCs w:val="24"/>
          <w:shd w:val="clear" w:color="auto" w:fill="FFFFFF"/>
        </w:rPr>
        <w:t>Rethinking information literacy. </w:t>
      </w:r>
      <w:r>
        <w:rPr>
          <w:rFonts w:ascii="Times New Roman" w:hAnsi="Times New Roman" w:cs="Times New Roman"/>
          <w:i/>
          <w:iCs/>
          <w:color w:val="222222"/>
          <w:sz w:val="24"/>
          <w:szCs w:val="24"/>
          <w:shd w:val="clear" w:color="auto" w:fill="FFFFFF"/>
        </w:rPr>
        <w:t>The library quarterly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72</w:t>
      </w:r>
      <w:r>
        <w:rPr>
          <w:rFonts w:ascii="Times New Roman" w:hAnsi="Times New Roman" w:cs="Times New Roman"/>
          <w:color w:val="222222"/>
          <w:sz w:val="24"/>
          <w:szCs w:val="24"/>
          <w:shd w:val="clear" w:color="auto" w:fill="FFFFFF"/>
        </w:rPr>
        <w:t>(1), 1-26.</w:t>
      </w:r>
    </w:p>
    <w:p w14:paraId="5F1EFBE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Marriott, L. K., Nelson, D. A., Allen, S., Calhoun, K., Eldredge, C. E., Kimminau, K. S., ... &amp; Shannon, J. (2012). Using health information technology to engage communities in health, education, and research.</w:t>
      </w:r>
    </w:p>
    <w:p w14:paraId="42B2787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Marshall, J., Morgan, J., A. Thompson, C., &amp; L. Wells, A. (2014). Library and information services: impact on patient care quality. </w:t>
      </w:r>
      <w:r>
        <w:rPr>
          <w:rFonts w:ascii="Times New Roman" w:hAnsi="Times New Roman" w:cs="Times New Roman"/>
          <w:i/>
          <w:iCs/>
          <w:color w:val="222222"/>
          <w:sz w:val="24"/>
          <w:szCs w:val="24"/>
          <w:shd w:val="clear" w:color="auto" w:fill="FFFFFF"/>
        </w:rPr>
        <w:t>International Journal of Health Care Quality Assurance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27</w:t>
      </w:r>
      <w:r>
        <w:rPr>
          <w:rFonts w:ascii="Times New Roman" w:hAnsi="Times New Roman" w:cs="Times New Roman"/>
          <w:color w:val="222222"/>
          <w:sz w:val="24"/>
          <w:szCs w:val="24"/>
          <w:shd w:val="clear" w:color="auto" w:fill="FFFFFF"/>
        </w:rPr>
        <w:t>(8), 672-683.</w:t>
      </w:r>
    </w:p>
    <w:p w14:paraId="53C3D91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Maruna, S. (2010). Mixed method research in criminology: Why not go both ways?. </w:t>
      </w:r>
      <w:r>
        <w:rPr>
          <w:rFonts w:ascii="Times New Roman" w:hAnsi="Times New Roman" w:cs="Times New Roman"/>
          <w:i/>
          <w:iCs/>
          <w:color w:val="222222"/>
          <w:sz w:val="24"/>
          <w:szCs w:val="24"/>
          <w:shd w:val="clear" w:color="auto" w:fill="FFFFFF"/>
        </w:rPr>
        <w:t>Handbook of quantitative criminology</w:t>
      </w:r>
      <w:r>
        <w:rPr>
          <w:rFonts w:ascii="Times New Roman" w:hAnsi="Times New Roman" w:cs="Times New Roman"/>
          <w:color w:val="222222"/>
          <w:sz w:val="24"/>
          <w:szCs w:val="24"/>
          <w:shd w:val="clear" w:color="auto" w:fill="FFFFFF"/>
        </w:rPr>
        <w:t>, 123-140.</w:t>
      </w:r>
    </w:p>
    <w:p w14:paraId="1B6B8D1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Masaba, B. B., Moturi, J. K., Taiswa, J., &amp; Mmusi-Phetoe, R. M. (2020). Devolution of healthcare system in Kenya: progress and challenges. </w:t>
      </w:r>
      <w:r>
        <w:rPr>
          <w:rFonts w:ascii="Times New Roman" w:hAnsi="Times New Roman" w:cs="Times New Roman"/>
          <w:i/>
          <w:iCs/>
          <w:color w:val="222222"/>
          <w:sz w:val="24"/>
          <w:szCs w:val="24"/>
          <w:shd w:val="clear" w:color="auto" w:fill="FFFFFF"/>
        </w:rPr>
        <w:t>Public Health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189</w:t>
      </w:r>
      <w:r>
        <w:rPr>
          <w:rFonts w:ascii="Times New Roman" w:hAnsi="Times New Roman" w:cs="Times New Roman"/>
          <w:color w:val="222222"/>
          <w:sz w:val="24"/>
          <w:szCs w:val="24"/>
          <w:shd w:val="clear" w:color="auto" w:fill="FFFFFF"/>
        </w:rPr>
        <w:t>, 135-140.</w:t>
      </w:r>
    </w:p>
    <w:p w14:paraId="080F6C8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Mathangani, S. (2005). The University of Nairobi Library's automation project: empowering the Learning, Teaching and research activities of the University.</w:t>
      </w:r>
    </w:p>
    <w:p w14:paraId="52C2C54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Mathangani, W. J., Odini, C., &amp; Irura, G. (2019). Using ICT Infrastructure to Support Knowledge Transfer at the United Nations Human Settlements Programme (UN-Habitat). </w:t>
      </w:r>
      <w:r>
        <w:rPr>
          <w:rFonts w:ascii="Times New Roman" w:hAnsi="Times New Roman" w:cs="Times New Roman"/>
          <w:i/>
          <w:iCs/>
          <w:color w:val="222222"/>
          <w:sz w:val="24"/>
          <w:szCs w:val="24"/>
          <w:shd w:val="clear" w:color="auto" w:fill="FFFFFF"/>
        </w:rPr>
        <w:t>Digital Technologies FoR Information</w:t>
      </w:r>
      <w:r>
        <w:rPr>
          <w:rFonts w:ascii="Times New Roman" w:hAnsi="Times New Roman" w:cs="Times New Roman"/>
          <w:color w:val="222222"/>
          <w:sz w:val="24"/>
          <w:szCs w:val="24"/>
          <w:shd w:val="clear" w:color="auto" w:fill="FFFFFF"/>
        </w:rPr>
        <w:t>, 214.</w:t>
      </w:r>
    </w:p>
    <w:p w14:paraId="151790B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Maybee, C. (2006). Undergraduate perceptions of information use: the basis for creating user-centered student information literacy instruction. </w:t>
      </w:r>
      <w:r>
        <w:rPr>
          <w:rFonts w:ascii="Times New Roman" w:hAnsi="Times New Roman" w:cs="Times New Roman"/>
          <w:i/>
          <w:iCs/>
          <w:color w:val="222222"/>
          <w:sz w:val="24"/>
          <w:szCs w:val="24"/>
          <w:shd w:val="clear" w:color="auto" w:fill="FFFFFF"/>
        </w:rPr>
        <w:t>The Journal of Academic Librarianship</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32</w:t>
      </w:r>
      <w:r>
        <w:rPr>
          <w:rFonts w:ascii="Times New Roman" w:hAnsi="Times New Roman" w:cs="Times New Roman"/>
          <w:color w:val="222222"/>
          <w:sz w:val="24"/>
          <w:szCs w:val="24"/>
          <w:shd w:val="clear" w:color="auto" w:fill="FFFFFF"/>
        </w:rPr>
        <w:t>(1), 79-85.</w:t>
      </w:r>
    </w:p>
    <w:p w14:paraId="44174E0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Mazhar, S. A., Anjum, R., Anwar, A. I., &amp; Khan, A. A. (2021). Methods of data collection: A fundamental tool of research. </w:t>
      </w:r>
      <w:r>
        <w:rPr>
          <w:rFonts w:ascii="Times New Roman" w:hAnsi="Times New Roman" w:cs="Times New Roman"/>
          <w:i/>
          <w:iCs/>
          <w:color w:val="222222"/>
          <w:sz w:val="24"/>
          <w:szCs w:val="24"/>
          <w:shd w:val="clear" w:color="auto" w:fill="FFFFFF"/>
        </w:rPr>
        <w:t>Journal of Integrated Community Health (ISSN 2319-9113)</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w:t>
      </w:r>
      <w:r>
        <w:rPr>
          <w:rFonts w:ascii="Times New Roman" w:hAnsi="Times New Roman" w:cs="Times New Roman"/>
          <w:color w:val="222222"/>
          <w:sz w:val="24"/>
          <w:szCs w:val="24"/>
          <w:shd w:val="clear" w:color="auto" w:fill="FFFFFF"/>
        </w:rPr>
        <w:t>(1), 6-10.</w:t>
      </w:r>
    </w:p>
    <w:p w14:paraId="4D18B64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Mbaabu, A. N., &amp; Hall, A. (Eds.). (2012). </w:t>
      </w:r>
      <w:r>
        <w:rPr>
          <w:rFonts w:ascii="Times New Roman" w:hAnsi="Times New Roman" w:cs="Times New Roman"/>
          <w:i/>
          <w:iCs/>
          <w:color w:val="222222"/>
          <w:sz w:val="24"/>
          <w:szCs w:val="24"/>
          <w:shd w:val="clear" w:color="auto" w:fill="FFFFFF"/>
        </w:rPr>
        <w:t>Capacity building for agricultural research for development: lessons from practice in Papua New Guinea</w:t>
      </w:r>
      <w:r>
        <w:rPr>
          <w:rFonts w:ascii="Times New Roman" w:hAnsi="Times New Roman" w:cs="Times New Roman"/>
          <w:color w:val="222222"/>
          <w:sz w:val="24"/>
          <w:szCs w:val="24"/>
          <w:shd w:val="clear" w:color="auto" w:fill="FFFFFF"/>
        </w:rPr>
        <w:t>. LINK Ltd..</w:t>
      </w:r>
    </w:p>
    <w:p w14:paraId="4814F4C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Mbaabu, L. G. (2009). LIS curricula introducing information literacy courses alongside instructional classes. </w:t>
      </w:r>
      <w:r>
        <w:rPr>
          <w:rFonts w:ascii="Times New Roman" w:hAnsi="Times New Roman" w:cs="Times New Roman"/>
          <w:i/>
          <w:iCs/>
          <w:color w:val="222222"/>
          <w:sz w:val="24"/>
          <w:szCs w:val="24"/>
          <w:shd w:val="clear" w:color="auto" w:fill="FFFFFF"/>
        </w:rPr>
        <w:t>Journal of Education for Library and Information Science</w:t>
      </w:r>
      <w:r>
        <w:rPr>
          <w:rFonts w:ascii="Times New Roman" w:hAnsi="Times New Roman" w:cs="Times New Roman"/>
          <w:color w:val="222222"/>
          <w:sz w:val="24"/>
          <w:szCs w:val="24"/>
          <w:shd w:val="clear" w:color="auto" w:fill="FFFFFF"/>
        </w:rPr>
        <w:t>, 203-210.</w:t>
      </w:r>
    </w:p>
    <w:p w14:paraId="66FEE78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McDonald, A., Taha Dulaymi, S., Marghalani, M. A., &amp; Tait, J. I. (2004). The growth of electronic journals in academic libraries in Saudi Arabia. </w:t>
      </w:r>
      <w:r>
        <w:rPr>
          <w:rFonts w:ascii="Times New Roman" w:hAnsi="Times New Roman" w:cs="Times New Roman"/>
          <w:i/>
          <w:iCs/>
          <w:color w:val="222222"/>
          <w:sz w:val="24"/>
          <w:szCs w:val="24"/>
          <w:shd w:val="clear" w:color="auto" w:fill="FFFFFF"/>
        </w:rPr>
        <w:t>Library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25</w:t>
      </w:r>
      <w:r>
        <w:rPr>
          <w:rFonts w:ascii="Times New Roman" w:hAnsi="Times New Roman" w:cs="Times New Roman"/>
          <w:color w:val="222222"/>
          <w:sz w:val="24"/>
          <w:szCs w:val="24"/>
          <w:shd w:val="clear" w:color="auto" w:fill="FFFFFF"/>
        </w:rPr>
        <w:t>(4/5), 190-198.</w:t>
      </w:r>
    </w:p>
    <w:p w14:paraId="5C052E9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McKee-Waddell, S. (2015). Digital literacy: Bridging the gap with digital writing tools. </w:t>
      </w:r>
      <w:r>
        <w:rPr>
          <w:rFonts w:ascii="Times New Roman" w:hAnsi="Times New Roman" w:cs="Times New Roman"/>
          <w:i/>
          <w:iCs/>
          <w:color w:val="222222"/>
          <w:sz w:val="24"/>
          <w:szCs w:val="24"/>
          <w:shd w:val="clear" w:color="auto" w:fill="FFFFFF"/>
        </w:rPr>
        <w:t>Delta Kappa Gamma Bulletin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82</w:t>
      </w:r>
      <w:r>
        <w:rPr>
          <w:rFonts w:ascii="Times New Roman" w:hAnsi="Times New Roman" w:cs="Times New Roman"/>
          <w:color w:val="222222"/>
          <w:sz w:val="24"/>
          <w:szCs w:val="24"/>
          <w:shd w:val="clear" w:color="auto" w:fill="FFFFFF"/>
        </w:rPr>
        <w:t>(1), 26.</w:t>
      </w:r>
    </w:p>
    <w:p w14:paraId="4DD8223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52" w:name="_Hlk126048583"/>
      <w:bookmarkStart w:id="2453" w:name="_Hlk182146117"/>
      <w:r>
        <w:rPr>
          <w:rFonts w:ascii="Times New Roman" w:hAnsi="Times New Roman" w:cs="Times New Roman"/>
          <w:color w:val="222222"/>
          <w:sz w:val="24"/>
          <w:szCs w:val="24"/>
          <w:shd w:val="clear" w:color="auto" w:fill="FFFFFF"/>
        </w:rPr>
        <w:t>McKinney, P. (2014</w:t>
      </w:r>
      <w:bookmarkEnd w:id="2452"/>
      <w:r>
        <w:rPr>
          <w:rFonts w:ascii="Times New Roman" w:hAnsi="Times New Roman" w:cs="Times New Roman"/>
          <w:color w:val="222222"/>
          <w:sz w:val="24"/>
          <w:szCs w:val="24"/>
          <w:shd w:val="clear" w:color="auto" w:fill="FFFFFF"/>
        </w:rPr>
        <w:t>)</w:t>
      </w:r>
      <w:bookmarkEnd w:id="2453"/>
      <w:r>
        <w:rPr>
          <w:rFonts w:ascii="Times New Roman" w:hAnsi="Times New Roman" w:cs="Times New Roman"/>
          <w:color w:val="222222"/>
          <w:sz w:val="24"/>
          <w:szCs w:val="24"/>
          <w:shd w:val="clear" w:color="auto" w:fill="FFFFFF"/>
        </w:rPr>
        <w:t>. Information literacy and inquiry-based learning: Evaluation of a five-year programme of curriculum development. </w:t>
      </w:r>
      <w:r>
        <w:rPr>
          <w:rFonts w:ascii="Times New Roman" w:hAnsi="Times New Roman" w:cs="Times New Roman"/>
          <w:i/>
          <w:iCs/>
          <w:color w:val="222222"/>
          <w:sz w:val="24"/>
          <w:szCs w:val="24"/>
          <w:shd w:val="clear" w:color="auto" w:fill="FFFFFF"/>
        </w:rPr>
        <w:t>Journal of Librarianship and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46</w:t>
      </w:r>
      <w:r>
        <w:rPr>
          <w:rFonts w:ascii="Times New Roman" w:hAnsi="Times New Roman" w:cs="Times New Roman"/>
          <w:color w:val="222222"/>
          <w:sz w:val="24"/>
          <w:szCs w:val="24"/>
          <w:shd w:val="clear" w:color="auto" w:fill="FFFFFF"/>
        </w:rPr>
        <w:t>(2), 148-166.</w:t>
      </w:r>
    </w:p>
    <w:p w14:paraId="77A5013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McLaughlin, K. A., &amp; Sheridan, M. A. (2016). Beyond cumulative risk: A dimensional approach to childhood adversity. </w:t>
      </w:r>
      <w:r>
        <w:rPr>
          <w:rFonts w:ascii="Times New Roman" w:hAnsi="Times New Roman" w:cs="Times New Roman"/>
          <w:i/>
          <w:iCs/>
          <w:color w:val="222222"/>
          <w:sz w:val="24"/>
          <w:szCs w:val="24"/>
          <w:shd w:val="clear" w:color="auto" w:fill="FFFFFF"/>
        </w:rPr>
        <w:t>Current directions in psychological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25</w:t>
      </w:r>
      <w:r>
        <w:rPr>
          <w:rFonts w:ascii="Times New Roman" w:hAnsi="Times New Roman" w:cs="Times New Roman"/>
          <w:color w:val="222222"/>
          <w:sz w:val="24"/>
          <w:szCs w:val="24"/>
          <w:shd w:val="clear" w:color="auto" w:fill="FFFFFF"/>
        </w:rPr>
        <w:t>(4), 239-245.</w:t>
      </w:r>
    </w:p>
    <w:p w14:paraId="102BF95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54" w:name="_Hlk126072724"/>
      <w:r>
        <w:rPr>
          <w:rFonts w:ascii="Times New Roman" w:hAnsi="Times New Roman" w:cs="Times New Roman"/>
          <w:color w:val="222222"/>
          <w:sz w:val="24"/>
          <w:szCs w:val="24"/>
          <w:shd w:val="clear" w:color="auto" w:fill="FFFFFF"/>
        </w:rPr>
        <w:t>McNeill, P. (2006). </w:t>
      </w:r>
      <w:bookmarkEnd w:id="2454"/>
      <w:r>
        <w:rPr>
          <w:rFonts w:ascii="Times New Roman" w:hAnsi="Times New Roman" w:cs="Times New Roman"/>
          <w:i/>
          <w:iCs/>
          <w:color w:val="222222"/>
          <w:sz w:val="24"/>
          <w:szCs w:val="24"/>
          <w:shd w:val="clear" w:color="auto" w:fill="FFFFFF"/>
        </w:rPr>
        <w:t>Research methods</w:t>
      </w:r>
      <w:r>
        <w:rPr>
          <w:rFonts w:ascii="Times New Roman" w:hAnsi="Times New Roman" w:cs="Times New Roman"/>
          <w:color w:val="222222"/>
          <w:sz w:val="24"/>
          <w:szCs w:val="24"/>
          <w:shd w:val="clear" w:color="auto" w:fill="FFFFFF"/>
        </w:rPr>
        <w:t>. Routledge.</w:t>
      </w:r>
    </w:p>
    <w:p w14:paraId="0209432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Mendez, R. (2002). Hanging indents and the reference librarian: Offering productivity software in the public library. </w:t>
      </w:r>
      <w:r>
        <w:rPr>
          <w:rFonts w:ascii="Times New Roman" w:hAnsi="Times New Roman" w:cs="Times New Roman"/>
          <w:i/>
          <w:iCs/>
          <w:color w:val="222222"/>
          <w:sz w:val="24"/>
          <w:szCs w:val="24"/>
          <w:shd w:val="clear" w:color="auto" w:fill="FFFFFF"/>
        </w:rPr>
        <w:t>Information technology and libraries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21</w:t>
      </w:r>
      <w:r>
        <w:rPr>
          <w:rFonts w:ascii="Times New Roman" w:hAnsi="Times New Roman" w:cs="Times New Roman"/>
          <w:color w:val="222222"/>
          <w:sz w:val="24"/>
          <w:szCs w:val="24"/>
          <w:shd w:val="clear" w:color="auto" w:fill="FFFFFF"/>
        </w:rPr>
        <w:t>(3), 100.</w:t>
      </w:r>
    </w:p>
    <w:p w14:paraId="386283D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Michalak, R., Rysavy, M., Hunt, K., Smith, B., &amp; Worden, J. (2018). Faculty perceptions of plagiarism: Insight for librarians' information literacy programs. </w:t>
      </w:r>
      <w:r>
        <w:rPr>
          <w:rFonts w:ascii="Times New Roman" w:hAnsi="Times New Roman" w:cs="Times New Roman"/>
          <w:i/>
          <w:iCs/>
          <w:color w:val="222222"/>
          <w:sz w:val="24"/>
          <w:szCs w:val="24"/>
          <w:shd w:val="clear" w:color="auto" w:fill="FFFFFF"/>
        </w:rPr>
        <w:t>College &amp; Research Libraries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79</w:t>
      </w:r>
      <w:r>
        <w:rPr>
          <w:rFonts w:ascii="Times New Roman" w:hAnsi="Times New Roman" w:cs="Times New Roman"/>
          <w:color w:val="222222"/>
          <w:sz w:val="24"/>
          <w:szCs w:val="24"/>
          <w:shd w:val="clear" w:color="auto" w:fill="FFFFFF"/>
        </w:rPr>
        <w:t>(6), 747.</w:t>
      </w:r>
    </w:p>
    <w:p w14:paraId="3667AF7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Millard, A., Baldassar, L., &amp; Wilding, R. (2018). The significance of digital citizenship in the well-being of older migrants. </w:t>
      </w:r>
      <w:r>
        <w:rPr>
          <w:rFonts w:ascii="Times New Roman" w:hAnsi="Times New Roman" w:cs="Times New Roman"/>
          <w:i/>
          <w:iCs/>
          <w:color w:val="222222"/>
          <w:sz w:val="24"/>
          <w:szCs w:val="24"/>
          <w:shd w:val="clear" w:color="auto" w:fill="FFFFFF"/>
        </w:rPr>
        <w:t>Public Health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158</w:t>
      </w:r>
      <w:r>
        <w:rPr>
          <w:rFonts w:ascii="Times New Roman" w:hAnsi="Times New Roman" w:cs="Times New Roman"/>
          <w:color w:val="222222"/>
          <w:sz w:val="24"/>
          <w:szCs w:val="24"/>
          <w:shd w:val="clear" w:color="auto" w:fill="FFFFFF"/>
        </w:rPr>
        <w:t>, 144-148.</w:t>
      </w:r>
    </w:p>
    <w:p w14:paraId="42C2233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Milliard, B. (2020). Utilization and impact of peer-support programs on police officers’ mental health. </w:t>
      </w:r>
      <w:r>
        <w:rPr>
          <w:rFonts w:ascii="Times New Roman" w:hAnsi="Times New Roman" w:cs="Times New Roman"/>
          <w:i/>
          <w:iCs/>
          <w:color w:val="222222"/>
          <w:sz w:val="24"/>
          <w:szCs w:val="24"/>
          <w:shd w:val="clear" w:color="auto" w:fill="FFFFFF"/>
        </w:rPr>
        <w:t>Frontiers in psychology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 1686.</w:t>
      </w:r>
    </w:p>
    <w:p w14:paraId="2CCEED4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Milton, R., Buyuklieva, B., Hay, D., Hudson-Smith, A., &amp; Gray, S. (2018, April). Talking to gnomes: Exploring privacy and trust around internet of things devices in a public space. In </w:t>
      </w:r>
      <w:r>
        <w:rPr>
          <w:rFonts w:ascii="Times New Roman" w:hAnsi="Times New Roman" w:cs="Times New Roman"/>
          <w:i/>
          <w:iCs/>
          <w:color w:val="222222"/>
          <w:sz w:val="24"/>
          <w:szCs w:val="24"/>
          <w:shd w:val="clear" w:color="auto" w:fill="FFFFFF"/>
        </w:rPr>
        <w:t>Extended Abstracts of the 2018 CHI Conference on Human Factors in Computing Systems</w:t>
      </w:r>
      <w:r>
        <w:rPr>
          <w:rFonts w:ascii="Times New Roman" w:hAnsi="Times New Roman" w:cs="Times New Roman"/>
          <w:color w:val="222222"/>
          <w:sz w:val="24"/>
          <w:szCs w:val="24"/>
          <w:shd w:val="clear" w:color="auto" w:fill="FFFFFF"/>
        </w:rPr>
        <w:t> (pp. 1-6).</w:t>
      </w:r>
    </w:p>
    <w:p w14:paraId="1971518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Minishi-Majanja, M. K. (2007, August). Integration of ICTs in library and information science education in sub-Saharan Africa. In </w:t>
      </w:r>
      <w:r>
        <w:rPr>
          <w:rFonts w:ascii="Times New Roman" w:hAnsi="Times New Roman" w:cs="Times New Roman"/>
          <w:i/>
          <w:iCs/>
          <w:color w:val="222222"/>
          <w:sz w:val="24"/>
          <w:szCs w:val="24"/>
          <w:shd w:val="clear" w:color="auto" w:fill="FFFFFF"/>
        </w:rPr>
        <w:t>World library and information congress: 73rd IFLA general conference and council</w:t>
      </w:r>
      <w:r>
        <w:rPr>
          <w:rFonts w:ascii="Times New Roman" w:hAnsi="Times New Roman" w:cs="Times New Roman"/>
          <w:color w:val="222222"/>
          <w:sz w:val="24"/>
          <w:szCs w:val="24"/>
          <w:shd w:val="clear" w:color="auto" w:fill="FFFFFF"/>
        </w:rPr>
        <w:t> (Vol. 19, p. 23).</w:t>
      </w:r>
    </w:p>
    <w:p w14:paraId="2B524DC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Mizrachi, N. (2006). Online interactions in a mathematical classroom. </w:t>
      </w:r>
      <w:r>
        <w:rPr>
          <w:rFonts w:ascii="Times New Roman" w:hAnsi="Times New Roman" w:cs="Times New Roman"/>
          <w:i/>
          <w:iCs/>
          <w:color w:val="222222"/>
          <w:sz w:val="24"/>
          <w:szCs w:val="24"/>
          <w:shd w:val="clear" w:color="auto" w:fill="FFFFFF"/>
        </w:rPr>
        <w:t>Educational Media International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43</w:t>
      </w:r>
      <w:r>
        <w:rPr>
          <w:rFonts w:ascii="Times New Roman" w:hAnsi="Times New Roman" w:cs="Times New Roman"/>
          <w:color w:val="222222"/>
          <w:sz w:val="24"/>
          <w:szCs w:val="24"/>
          <w:shd w:val="clear" w:color="auto" w:fill="FFFFFF"/>
        </w:rPr>
        <w:t>(1), 43-50.</w:t>
      </w:r>
    </w:p>
    <w:p w14:paraId="0F7E0CE2" w14:textId="77777777" w:rsidR="00B01D46" w:rsidRDefault="0067013E">
      <w:pPr>
        <w:spacing w:line="240" w:lineRule="auto"/>
        <w:ind w:left="720" w:hanging="720"/>
        <w:jc w:val="both"/>
        <w:rPr>
          <w:rFonts w:ascii="Times New Roman" w:hAnsi="Times New Roman" w:cs="Times New Roman"/>
          <w:sz w:val="24"/>
          <w:szCs w:val="24"/>
        </w:rPr>
      </w:pPr>
      <w:bookmarkStart w:id="2455" w:name="_Hlk120860904"/>
      <w:r>
        <w:rPr>
          <w:rFonts w:ascii="Times New Roman" w:hAnsi="Times New Roman" w:cs="Times New Roman"/>
          <w:sz w:val="24"/>
          <w:szCs w:val="24"/>
        </w:rPr>
        <w:t xml:space="preserve">Mokhtar IA, Majid S.  (2008) Singh J. (2008) </w:t>
      </w:r>
      <w:bookmarkEnd w:id="2455"/>
      <w:r>
        <w:rPr>
          <w:rFonts w:ascii="Times New Roman" w:hAnsi="Times New Roman" w:cs="Times New Roman"/>
          <w:sz w:val="24"/>
          <w:szCs w:val="24"/>
        </w:rPr>
        <w:t>Sense-making: Information Literacy for Lifelong Learning and Knowledge Management. DESIDOC Journal of Library and Information Technology. 2008;28(2):pp13-19</w:t>
      </w:r>
    </w:p>
    <w:p w14:paraId="71C0E1D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Mokhtar, I. A., &amp; Majid, S. (2008). Information literacy standards, guidelines and their implementation: An analysis. </w:t>
      </w:r>
      <w:r>
        <w:rPr>
          <w:rFonts w:ascii="Times New Roman" w:hAnsi="Times New Roman" w:cs="Times New Roman"/>
          <w:i/>
          <w:iCs/>
          <w:color w:val="222222"/>
          <w:sz w:val="24"/>
          <w:szCs w:val="24"/>
          <w:shd w:val="clear" w:color="auto" w:fill="FFFFFF"/>
        </w:rPr>
        <w:t>DESIDOC Journal of Library &amp; Information Technology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(2), 5-12.</w:t>
      </w:r>
    </w:p>
    <w:p w14:paraId="0FA3CCB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Mokhtar, I. A., Majid, S., &amp; Foo, S. (2008). Teaching information literacy through learning styles: The application of Gardner's multiple intelligences. </w:t>
      </w:r>
      <w:r>
        <w:rPr>
          <w:rFonts w:ascii="Times New Roman" w:hAnsi="Times New Roman" w:cs="Times New Roman"/>
          <w:i/>
          <w:iCs/>
          <w:color w:val="222222"/>
          <w:sz w:val="24"/>
          <w:szCs w:val="24"/>
          <w:shd w:val="clear" w:color="auto" w:fill="FFFFFF"/>
        </w:rPr>
        <w:t>Journal of Librarianship and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40</w:t>
      </w:r>
      <w:r>
        <w:rPr>
          <w:rFonts w:ascii="Times New Roman" w:hAnsi="Times New Roman" w:cs="Times New Roman"/>
          <w:color w:val="222222"/>
          <w:sz w:val="24"/>
          <w:szCs w:val="24"/>
          <w:shd w:val="clear" w:color="auto" w:fill="FFFFFF"/>
        </w:rPr>
        <w:t>(2), 93-109.</w:t>
      </w:r>
    </w:p>
    <w:p w14:paraId="19F26952" w14:textId="77777777" w:rsidR="00B01D46" w:rsidRDefault="0067013E">
      <w:pPr>
        <w:spacing w:line="24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Molepo, C. M., &amp; Bopape, S. (2018). Information literacy education: perceptions, proficiencies and experiences of first-entering students at TUT. </w:t>
      </w:r>
      <w:r>
        <w:rPr>
          <w:rFonts w:ascii="Times New Roman" w:hAnsi="Times New Roman" w:cs="Times New Roman"/>
          <w:i/>
          <w:iCs/>
          <w:color w:val="222222"/>
          <w:sz w:val="24"/>
          <w:szCs w:val="24"/>
          <w:shd w:val="clear" w:color="auto" w:fill="FFFFFF"/>
        </w:rPr>
        <w:t>Mousaion: South African Journal of Information Studies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36</w:t>
      </w:r>
      <w:r>
        <w:rPr>
          <w:rFonts w:ascii="Times New Roman" w:hAnsi="Times New Roman" w:cs="Times New Roman"/>
          <w:color w:val="222222"/>
          <w:sz w:val="24"/>
          <w:szCs w:val="24"/>
          <w:shd w:val="clear" w:color="auto" w:fill="FFFFFF"/>
        </w:rPr>
        <w:t>(3), 1-20.</w:t>
      </w:r>
    </w:p>
    <w:p w14:paraId="03BF2F8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Momanyi, E. B., Toroitich, P., &amp; Onderi, P. (2018). Information literacy programming, students’ skills and utilization of e-resources at Maseno University, Kenya.</w:t>
      </w:r>
    </w:p>
    <w:p w14:paraId="588F257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56" w:name="_Hlk129080215"/>
      <w:r>
        <w:rPr>
          <w:rFonts w:ascii="Times New Roman" w:hAnsi="Times New Roman" w:cs="Times New Roman"/>
          <w:color w:val="222222"/>
          <w:sz w:val="24"/>
          <w:szCs w:val="24"/>
          <w:shd w:val="clear" w:color="auto" w:fill="FFFFFF"/>
        </w:rPr>
        <w:t xml:space="preserve">Moore, A. J. (2016). </w:t>
      </w:r>
      <w:bookmarkEnd w:id="2456"/>
      <w:r>
        <w:rPr>
          <w:rFonts w:ascii="Times New Roman" w:hAnsi="Times New Roman" w:cs="Times New Roman"/>
          <w:color w:val="222222"/>
          <w:sz w:val="24"/>
          <w:szCs w:val="24"/>
          <w:shd w:val="clear" w:color="auto" w:fill="FFFFFF"/>
        </w:rPr>
        <w:t>Pivot: Reconfiguring Information Literacy Instruction Space to Engage Students.</w:t>
      </w:r>
    </w:p>
    <w:p w14:paraId="069DDEEA"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Moore, J. K., &amp; Abbott, M. R. (2000). Phytoplankton chlorophyll distributions and primary production in the Southern Ocean. </w:t>
      </w:r>
      <w:r>
        <w:rPr>
          <w:rFonts w:ascii="Times New Roman" w:hAnsi="Times New Roman" w:cs="Times New Roman"/>
          <w:i/>
          <w:iCs/>
          <w:color w:val="222222"/>
          <w:sz w:val="24"/>
          <w:szCs w:val="24"/>
          <w:shd w:val="clear" w:color="auto" w:fill="FFFFFF"/>
        </w:rPr>
        <w:t>Journal of Geophysical Research: Oceans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105</w:t>
      </w:r>
      <w:r>
        <w:rPr>
          <w:rFonts w:ascii="Times New Roman" w:hAnsi="Times New Roman" w:cs="Times New Roman"/>
          <w:color w:val="222222"/>
          <w:sz w:val="24"/>
          <w:szCs w:val="24"/>
          <w:shd w:val="clear" w:color="auto" w:fill="FFFFFF"/>
        </w:rPr>
        <w:t>(C12), 28709-28722.</w:t>
      </w:r>
    </w:p>
    <w:p w14:paraId="717D7AD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Morgan, D. L. (2007). Paradigms lost and pragmatism regained: Methodological implications of combining qualitative and quantitative methods. </w:t>
      </w:r>
      <w:r>
        <w:rPr>
          <w:rFonts w:ascii="Times New Roman" w:hAnsi="Times New Roman" w:cs="Times New Roman"/>
          <w:i/>
          <w:iCs/>
          <w:color w:val="222222"/>
          <w:sz w:val="24"/>
          <w:szCs w:val="24"/>
          <w:shd w:val="clear" w:color="auto" w:fill="FFFFFF"/>
        </w:rPr>
        <w:t>Journal of mixed methods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w:t>
      </w:r>
      <w:r>
        <w:rPr>
          <w:rFonts w:ascii="Times New Roman" w:hAnsi="Times New Roman" w:cs="Times New Roman"/>
          <w:color w:val="222222"/>
          <w:sz w:val="24"/>
          <w:szCs w:val="24"/>
          <w:shd w:val="clear" w:color="auto" w:fill="FFFFFF"/>
        </w:rPr>
        <w:t>(1), 48-76.</w:t>
      </w:r>
    </w:p>
    <w:p w14:paraId="75DD8C8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Morgan, D. L. (2014). Pragmatism as a paradigm for social research. </w:t>
      </w:r>
      <w:r>
        <w:rPr>
          <w:rFonts w:ascii="Times New Roman" w:hAnsi="Times New Roman" w:cs="Times New Roman"/>
          <w:i/>
          <w:iCs/>
          <w:color w:val="222222"/>
          <w:sz w:val="24"/>
          <w:szCs w:val="24"/>
          <w:shd w:val="clear" w:color="auto" w:fill="FFFFFF"/>
        </w:rPr>
        <w:t>Qualitative inquiry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20</w:t>
      </w:r>
      <w:r>
        <w:rPr>
          <w:rFonts w:ascii="Times New Roman" w:hAnsi="Times New Roman" w:cs="Times New Roman"/>
          <w:color w:val="222222"/>
          <w:sz w:val="24"/>
          <w:szCs w:val="24"/>
          <w:shd w:val="clear" w:color="auto" w:fill="FFFFFF"/>
        </w:rPr>
        <w:t>(8), 1045-1053.</w:t>
      </w:r>
    </w:p>
    <w:p w14:paraId="4F64E06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57" w:name="_Hlk126063993"/>
      <w:r>
        <w:rPr>
          <w:rFonts w:ascii="Times New Roman" w:hAnsi="Times New Roman" w:cs="Times New Roman"/>
          <w:color w:val="222222"/>
          <w:sz w:val="24"/>
          <w:szCs w:val="24"/>
          <w:shd w:val="clear" w:color="auto" w:fill="FFFFFF"/>
        </w:rPr>
        <w:t xml:space="preserve">Moto, S., Ratanaolarn, T., Tuntiwongwanich, S., &amp; Pimdee, P. (2018). </w:t>
      </w:r>
      <w:bookmarkEnd w:id="2457"/>
      <w:r>
        <w:rPr>
          <w:rFonts w:ascii="Times New Roman" w:hAnsi="Times New Roman" w:cs="Times New Roman"/>
          <w:color w:val="222222"/>
          <w:sz w:val="24"/>
          <w:szCs w:val="24"/>
          <w:shd w:val="clear" w:color="auto" w:fill="FFFFFF"/>
        </w:rPr>
        <w:t>A Thai junior high school students’ 21st century information literacy, media literacy, and ICT literacy skills factor analysis. </w:t>
      </w:r>
      <w:r>
        <w:rPr>
          <w:rFonts w:ascii="Times New Roman" w:hAnsi="Times New Roman" w:cs="Times New Roman"/>
          <w:i/>
          <w:iCs/>
          <w:color w:val="222222"/>
          <w:sz w:val="24"/>
          <w:szCs w:val="24"/>
          <w:shd w:val="clear" w:color="auto" w:fill="FFFFFF"/>
        </w:rPr>
        <w:t>International Journal of Emerging Technologies in Learning (Online)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13</w:t>
      </w:r>
      <w:r>
        <w:rPr>
          <w:rFonts w:ascii="Times New Roman" w:hAnsi="Times New Roman" w:cs="Times New Roman"/>
          <w:color w:val="222222"/>
          <w:sz w:val="24"/>
          <w:szCs w:val="24"/>
          <w:shd w:val="clear" w:color="auto" w:fill="FFFFFF"/>
        </w:rPr>
        <w:t>(9), 87.</w:t>
      </w:r>
    </w:p>
    <w:p w14:paraId="6C017C4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58" w:name="_Hlk125653290"/>
      <w:r>
        <w:rPr>
          <w:rFonts w:ascii="Times New Roman" w:hAnsi="Times New Roman" w:cs="Times New Roman"/>
          <w:color w:val="222222"/>
          <w:sz w:val="24"/>
          <w:szCs w:val="24"/>
          <w:shd w:val="clear" w:color="auto" w:fill="FFFFFF"/>
        </w:rPr>
        <w:t>Mudavadi, K. C. (2019). </w:t>
      </w:r>
      <w:bookmarkEnd w:id="2458"/>
      <w:r>
        <w:rPr>
          <w:rFonts w:ascii="Times New Roman" w:hAnsi="Times New Roman" w:cs="Times New Roman"/>
          <w:i/>
          <w:iCs/>
          <w:color w:val="222222"/>
          <w:sz w:val="24"/>
          <w:szCs w:val="24"/>
          <w:shd w:val="clear" w:color="auto" w:fill="FFFFFF"/>
        </w:rPr>
        <w:t>Newspaper Framing of a Health Crisis and Public Perception in Kenya: The Case of Kenyatta National Hospital Wrong-Patient Brain Surgery</w:t>
      </w:r>
      <w:r>
        <w:rPr>
          <w:rFonts w:ascii="Times New Roman" w:hAnsi="Times New Roman" w:cs="Times New Roman"/>
          <w:color w:val="222222"/>
          <w:sz w:val="24"/>
          <w:szCs w:val="24"/>
          <w:shd w:val="clear" w:color="auto" w:fill="FFFFFF"/>
        </w:rPr>
        <w:t> (Doctoral dissertation, United States International University-Africa).</w:t>
      </w:r>
    </w:p>
    <w:p w14:paraId="100A683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Mugambi, F. (2017). Assessment of information literacy competencies of practicing nurses at Kenyatta National Hospital, Kenya. </w:t>
      </w:r>
      <w:r>
        <w:rPr>
          <w:rFonts w:ascii="Times New Roman" w:hAnsi="Times New Roman" w:cs="Times New Roman"/>
          <w:i/>
          <w:iCs/>
          <w:color w:val="222222"/>
          <w:sz w:val="24"/>
          <w:szCs w:val="24"/>
          <w:shd w:val="clear" w:color="auto" w:fill="FFFFFF"/>
        </w:rPr>
        <w:t>A research project submitted in partial fulfillment of the degree of Master of Library and Information Science in the School of Education, Kenyatta University Availeb from: ir-librarykuacke</w:t>
      </w:r>
      <w:r>
        <w:rPr>
          <w:rFonts w:ascii="Times New Roman" w:hAnsi="Times New Roman" w:cs="Times New Roman"/>
          <w:color w:val="222222"/>
          <w:sz w:val="24"/>
          <w:szCs w:val="24"/>
          <w:shd w:val="clear" w:color="auto" w:fill="FFFFFF"/>
        </w:rPr>
        <w:t>.</w:t>
      </w:r>
    </w:p>
    <w:p w14:paraId="7A4DFD7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Mugambi, M. (2013). Association between funding source, methodological quality and research outcomes in randomized controlled trials of synbiotics, probiotics and prebiotics added to infant formula: a systematic review. </w:t>
      </w:r>
      <w:r>
        <w:rPr>
          <w:rFonts w:ascii="Times New Roman" w:hAnsi="Times New Roman" w:cs="Times New Roman"/>
          <w:i/>
          <w:iCs/>
          <w:color w:val="222222"/>
          <w:sz w:val="24"/>
          <w:szCs w:val="24"/>
          <w:shd w:val="clear" w:color="auto" w:fill="FFFFFF"/>
        </w:rPr>
        <w:t>BMC medical research methodology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13</w:t>
      </w:r>
      <w:r>
        <w:rPr>
          <w:rFonts w:ascii="Times New Roman" w:hAnsi="Times New Roman" w:cs="Times New Roman"/>
          <w:color w:val="222222"/>
          <w:sz w:val="24"/>
          <w:szCs w:val="24"/>
          <w:shd w:val="clear" w:color="auto" w:fill="FFFFFF"/>
        </w:rPr>
        <w:t>, 1-22.</w:t>
      </w:r>
    </w:p>
    <w:p w14:paraId="1D00DFF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Mugambi, M. K. (2013). </w:t>
      </w:r>
      <w:r>
        <w:rPr>
          <w:rFonts w:ascii="Times New Roman" w:hAnsi="Times New Roman" w:cs="Times New Roman"/>
          <w:i/>
          <w:iCs/>
          <w:color w:val="222222"/>
          <w:sz w:val="24"/>
          <w:szCs w:val="24"/>
          <w:shd w:val="clear" w:color="auto" w:fill="FFFFFF"/>
        </w:rPr>
        <w:t>Effects of e-government strategy on service delivery in the government ministries in Kenya</w:t>
      </w:r>
      <w:r>
        <w:rPr>
          <w:rFonts w:ascii="Times New Roman" w:hAnsi="Times New Roman" w:cs="Times New Roman"/>
          <w:color w:val="222222"/>
          <w:sz w:val="24"/>
          <w:szCs w:val="24"/>
          <w:shd w:val="clear" w:color="auto" w:fill="FFFFFF"/>
        </w:rPr>
        <w:t> (Doctoral dissertation, University of Nairobi).</w:t>
      </w:r>
    </w:p>
    <w:p w14:paraId="459D1A1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Munavalli, J. R. (2018). Are we not Losing that Human Touch in Healthcare?. </w:t>
      </w:r>
      <w:r>
        <w:rPr>
          <w:rFonts w:ascii="Times New Roman" w:hAnsi="Times New Roman" w:cs="Times New Roman"/>
          <w:i/>
          <w:iCs/>
          <w:color w:val="222222"/>
          <w:sz w:val="24"/>
          <w:szCs w:val="24"/>
          <w:shd w:val="clear" w:color="auto" w:fill="FFFFFF"/>
        </w:rPr>
        <w:t>Journal of Multidisciplinary Research in Healthcare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(2), 109-113.</w:t>
      </w:r>
    </w:p>
    <w:p w14:paraId="36FFAF64"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Musoke, M.G.N. (2008), “Strategies for addressing the university library users changing needs and practices in sub-Saharan Africa”, The Journal of Academic Librarianship, Vol. 34 No. 6, pp. 532-538. </w:t>
      </w:r>
    </w:p>
    <w:p w14:paraId="09F8558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Mutula, S. M., &amp; Van Brakel, P. (2006). An evaluation of e-readiness assessment tools with respect to information access: Towards an integrated information rich tool. </w:t>
      </w:r>
      <w:r>
        <w:rPr>
          <w:rFonts w:ascii="Times New Roman" w:hAnsi="Times New Roman" w:cs="Times New Roman"/>
          <w:i/>
          <w:iCs/>
          <w:color w:val="222222"/>
          <w:sz w:val="24"/>
          <w:szCs w:val="24"/>
          <w:shd w:val="clear" w:color="auto" w:fill="FFFFFF"/>
        </w:rPr>
        <w:t>International Journal of Information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26</w:t>
      </w:r>
      <w:r>
        <w:rPr>
          <w:rFonts w:ascii="Times New Roman" w:hAnsi="Times New Roman" w:cs="Times New Roman"/>
          <w:color w:val="222222"/>
          <w:sz w:val="24"/>
          <w:szCs w:val="24"/>
          <w:shd w:val="clear" w:color="auto" w:fill="FFFFFF"/>
        </w:rPr>
        <w:t>(3), 212-223.</w:t>
      </w:r>
    </w:p>
    <w:p w14:paraId="16F64A2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Mwita, M. E. (2017). Examining the teaching of reading in early years classes: Case study of one government school in Mpwapwa district.</w:t>
      </w:r>
    </w:p>
    <w:p w14:paraId="01887F49" w14:textId="77777777" w:rsidR="00B01D46" w:rsidRDefault="0067013E">
      <w:pPr>
        <w:shd w:val="clear" w:color="auto" w:fill="FFFFFF"/>
        <w:spacing w:line="240" w:lineRule="auto"/>
        <w:ind w:left="720" w:hanging="720"/>
        <w:jc w:val="both"/>
        <w:rPr>
          <w:rFonts w:ascii="Times New Roman" w:hAnsi="Times New Roman" w:cs="Times New Roman"/>
          <w:sz w:val="24"/>
          <w:szCs w:val="24"/>
        </w:rPr>
      </w:pPr>
      <w:bookmarkStart w:id="2459" w:name="_Hlk182147336"/>
      <w:r>
        <w:rPr>
          <w:rFonts w:ascii="Times New Roman" w:hAnsi="Times New Roman" w:cs="Times New Roman"/>
          <w:color w:val="222222"/>
          <w:sz w:val="24"/>
          <w:szCs w:val="24"/>
          <w:shd w:val="clear" w:color="auto" w:fill="FFFFFF"/>
        </w:rPr>
        <w:t xml:space="preserve">Nassaji, H. (2015). </w:t>
      </w:r>
      <w:bookmarkEnd w:id="2459"/>
      <w:r>
        <w:rPr>
          <w:rFonts w:ascii="Times New Roman" w:hAnsi="Times New Roman" w:cs="Times New Roman"/>
          <w:color w:val="222222"/>
          <w:sz w:val="24"/>
          <w:szCs w:val="24"/>
          <w:shd w:val="clear" w:color="auto" w:fill="FFFFFF"/>
        </w:rPr>
        <w:t>Qualitative and descriptive research: Data type versus data analysis. </w:t>
      </w:r>
      <w:r>
        <w:rPr>
          <w:rFonts w:ascii="Times New Roman" w:hAnsi="Times New Roman" w:cs="Times New Roman"/>
          <w:i/>
          <w:iCs/>
          <w:color w:val="222222"/>
          <w:sz w:val="24"/>
          <w:szCs w:val="24"/>
          <w:shd w:val="clear" w:color="auto" w:fill="FFFFFF"/>
        </w:rPr>
        <w:t>Language teaching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19</w:t>
      </w:r>
      <w:r>
        <w:rPr>
          <w:rFonts w:ascii="Times New Roman" w:hAnsi="Times New Roman" w:cs="Times New Roman"/>
          <w:color w:val="222222"/>
          <w:sz w:val="24"/>
          <w:szCs w:val="24"/>
          <w:shd w:val="clear" w:color="auto" w:fill="FFFFFF"/>
        </w:rPr>
        <w:t>(2), 129-132.</w:t>
      </w:r>
      <w:r>
        <w:rPr>
          <w:rFonts w:ascii="Times New Roman" w:hAnsi="Times New Roman" w:cs="Times New Roman"/>
          <w:sz w:val="24"/>
          <w:szCs w:val="24"/>
        </w:rPr>
        <w:t xml:space="preserve"> </w:t>
      </w:r>
    </w:p>
    <w:p w14:paraId="6C87CC5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Neuman, W. L., Wiegand, B., &amp; Winterdyk, J. A. (2000). </w:t>
      </w:r>
      <w:r>
        <w:rPr>
          <w:rFonts w:ascii="Times New Roman" w:hAnsi="Times New Roman" w:cs="Times New Roman"/>
          <w:i/>
          <w:iCs/>
          <w:color w:val="222222"/>
          <w:sz w:val="24"/>
          <w:szCs w:val="24"/>
          <w:shd w:val="clear" w:color="auto" w:fill="FFFFFF"/>
        </w:rPr>
        <w:t>Criminal justice research methods: Qualitative and quantitative approaches</w:t>
      </w:r>
      <w:r>
        <w:rPr>
          <w:rFonts w:ascii="Times New Roman" w:hAnsi="Times New Roman" w:cs="Times New Roman"/>
          <w:color w:val="222222"/>
          <w:sz w:val="24"/>
          <w:szCs w:val="24"/>
          <w:shd w:val="clear" w:color="auto" w:fill="FFFFFF"/>
        </w:rPr>
        <w:t>. Boston: Allyn and bacon.</w:t>
      </w:r>
    </w:p>
    <w:p w14:paraId="30B60D2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Newman, T. K., Becker, M. L., Parker, C. C., Champoux, M., Lesch, K. P., ... &amp; Higley, J. D. (2003). The utility of the non‐human primate model for studying gene by environment interactions in behavioral research. </w:t>
      </w:r>
      <w:r>
        <w:rPr>
          <w:rFonts w:ascii="Times New Roman" w:hAnsi="Times New Roman" w:cs="Times New Roman"/>
          <w:i/>
          <w:iCs/>
          <w:color w:val="222222"/>
          <w:sz w:val="24"/>
          <w:szCs w:val="24"/>
          <w:shd w:val="clear" w:color="auto" w:fill="FFFFFF"/>
        </w:rPr>
        <w:t>Genes, Brain and Behavior</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w:t>
      </w:r>
      <w:r>
        <w:rPr>
          <w:rFonts w:ascii="Times New Roman" w:hAnsi="Times New Roman" w:cs="Times New Roman"/>
          <w:color w:val="222222"/>
          <w:sz w:val="24"/>
          <w:szCs w:val="24"/>
          <w:shd w:val="clear" w:color="auto" w:fill="FFFFFF"/>
        </w:rPr>
        <w:t>(6), 336-340.</w:t>
      </w:r>
    </w:p>
    <w:p w14:paraId="532277F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60" w:name="_Hlk126057013"/>
      <w:r>
        <w:rPr>
          <w:rFonts w:ascii="Times New Roman" w:hAnsi="Times New Roman" w:cs="Times New Roman"/>
          <w:color w:val="222222"/>
          <w:sz w:val="24"/>
          <w:szCs w:val="24"/>
          <w:shd w:val="clear" w:color="auto" w:fill="FFFFFF"/>
        </w:rPr>
        <w:lastRenderedPageBreak/>
        <w:t xml:space="preserve">Ngulube, P. (2020). </w:t>
      </w:r>
      <w:bookmarkEnd w:id="2460"/>
      <w:r>
        <w:rPr>
          <w:rFonts w:ascii="Times New Roman" w:hAnsi="Times New Roman" w:cs="Times New Roman"/>
          <w:color w:val="222222"/>
          <w:sz w:val="24"/>
          <w:szCs w:val="24"/>
          <w:shd w:val="clear" w:color="auto" w:fill="FFFFFF"/>
        </w:rPr>
        <w:t>Theory and theorising in information science scholarship. In </w:t>
      </w:r>
      <w:r>
        <w:rPr>
          <w:rFonts w:ascii="Times New Roman" w:hAnsi="Times New Roman" w:cs="Times New Roman"/>
          <w:i/>
          <w:iCs/>
          <w:color w:val="222222"/>
          <w:sz w:val="24"/>
          <w:szCs w:val="24"/>
          <w:shd w:val="clear" w:color="auto" w:fill="FFFFFF"/>
        </w:rPr>
        <w:t>Handbook of research on connecting research methods for information science research</w:t>
      </w:r>
      <w:r>
        <w:rPr>
          <w:rFonts w:ascii="Times New Roman" w:hAnsi="Times New Roman" w:cs="Times New Roman"/>
          <w:color w:val="222222"/>
          <w:sz w:val="24"/>
          <w:szCs w:val="24"/>
          <w:shd w:val="clear" w:color="auto" w:fill="FFFFFF"/>
        </w:rPr>
        <w:t> (pp. 18-39). IGI Global.</w:t>
      </w:r>
    </w:p>
    <w:p w14:paraId="6C6020E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61" w:name="_Hlk128494381"/>
      <w:r>
        <w:rPr>
          <w:rFonts w:ascii="Times New Roman" w:hAnsi="Times New Roman" w:cs="Times New Roman"/>
          <w:color w:val="222222"/>
          <w:sz w:val="24"/>
          <w:szCs w:val="24"/>
          <w:shd w:val="clear" w:color="auto" w:fill="FFFFFF"/>
        </w:rPr>
        <w:t xml:space="preserve">'Niran, A., Simisaye, A. O., &amp; Oyefuga, A. B. (2010). </w:t>
      </w:r>
      <w:bookmarkEnd w:id="2461"/>
      <w:r>
        <w:rPr>
          <w:rFonts w:ascii="Times New Roman" w:hAnsi="Times New Roman" w:cs="Times New Roman"/>
          <w:color w:val="222222"/>
          <w:sz w:val="24"/>
          <w:szCs w:val="24"/>
          <w:shd w:val="clear" w:color="auto" w:fill="FFFFFF"/>
        </w:rPr>
        <w:t>Relationship between perceived self-efficacy and information literacy among library and information science undergraduates in a Nigerian University of Education. </w:t>
      </w:r>
      <w:r>
        <w:rPr>
          <w:rFonts w:ascii="Times New Roman" w:hAnsi="Times New Roman" w:cs="Times New Roman"/>
          <w:i/>
          <w:iCs/>
          <w:color w:val="222222"/>
          <w:sz w:val="24"/>
          <w:szCs w:val="24"/>
          <w:shd w:val="clear" w:color="auto" w:fill="FFFFFF"/>
        </w:rPr>
        <w:t>IFE PsychologIA: An International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18</w:t>
      </w:r>
      <w:r>
        <w:rPr>
          <w:rFonts w:ascii="Times New Roman" w:hAnsi="Times New Roman" w:cs="Times New Roman"/>
          <w:color w:val="222222"/>
          <w:sz w:val="24"/>
          <w:szCs w:val="24"/>
          <w:shd w:val="clear" w:color="auto" w:fill="FFFFFF"/>
        </w:rPr>
        <w:t>(2), 172-191.</w:t>
      </w:r>
    </w:p>
    <w:p w14:paraId="3EDC362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Nisbet, J. D., Watt, J. S., &amp; Duncan, J. A. (1984). Educational disadvantage: Ten years on.</w:t>
      </w:r>
    </w:p>
    <w:p w14:paraId="211590F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Nkebukwa, A. K. (2004). Access to Knowledge: Challenges for Public University Information. </w:t>
      </w:r>
      <w:r>
        <w:rPr>
          <w:rFonts w:ascii="Times New Roman" w:hAnsi="Times New Roman" w:cs="Times New Roman"/>
          <w:i/>
          <w:iCs/>
          <w:color w:val="222222"/>
          <w:sz w:val="24"/>
          <w:szCs w:val="24"/>
          <w:shd w:val="clear" w:color="auto" w:fill="FFFFFF"/>
        </w:rPr>
        <w:t>Training and Management of Information Services in the New Milenium: 16th to 19th October, 2002 Bagamoyo Tanzania: Proceedings</w:t>
      </w:r>
      <w:r>
        <w:rPr>
          <w:rFonts w:ascii="Times New Roman" w:hAnsi="Times New Roman" w:cs="Times New Roman"/>
          <w:color w:val="222222"/>
          <w:sz w:val="24"/>
          <w:szCs w:val="24"/>
          <w:shd w:val="clear" w:color="auto" w:fill="FFFFFF"/>
        </w:rPr>
        <w:t>, 54.</w:t>
      </w:r>
    </w:p>
    <w:p w14:paraId="5366382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Nnadozie, C. O., &amp; Nnadozie, C. D. (2008). The information needs of faculty members in a Nigerian private university: A self-study. </w:t>
      </w:r>
      <w:r>
        <w:rPr>
          <w:rFonts w:ascii="Times New Roman" w:hAnsi="Times New Roman" w:cs="Times New Roman"/>
          <w:i/>
          <w:iCs/>
          <w:color w:val="222222"/>
          <w:sz w:val="24"/>
          <w:szCs w:val="24"/>
          <w:shd w:val="clear" w:color="auto" w:fill="FFFFFF"/>
        </w:rPr>
        <w:t>Library Philosophy and practice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w:t>
      </w:r>
      <w:r>
        <w:rPr>
          <w:rFonts w:ascii="Times New Roman" w:hAnsi="Times New Roman" w:cs="Times New Roman"/>
          <w:color w:val="222222"/>
          <w:sz w:val="24"/>
          <w:szCs w:val="24"/>
          <w:shd w:val="clear" w:color="auto" w:fill="FFFFFF"/>
        </w:rPr>
        <w:t>, 89-95.</w:t>
      </w:r>
    </w:p>
    <w:p w14:paraId="1386134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Nonthacumjane, P. (2011). Key skills and competencies of a new generation of LIS professionals. </w:t>
      </w:r>
      <w:r>
        <w:rPr>
          <w:rFonts w:ascii="Times New Roman" w:hAnsi="Times New Roman" w:cs="Times New Roman"/>
          <w:i/>
          <w:iCs/>
          <w:color w:val="222222"/>
          <w:sz w:val="24"/>
          <w:szCs w:val="24"/>
          <w:shd w:val="clear" w:color="auto" w:fill="FFFFFF"/>
        </w:rPr>
        <w:t>IFLA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37</w:t>
      </w:r>
      <w:r>
        <w:rPr>
          <w:rFonts w:ascii="Times New Roman" w:hAnsi="Times New Roman" w:cs="Times New Roman"/>
          <w:color w:val="222222"/>
          <w:sz w:val="24"/>
          <w:szCs w:val="24"/>
          <w:shd w:val="clear" w:color="auto" w:fill="FFFFFF"/>
        </w:rPr>
        <w:t>(4), 280-288.</w:t>
      </w:r>
    </w:p>
    <w:p w14:paraId="199D7696"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Nweze, C.M.T. (2011), “Undergraduate library instruction in Nigerian universities: a case study of Hezekiah Oluwasanm library”, Library Philosophy &amp; Practice (E-Journal), Obafemi Awolowo University Ile-Ife, available at: </w:t>
      </w:r>
      <w:r>
        <w:rPr>
          <w:rFonts w:ascii="Times New Roman" w:hAnsi="Times New Roman" w:cs="Times New Roman"/>
          <w:sz w:val="24"/>
          <w:szCs w:val="24"/>
          <w:u w:val="single"/>
        </w:rPr>
        <w:t>www.digitalcommons.unl,edu/liphilprac/495</w:t>
      </w:r>
      <w:r>
        <w:rPr>
          <w:rFonts w:ascii="Times New Roman" w:hAnsi="Times New Roman" w:cs="Times New Roman"/>
          <w:sz w:val="24"/>
          <w:szCs w:val="24"/>
        </w:rPr>
        <w:t xml:space="preserve"> (accessed 20 August 2013</w:t>
      </w:r>
    </w:p>
    <w:p w14:paraId="48DB276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Nyamboga, C. M. (2004). Information skills and information literacy in Indian university libraries. </w:t>
      </w:r>
      <w:r>
        <w:rPr>
          <w:rFonts w:ascii="Times New Roman" w:hAnsi="Times New Roman" w:cs="Times New Roman"/>
          <w:i/>
          <w:iCs/>
          <w:color w:val="222222"/>
          <w:sz w:val="24"/>
          <w:szCs w:val="24"/>
          <w:shd w:val="clear" w:color="auto" w:fill="FFFFFF"/>
        </w:rPr>
        <w:t>Program</w:t>
      </w:r>
      <w:r>
        <w:rPr>
          <w:rFonts w:ascii="Times New Roman" w:hAnsi="Times New Roman" w:cs="Times New Roman"/>
          <w:color w:val="222222"/>
          <w:sz w:val="24"/>
          <w:szCs w:val="24"/>
          <w:shd w:val="clear" w:color="auto" w:fill="FFFFFF"/>
        </w:rPr>
        <w:t>.</w:t>
      </w:r>
    </w:p>
    <w:p w14:paraId="1A830B6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Nyamboga, C. M., &amp; Kemparaju, T. D. (2002). Information technology in university libraries in Karnataka. </w:t>
      </w:r>
      <w:r>
        <w:rPr>
          <w:rFonts w:ascii="Times New Roman" w:hAnsi="Times New Roman" w:cs="Times New Roman"/>
          <w:i/>
          <w:iCs/>
          <w:color w:val="222222"/>
          <w:sz w:val="24"/>
          <w:szCs w:val="24"/>
          <w:shd w:val="clear" w:color="auto" w:fill="FFFFFF"/>
        </w:rPr>
        <w:t>Information Development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18</w:t>
      </w:r>
      <w:r>
        <w:rPr>
          <w:rFonts w:ascii="Times New Roman" w:hAnsi="Times New Roman" w:cs="Times New Roman"/>
          <w:color w:val="222222"/>
          <w:sz w:val="24"/>
          <w:szCs w:val="24"/>
          <w:shd w:val="clear" w:color="auto" w:fill="FFFFFF"/>
        </w:rPr>
        <w:t>(4), 257-265.</w:t>
      </w:r>
    </w:p>
    <w:p w14:paraId="305A6E9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62" w:name="_Hlk182128923"/>
      <w:r>
        <w:rPr>
          <w:rFonts w:ascii="Times New Roman" w:hAnsi="Times New Roman" w:cs="Times New Roman"/>
          <w:color w:val="222222"/>
          <w:sz w:val="24"/>
          <w:szCs w:val="24"/>
          <w:shd w:val="clear" w:color="auto" w:fill="FFFFFF"/>
        </w:rPr>
        <w:t xml:space="preserve">Nyawira, L., et al (2021). </w:t>
      </w:r>
      <w:bookmarkEnd w:id="2462"/>
      <w:r>
        <w:rPr>
          <w:rFonts w:ascii="Times New Roman" w:hAnsi="Times New Roman" w:cs="Times New Roman"/>
          <w:color w:val="222222"/>
          <w:sz w:val="24"/>
          <w:szCs w:val="24"/>
          <w:shd w:val="clear" w:color="auto" w:fill="FFFFFF"/>
        </w:rPr>
        <w:t>Examining health sector stakeholder perceptions on the efficiency of county health systems in Kenya. </w:t>
      </w:r>
      <w:r>
        <w:rPr>
          <w:rFonts w:ascii="Times New Roman" w:hAnsi="Times New Roman" w:cs="Times New Roman"/>
          <w:i/>
          <w:iCs/>
          <w:color w:val="222222"/>
          <w:sz w:val="24"/>
          <w:szCs w:val="24"/>
          <w:shd w:val="clear" w:color="auto" w:fill="FFFFFF"/>
        </w:rPr>
        <w:t>PLOS global public health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w:t>
      </w:r>
      <w:r>
        <w:rPr>
          <w:rFonts w:ascii="Times New Roman" w:hAnsi="Times New Roman" w:cs="Times New Roman"/>
          <w:color w:val="222222"/>
          <w:sz w:val="24"/>
          <w:szCs w:val="24"/>
          <w:shd w:val="clear" w:color="auto" w:fill="FFFFFF"/>
        </w:rPr>
        <w:t>(12), e0000077.</w:t>
      </w:r>
    </w:p>
    <w:p w14:paraId="1850E1A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O'Cathain, A. (2009). Mixed methods research in the health sciences: A quiet revolution. </w:t>
      </w:r>
      <w:r>
        <w:rPr>
          <w:rFonts w:ascii="Times New Roman" w:hAnsi="Times New Roman" w:cs="Times New Roman"/>
          <w:i/>
          <w:iCs/>
          <w:color w:val="222222"/>
          <w:sz w:val="24"/>
          <w:szCs w:val="24"/>
          <w:shd w:val="clear" w:color="auto" w:fill="FFFFFF"/>
        </w:rPr>
        <w:t>Journal of Mixed Methods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w:t>
      </w:r>
      <w:r>
        <w:rPr>
          <w:rFonts w:ascii="Times New Roman" w:hAnsi="Times New Roman" w:cs="Times New Roman"/>
          <w:color w:val="222222"/>
          <w:sz w:val="24"/>
          <w:szCs w:val="24"/>
          <w:shd w:val="clear" w:color="auto" w:fill="FFFFFF"/>
        </w:rPr>
        <w:t>(1), 3-6.</w:t>
      </w:r>
    </w:p>
    <w:p w14:paraId="71EDC53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63" w:name="_Hlk129088354"/>
      <w:r>
        <w:rPr>
          <w:rFonts w:ascii="Times New Roman" w:hAnsi="Times New Roman" w:cs="Times New Roman"/>
          <w:color w:val="222222"/>
          <w:sz w:val="24"/>
          <w:szCs w:val="24"/>
          <w:shd w:val="clear" w:color="auto" w:fill="FFFFFF"/>
        </w:rPr>
        <w:t>Ochieng, B. O. (2010). </w:t>
      </w:r>
      <w:bookmarkEnd w:id="2463"/>
      <w:r>
        <w:rPr>
          <w:rFonts w:ascii="Times New Roman" w:hAnsi="Times New Roman" w:cs="Times New Roman"/>
          <w:i/>
          <w:iCs/>
          <w:color w:val="222222"/>
          <w:sz w:val="24"/>
          <w:szCs w:val="24"/>
          <w:shd w:val="clear" w:color="auto" w:fill="FFFFFF"/>
        </w:rPr>
        <w:t>Strategic planning and implementation practices at the College of Health Sciences, University of Nairobi</w:t>
      </w:r>
      <w:r>
        <w:rPr>
          <w:rFonts w:ascii="Times New Roman" w:hAnsi="Times New Roman" w:cs="Times New Roman"/>
          <w:color w:val="222222"/>
          <w:sz w:val="24"/>
          <w:szCs w:val="24"/>
          <w:shd w:val="clear" w:color="auto" w:fill="FFFFFF"/>
        </w:rPr>
        <w:t> (Doctoral dissertation, University of Nairobi, Kenya).</w:t>
      </w:r>
    </w:p>
    <w:p w14:paraId="49B3D15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Ocholla, D. N., &amp; Ojiambo, J. B. (Eds.). (1993). </w:t>
      </w:r>
      <w:r>
        <w:rPr>
          <w:rFonts w:ascii="Times New Roman" w:hAnsi="Times New Roman" w:cs="Times New Roman"/>
          <w:i/>
          <w:iCs/>
          <w:color w:val="222222"/>
          <w:sz w:val="24"/>
          <w:szCs w:val="24"/>
          <w:shd w:val="clear" w:color="auto" w:fill="FFFFFF"/>
        </w:rPr>
        <w:t>Issues in library and information studies</w:t>
      </w:r>
      <w:r>
        <w:rPr>
          <w:rFonts w:ascii="Times New Roman" w:hAnsi="Times New Roman" w:cs="Times New Roman"/>
          <w:color w:val="222222"/>
          <w:sz w:val="24"/>
          <w:szCs w:val="24"/>
          <w:shd w:val="clear" w:color="auto" w:fill="FFFFFF"/>
        </w:rPr>
        <w:t>. Jomo Kenyatta Foundation.</w:t>
      </w:r>
    </w:p>
    <w:p w14:paraId="12736C0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Odero‐Musakali, D., &amp; Mutula, S. M. (2007). Internet adoption and assimilation in Kenyan university libraries. </w:t>
      </w:r>
      <w:r>
        <w:rPr>
          <w:rFonts w:ascii="Times New Roman" w:hAnsi="Times New Roman" w:cs="Times New Roman"/>
          <w:i/>
          <w:iCs/>
          <w:color w:val="222222"/>
          <w:sz w:val="24"/>
          <w:szCs w:val="24"/>
          <w:shd w:val="clear" w:color="auto" w:fill="FFFFFF"/>
        </w:rPr>
        <w:t>Library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56</w:t>
      </w:r>
      <w:r>
        <w:rPr>
          <w:rFonts w:ascii="Times New Roman" w:hAnsi="Times New Roman" w:cs="Times New Roman"/>
          <w:color w:val="222222"/>
          <w:sz w:val="24"/>
          <w:szCs w:val="24"/>
          <w:shd w:val="clear" w:color="auto" w:fill="FFFFFF"/>
        </w:rPr>
        <w:t>(6), 464-475.</w:t>
      </w:r>
    </w:p>
    <w:p w14:paraId="7102EA9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Odini, S. (1996). </w:t>
      </w:r>
      <w:r>
        <w:rPr>
          <w:rFonts w:ascii="Times New Roman" w:hAnsi="Times New Roman" w:cs="Times New Roman"/>
          <w:i/>
          <w:iCs/>
          <w:color w:val="222222"/>
          <w:sz w:val="24"/>
          <w:szCs w:val="24"/>
          <w:shd w:val="clear" w:color="auto" w:fill="FFFFFF"/>
        </w:rPr>
        <w:t>Social Self in Zen and American Pragmatism, The</w:t>
      </w:r>
      <w:r>
        <w:rPr>
          <w:rFonts w:ascii="Times New Roman" w:hAnsi="Times New Roman" w:cs="Times New Roman"/>
          <w:color w:val="222222"/>
          <w:sz w:val="24"/>
          <w:szCs w:val="24"/>
          <w:shd w:val="clear" w:color="auto" w:fill="FFFFFF"/>
        </w:rPr>
        <w:t>. State University of New York Press.</w:t>
      </w:r>
    </w:p>
    <w:p w14:paraId="17EF156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Odini, C. (2000). Collection development: the experience of Kenya Polytechnic Library. </w:t>
      </w:r>
      <w:r>
        <w:rPr>
          <w:rFonts w:ascii="Times New Roman" w:hAnsi="Times New Roman" w:cs="Times New Roman"/>
          <w:i/>
          <w:iCs/>
          <w:color w:val="222222"/>
          <w:sz w:val="24"/>
          <w:szCs w:val="24"/>
          <w:shd w:val="clear" w:color="auto" w:fill="FFFFFF"/>
        </w:rPr>
        <w:t>Library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15</w:t>
      </w:r>
      <w:r>
        <w:rPr>
          <w:rFonts w:ascii="Times New Roman" w:hAnsi="Times New Roman" w:cs="Times New Roman"/>
          <w:color w:val="222222"/>
          <w:sz w:val="24"/>
          <w:szCs w:val="24"/>
          <w:shd w:val="clear" w:color="auto" w:fill="FFFFFF"/>
        </w:rPr>
        <w:t>(4), 12-16.</w:t>
      </w:r>
    </w:p>
    <w:p w14:paraId="4A14C2D8" w14:textId="77777777" w:rsidR="00B01D46" w:rsidRDefault="0067013E">
      <w:pPr>
        <w:spacing w:line="240" w:lineRule="auto"/>
        <w:ind w:left="720" w:hanging="720"/>
        <w:jc w:val="both"/>
        <w:rPr>
          <w:rFonts w:ascii="Times New Roman" w:hAnsi="Times New Roman" w:cs="Times New Roman"/>
          <w:sz w:val="24"/>
          <w:szCs w:val="24"/>
        </w:rPr>
      </w:pPr>
      <w:bookmarkStart w:id="2464" w:name="_Hlk131752245"/>
      <w:r>
        <w:rPr>
          <w:rFonts w:ascii="Times New Roman" w:hAnsi="Times New Roman" w:cs="Times New Roman"/>
          <w:sz w:val="24"/>
          <w:szCs w:val="24"/>
        </w:rPr>
        <w:lastRenderedPageBreak/>
        <w:t xml:space="preserve">OECD/CERI International Conference (2008) </w:t>
      </w:r>
      <w:bookmarkEnd w:id="2464"/>
      <w:r>
        <w:rPr>
          <w:rFonts w:ascii="Times New Roman" w:hAnsi="Times New Roman" w:cs="Times New Roman"/>
          <w:sz w:val="24"/>
          <w:szCs w:val="24"/>
        </w:rPr>
        <w:t>“Learning in the 21st Century: Research, Innovation and Policy”</w:t>
      </w:r>
    </w:p>
    <w:p w14:paraId="1983BBA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Ogunlana, M. O., Govender, P., Oyewole, O. O., Odole, A. C., Falola, J. L., Adesina, O. F., &amp; Akindipe, J. A. (2021). Qualitative exploration into reasons for delay in seeking medical help with diabetic foot problems. </w:t>
      </w:r>
      <w:r>
        <w:rPr>
          <w:rFonts w:ascii="Times New Roman" w:hAnsi="Times New Roman" w:cs="Times New Roman"/>
          <w:i/>
          <w:iCs/>
          <w:color w:val="222222"/>
          <w:sz w:val="24"/>
          <w:szCs w:val="24"/>
          <w:shd w:val="clear" w:color="auto" w:fill="FFFFFF"/>
        </w:rPr>
        <w:t>International Journal of Qualitative Studies on Health and Well-being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16</w:t>
      </w:r>
      <w:r>
        <w:rPr>
          <w:rFonts w:ascii="Times New Roman" w:hAnsi="Times New Roman" w:cs="Times New Roman"/>
          <w:color w:val="222222"/>
          <w:sz w:val="24"/>
          <w:szCs w:val="24"/>
          <w:shd w:val="clear" w:color="auto" w:fill="FFFFFF"/>
        </w:rPr>
        <w:t xml:space="preserve">(1), 1945206. </w:t>
      </w:r>
    </w:p>
    <w:p w14:paraId="6DC3A23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65" w:name="_Hlk129082205"/>
      <w:r>
        <w:rPr>
          <w:rFonts w:ascii="Times New Roman" w:hAnsi="Times New Roman" w:cs="Times New Roman"/>
          <w:color w:val="222222"/>
          <w:sz w:val="24"/>
          <w:szCs w:val="24"/>
          <w:shd w:val="clear" w:color="auto" w:fill="FFFFFF"/>
        </w:rPr>
        <w:t>Ogunsola</w:t>
      </w:r>
      <w:bookmarkEnd w:id="2465"/>
      <w:r>
        <w:rPr>
          <w:rFonts w:ascii="Times New Roman" w:hAnsi="Times New Roman" w:cs="Times New Roman"/>
          <w:color w:val="222222"/>
          <w:sz w:val="24"/>
          <w:szCs w:val="24"/>
          <w:shd w:val="clear" w:color="auto" w:fill="FFFFFF"/>
        </w:rPr>
        <w:t>, L. A., Akindojutimi, B. F., &amp; Omoike, A. D. (2011). Information literacy in Nigerian higher institutions–any role for librarians?.</w:t>
      </w:r>
    </w:p>
    <w:p w14:paraId="0532943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Ogur, B., Hirsh, D., Krupat, E., &amp; Bor, D. (2007). The Harvard Medical School-Cambridge integrated clerkship: an innovative model of clinical education. </w:t>
      </w:r>
      <w:r>
        <w:rPr>
          <w:rFonts w:ascii="Times New Roman" w:hAnsi="Times New Roman" w:cs="Times New Roman"/>
          <w:i/>
          <w:iCs/>
          <w:color w:val="222222"/>
          <w:sz w:val="24"/>
          <w:szCs w:val="24"/>
          <w:shd w:val="clear" w:color="auto" w:fill="FFFFFF"/>
        </w:rPr>
        <w:t>Academic medicine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82</w:t>
      </w:r>
      <w:r>
        <w:rPr>
          <w:rFonts w:ascii="Times New Roman" w:hAnsi="Times New Roman" w:cs="Times New Roman"/>
          <w:color w:val="222222"/>
          <w:sz w:val="24"/>
          <w:szCs w:val="24"/>
          <w:shd w:val="clear" w:color="auto" w:fill="FFFFFF"/>
        </w:rPr>
        <w:t>(4), 397-404.</w:t>
      </w:r>
    </w:p>
    <w:p w14:paraId="006D98A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Ogwu, S., Sice, P., Keogh, S., &amp; Goodlet, C. (2020). An exploratory study of the application of mindsight in email communication. </w:t>
      </w:r>
      <w:r>
        <w:rPr>
          <w:rFonts w:ascii="Times New Roman" w:hAnsi="Times New Roman" w:cs="Times New Roman"/>
          <w:i/>
          <w:iCs/>
          <w:color w:val="222222"/>
          <w:sz w:val="24"/>
          <w:szCs w:val="24"/>
          <w:shd w:val="clear" w:color="auto" w:fill="FFFFFF"/>
        </w:rPr>
        <w:t>Heliyon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(7), e04305.</w:t>
      </w:r>
    </w:p>
    <w:p w14:paraId="0785931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Ojedokun, A. A. (2014). Information literacy competence of librarians in south west nigerian university libraries. </w:t>
      </w:r>
      <w:r>
        <w:rPr>
          <w:rFonts w:ascii="Times New Roman" w:hAnsi="Times New Roman" w:cs="Times New Roman"/>
          <w:i/>
          <w:iCs/>
          <w:color w:val="222222"/>
          <w:sz w:val="24"/>
          <w:szCs w:val="24"/>
          <w:shd w:val="clear" w:color="auto" w:fill="FFFFFF"/>
        </w:rPr>
        <w:t>African Journal of Library, Archives &amp;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24</w:t>
      </w:r>
      <w:r>
        <w:rPr>
          <w:rFonts w:ascii="Times New Roman" w:hAnsi="Times New Roman" w:cs="Times New Roman"/>
          <w:color w:val="222222"/>
          <w:sz w:val="24"/>
          <w:szCs w:val="24"/>
          <w:shd w:val="clear" w:color="auto" w:fill="FFFFFF"/>
        </w:rPr>
        <w:t>(1), 67.</w:t>
      </w:r>
    </w:p>
    <w:p w14:paraId="2A678B3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Ojedokun, A. A., &amp; Lumande, E. (2005). The integration of information literacy skills into a credit-earning programme at the University of Botswana. </w:t>
      </w:r>
      <w:r>
        <w:rPr>
          <w:rFonts w:ascii="Times New Roman" w:hAnsi="Times New Roman" w:cs="Times New Roman"/>
          <w:i/>
          <w:iCs/>
          <w:color w:val="222222"/>
          <w:sz w:val="24"/>
          <w:szCs w:val="24"/>
          <w:shd w:val="clear" w:color="auto" w:fill="FFFFFF"/>
        </w:rPr>
        <w:t>African Journal of Library, Archives and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15</w:t>
      </w:r>
      <w:r>
        <w:rPr>
          <w:rFonts w:ascii="Times New Roman" w:hAnsi="Times New Roman" w:cs="Times New Roman"/>
          <w:color w:val="222222"/>
          <w:sz w:val="24"/>
          <w:szCs w:val="24"/>
          <w:shd w:val="clear" w:color="auto" w:fill="FFFFFF"/>
        </w:rPr>
        <w:t>(2), 117-124.</w:t>
      </w:r>
    </w:p>
    <w:p w14:paraId="6155212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Ojedokun, A. A., &amp; Moahi, K. H. (2007). The use of digital library skills in the emergent information market in Botswana. </w:t>
      </w:r>
      <w:r>
        <w:rPr>
          <w:rFonts w:ascii="Times New Roman" w:hAnsi="Times New Roman" w:cs="Times New Roman"/>
          <w:i/>
          <w:iCs/>
          <w:color w:val="222222"/>
          <w:sz w:val="24"/>
          <w:szCs w:val="24"/>
          <w:shd w:val="clear" w:color="auto" w:fill="FFFFFF"/>
        </w:rPr>
        <w:t>Education for Information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25</w:t>
      </w:r>
      <w:r>
        <w:rPr>
          <w:rFonts w:ascii="Times New Roman" w:hAnsi="Times New Roman" w:cs="Times New Roman"/>
          <w:color w:val="222222"/>
          <w:sz w:val="24"/>
          <w:szCs w:val="24"/>
          <w:shd w:val="clear" w:color="auto" w:fill="FFFFFF"/>
        </w:rPr>
        <w:t>(3-4), 211-231.</w:t>
      </w:r>
    </w:p>
    <w:p w14:paraId="19E6892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Ojuka, D., Aseta, F., Githambo, B., &amp; Wambua, B. (2021). The Medical Education Environment at the University of Nairobi, Kenya: an assessment with the DREEM tool. </w:t>
      </w:r>
      <w:r>
        <w:rPr>
          <w:rFonts w:ascii="Times New Roman" w:hAnsi="Times New Roman" w:cs="Times New Roman"/>
          <w:i/>
          <w:iCs/>
          <w:color w:val="222222"/>
          <w:sz w:val="24"/>
          <w:szCs w:val="24"/>
          <w:shd w:val="clear" w:color="auto" w:fill="FFFFFF"/>
        </w:rPr>
        <w:t>Annals of African Surgery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18</w:t>
      </w:r>
      <w:r>
        <w:rPr>
          <w:rFonts w:ascii="Times New Roman" w:hAnsi="Times New Roman" w:cs="Times New Roman"/>
          <w:color w:val="222222"/>
          <w:sz w:val="24"/>
          <w:szCs w:val="24"/>
          <w:shd w:val="clear" w:color="auto" w:fill="FFFFFF"/>
        </w:rPr>
        <w:t>(2), 96-102.</w:t>
      </w:r>
    </w:p>
    <w:p w14:paraId="3C28C8E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Oker-Blom, T. (1998, August). Integration of information skills in problem-based curricula. In </w:t>
      </w:r>
      <w:r>
        <w:rPr>
          <w:rFonts w:ascii="Times New Roman" w:hAnsi="Times New Roman" w:cs="Times New Roman"/>
          <w:i/>
          <w:iCs/>
          <w:color w:val="222222"/>
          <w:sz w:val="24"/>
          <w:szCs w:val="24"/>
          <w:shd w:val="clear" w:color="auto" w:fill="FFFFFF"/>
        </w:rPr>
        <w:t>64th IFLA General Conference</w:t>
      </w:r>
      <w:r>
        <w:rPr>
          <w:rFonts w:ascii="Times New Roman" w:hAnsi="Times New Roman" w:cs="Times New Roman"/>
          <w:color w:val="222222"/>
          <w:sz w:val="24"/>
          <w:szCs w:val="24"/>
          <w:shd w:val="clear" w:color="auto" w:fill="FFFFFF"/>
        </w:rPr>
        <w:t>.</w:t>
      </w:r>
    </w:p>
    <w:p w14:paraId="03B02C0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Oketch, M., Mutisya, M., Ngware, M., Ezeh, A. C., &amp; Epari, C. (2010). Free primary education policy and pupil school mobility in urban Kenya. </w:t>
      </w:r>
      <w:r>
        <w:rPr>
          <w:rFonts w:ascii="Times New Roman" w:hAnsi="Times New Roman" w:cs="Times New Roman"/>
          <w:i/>
          <w:iCs/>
          <w:color w:val="222222"/>
          <w:sz w:val="24"/>
          <w:szCs w:val="24"/>
          <w:shd w:val="clear" w:color="auto" w:fill="FFFFFF"/>
        </w:rPr>
        <w:t>International Journal of Educational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49</w:t>
      </w:r>
      <w:r>
        <w:rPr>
          <w:rFonts w:ascii="Times New Roman" w:hAnsi="Times New Roman" w:cs="Times New Roman"/>
          <w:color w:val="222222"/>
          <w:sz w:val="24"/>
          <w:szCs w:val="24"/>
          <w:shd w:val="clear" w:color="auto" w:fill="FFFFFF"/>
        </w:rPr>
        <w:t>(6), 173-183.</w:t>
      </w:r>
    </w:p>
    <w:p w14:paraId="189691F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Oliver, P. (2012). Succeeding with your literature review: A handbook for students.</w:t>
      </w:r>
    </w:p>
    <w:p w14:paraId="63698C4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66" w:name="_Hlk126063139"/>
      <w:r>
        <w:rPr>
          <w:rFonts w:ascii="Times New Roman" w:hAnsi="Times New Roman" w:cs="Times New Roman"/>
          <w:color w:val="222222"/>
          <w:sz w:val="24"/>
          <w:szCs w:val="24"/>
          <w:shd w:val="clear" w:color="auto" w:fill="FFFFFF"/>
        </w:rPr>
        <w:t>Olorunsola</w:t>
      </w:r>
      <w:bookmarkEnd w:id="2466"/>
      <w:r>
        <w:rPr>
          <w:rFonts w:ascii="Times New Roman" w:hAnsi="Times New Roman" w:cs="Times New Roman"/>
          <w:color w:val="222222"/>
          <w:sz w:val="24"/>
          <w:szCs w:val="24"/>
          <w:shd w:val="clear" w:color="auto" w:fill="FFFFFF"/>
        </w:rPr>
        <w:t>, S., &amp; Ogwueleka, F. (2021). Assessment of Teachers' Perception on Modern Technology (ICT) and Communication Efficiency: A Case Study. </w:t>
      </w:r>
      <w:r>
        <w:rPr>
          <w:rFonts w:ascii="Times New Roman" w:hAnsi="Times New Roman" w:cs="Times New Roman"/>
          <w:i/>
          <w:iCs/>
          <w:color w:val="222222"/>
          <w:sz w:val="24"/>
          <w:szCs w:val="24"/>
          <w:shd w:val="clear" w:color="auto" w:fill="FFFFFF"/>
        </w:rPr>
        <w:t>International Journal of Education and Development using Information and Communication Technology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17</w:t>
      </w:r>
      <w:r>
        <w:rPr>
          <w:rFonts w:ascii="Times New Roman" w:hAnsi="Times New Roman" w:cs="Times New Roman"/>
          <w:color w:val="222222"/>
          <w:sz w:val="24"/>
          <w:szCs w:val="24"/>
          <w:shd w:val="clear" w:color="auto" w:fill="FFFFFF"/>
        </w:rPr>
        <w:t>(3), 217-233.</w:t>
      </w:r>
    </w:p>
    <w:p w14:paraId="6336CBA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67" w:name="_Hlk126050883"/>
      <w:r>
        <w:rPr>
          <w:rFonts w:ascii="Times New Roman" w:hAnsi="Times New Roman" w:cs="Times New Roman"/>
          <w:color w:val="222222"/>
          <w:sz w:val="24"/>
          <w:szCs w:val="24"/>
          <w:shd w:val="clear" w:color="auto" w:fill="FFFFFF"/>
        </w:rPr>
        <w:t>Olsson, S., Lymberis, A., &amp; Whitehouse, D. (2004).</w:t>
      </w:r>
      <w:bookmarkEnd w:id="2467"/>
      <w:r>
        <w:rPr>
          <w:rFonts w:ascii="Times New Roman" w:hAnsi="Times New Roman" w:cs="Times New Roman"/>
          <w:color w:val="222222"/>
          <w:sz w:val="24"/>
          <w:szCs w:val="24"/>
          <w:shd w:val="clear" w:color="auto" w:fill="FFFFFF"/>
        </w:rPr>
        <w:t xml:space="preserve"> European Commission activities in eHealth. </w:t>
      </w:r>
      <w:r>
        <w:rPr>
          <w:rFonts w:ascii="Times New Roman" w:hAnsi="Times New Roman" w:cs="Times New Roman"/>
          <w:i/>
          <w:iCs/>
          <w:color w:val="222222"/>
          <w:sz w:val="24"/>
          <w:szCs w:val="24"/>
          <w:shd w:val="clear" w:color="auto" w:fill="FFFFFF"/>
        </w:rPr>
        <w:t>International Journal of Circumpolar Health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63</w:t>
      </w:r>
      <w:r>
        <w:rPr>
          <w:rFonts w:ascii="Times New Roman" w:hAnsi="Times New Roman" w:cs="Times New Roman"/>
          <w:color w:val="222222"/>
          <w:sz w:val="24"/>
          <w:szCs w:val="24"/>
          <w:shd w:val="clear" w:color="auto" w:fill="FFFFFF"/>
        </w:rPr>
        <w:t>(4), 310-316.</w:t>
      </w:r>
    </w:p>
    <w:p w14:paraId="482F429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Oluwaseye, A. J., Akanni, M. J., &amp; Busuyi, A. O. (2017). Information needs and seeking behaviour of medical students at the college of medicine, university of Ibadan, Nigeria. </w:t>
      </w:r>
      <w:r>
        <w:rPr>
          <w:rFonts w:ascii="Times New Roman" w:hAnsi="Times New Roman" w:cs="Times New Roman"/>
          <w:i/>
          <w:iCs/>
          <w:color w:val="222222"/>
          <w:sz w:val="24"/>
          <w:szCs w:val="24"/>
          <w:shd w:val="clear" w:color="auto" w:fill="FFFFFF"/>
        </w:rPr>
        <w:t>Journal of Applied Information Science and Technology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w:t>
      </w:r>
      <w:r>
        <w:rPr>
          <w:rFonts w:ascii="Times New Roman" w:hAnsi="Times New Roman" w:cs="Times New Roman"/>
          <w:color w:val="222222"/>
          <w:sz w:val="24"/>
          <w:szCs w:val="24"/>
          <w:shd w:val="clear" w:color="auto" w:fill="FFFFFF"/>
        </w:rPr>
        <w:t>(2), 49-62.</w:t>
      </w:r>
    </w:p>
    <w:p w14:paraId="581AB04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Omondi, C., Osei, J. Y., &amp; Sarbah, A. (2015). The use of information technology (IT) among small and medium enterprises (SMEs) in financial reporting: Evidence from Ghana. </w:t>
      </w:r>
      <w:r>
        <w:rPr>
          <w:rFonts w:ascii="Times New Roman" w:hAnsi="Times New Roman" w:cs="Times New Roman"/>
          <w:i/>
          <w:iCs/>
          <w:color w:val="222222"/>
          <w:sz w:val="24"/>
          <w:szCs w:val="24"/>
          <w:shd w:val="clear" w:color="auto" w:fill="FFFFFF"/>
        </w:rPr>
        <w:t>British Journal of Economics, Management &amp; Trade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8</w:t>
      </w:r>
      <w:r>
        <w:rPr>
          <w:rFonts w:ascii="Times New Roman" w:hAnsi="Times New Roman" w:cs="Times New Roman"/>
          <w:color w:val="222222"/>
          <w:sz w:val="24"/>
          <w:szCs w:val="24"/>
          <w:shd w:val="clear" w:color="auto" w:fill="FFFFFF"/>
        </w:rPr>
        <w:t>(4), 258-269.</w:t>
      </w:r>
    </w:p>
    <w:p w14:paraId="12E8DB8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Omoniwa, M. A. (2001). The Computerization of the Kashim Ibrahim Library of Ahmadu Bello University, Zaria 1972-2001. </w:t>
      </w:r>
      <w:r>
        <w:rPr>
          <w:rFonts w:ascii="Times New Roman" w:hAnsi="Times New Roman" w:cs="Times New Roman"/>
          <w:i/>
          <w:iCs/>
          <w:color w:val="222222"/>
          <w:sz w:val="24"/>
          <w:szCs w:val="24"/>
          <w:shd w:val="clear" w:color="auto" w:fill="FFFFFF"/>
        </w:rPr>
        <w:t>Nigerian libraries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35</w:t>
      </w:r>
      <w:r>
        <w:rPr>
          <w:rFonts w:ascii="Times New Roman" w:hAnsi="Times New Roman" w:cs="Times New Roman"/>
          <w:color w:val="222222"/>
          <w:sz w:val="24"/>
          <w:szCs w:val="24"/>
          <w:shd w:val="clear" w:color="auto" w:fill="FFFFFF"/>
        </w:rPr>
        <w:t>(1), 14-22.</w:t>
      </w:r>
    </w:p>
    <w:p w14:paraId="0A3A6DB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Omoniwa, O. (2021). </w:t>
      </w:r>
      <w:r>
        <w:rPr>
          <w:rFonts w:ascii="Times New Roman" w:hAnsi="Times New Roman" w:cs="Times New Roman"/>
          <w:i/>
          <w:iCs/>
          <w:color w:val="222222"/>
          <w:sz w:val="24"/>
          <w:szCs w:val="24"/>
          <w:shd w:val="clear" w:color="auto" w:fill="FFFFFF"/>
        </w:rPr>
        <w:t>Technology adoption, cultural values, and digital financial inclusion</w:t>
      </w:r>
      <w:r>
        <w:rPr>
          <w:rFonts w:ascii="Times New Roman" w:hAnsi="Times New Roman" w:cs="Times New Roman"/>
          <w:color w:val="222222"/>
          <w:sz w:val="24"/>
          <w:szCs w:val="24"/>
          <w:shd w:val="clear" w:color="auto" w:fill="FFFFFF"/>
        </w:rPr>
        <w:t> (Master's thesis, University of Pretoria (South Africa)).</w:t>
      </w:r>
    </w:p>
    <w:p w14:paraId="7E8FA44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Ondari-Okemwa, E. (2016). Developing digital information literacy at institutions of higher learning in sub-saharan Africa: Opportunities and challenges. In </w:t>
      </w:r>
      <w:r>
        <w:rPr>
          <w:rFonts w:ascii="Times New Roman" w:hAnsi="Times New Roman" w:cs="Times New Roman"/>
          <w:i/>
          <w:iCs/>
          <w:color w:val="222222"/>
          <w:sz w:val="24"/>
          <w:szCs w:val="24"/>
          <w:shd w:val="clear" w:color="auto" w:fill="FFFFFF"/>
        </w:rPr>
        <w:t>Standing Conference of Eastern, Central and Southern Africa Library and Information Associations (SCECSAL)</w:t>
      </w:r>
      <w:r>
        <w:rPr>
          <w:rFonts w:ascii="Times New Roman" w:hAnsi="Times New Roman" w:cs="Times New Roman"/>
          <w:color w:val="222222"/>
          <w:sz w:val="24"/>
          <w:szCs w:val="24"/>
          <w:shd w:val="clear" w:color="auto" w:fill="FFFFFF"/>
        </w:rPr>
        <w:t> (pp. 1-20).</w:t>
      </w:r>
    </w:p>
    <w:p w14:paraId="679E045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Ondieki Makori, E. (2013). Adoption of radio frequency identification technology in university libraries: A Kenyan perspective. </w:t>
      </w:r>
      <w:r>
        <w:rPr>
          <w:rFonts w:ascii="Times New Roman" w:hAnsi="Times New Roman" w:cs="Times New Roman"/>
          <w:i/>
          <w:iCs/>
          <w:color w:val="222222"/>
          <w:sz w:val="24"/>
          <w:szCs w:val="24"/>
          <w:shd w:val="clear" w:color="auto" w:fill="FFFFFF"/>
        </w:rPr>
        <w:t>The Electronic Library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31</w:t>
      </w:r>
      <w:r>
        <w:rPr>
          <w:rFonts w:ascii="Times New Roman" w:hAnsi="Times New Roman" w:cs="Times New Roman"/>
          <w:color w:val="222222"/>
          <w:sz w:val="24"/>
          <w:szCs w:val="24"/>
          <w:shd w:val="clear" w:color="auto" w:fill="FFFFFF"/>
        </w:rPr>
        <w:t>(2), 208-216.</w:t>
      </w:r>
    </w:p>
    <w:p w14:paraId="341A7C9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Onwuegbuzie, A. J., Dickinson, W. B., Leech, N. L., &amp; Zoran, A. G. (2009). A qualitative framework for collecting and analyzing data in focus group research. </w:t>
      </w:r>
      <w:r>
        <w:rPr>
          <w:rFonts w:ascii="Times New Roman" w:hAnsi="Times New Roman" w:cs="Times New Roman"/>
          <w:i/>
          <w:iCs/>
          <w:color w:val="222222"/>
          <w:sz w:val="24"/>
          <w:szCs w:val="24"/>
          <w:shd w:val="clear" w:color="auto" w:fill="FFFFFF"/>
        </w:rPr>
        <w:t>International journal of qualitative methods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8</w:t>
      </w:r>
      <w:r>
        <w:rPr>
          <w:rFonts w:ascii="Times New Roman" w:hAnsi="Times New Roman" w:cs="Times New Roman"/>
          <w:color w:val="222222"/>
          <w:sz w:val="24"/>
          <w:szCs w:val="24"/>
          <w:shd w:val="clear" w:color="auto" w:fill="FFFFFF"/>
        </w:rPr>
        <w:t>(3), 1-21.</w:t>
      </w:r>
    </w:p>
    <w:p w14:paraId="7729882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Onyeneke, C. O., &amp; Obichere, C. (2017). Information Literacy Competency of Secondary School Students of Owerri West, South East, Nigeria.</w:t>
      </w:r>
    </w:p>
    <w:p w14:paraId="0F5983A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Organisation for Economic Co-operation and Development Staff. (2005). </w:t>
      </w:r>
      <w:r>
        <w:rPr>
          <w:rFonts w:ascii="Times New Roman" w:hAnsi="Times New Roman" w:cs="Times New Roman"/>
          <w:i/>
          <w:iCs/>
          <w:color w:val="222222"/>
          <w:sz w:val="24"/>
          <w:szCs w:val="24"/>
          <w:shd w:val="clear" w:color="auto" w:fill="FFFFFF"/>
        </w:rPr>
        <w:t>OECD Factbook 2005: Economic, Environmental and Social Statistics</w:t>
      </w:r>
      <w:r>
        <w:rPr>
          <w:rFonts w:ascii="Times New Roman" w:hAnsi="Times New Roman" w:cs="Times New Roman"/>
          <w:color w:val="222222"/>
          <w:sz w:val="24"/>
          <w:szCs w:val="24"/>
          <w:shd w:val="clear" w:color="auto" w:fill="FFFFFF"/>
        </w:rPr>
        <w:t>. Paris, France: OeCD.</w:t>
      </w:r>
    </w:p>
    <w:p w14:paraId="781C9A1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Orr, D., Appleton, M., &amp; Wallin, M. (2001). Information literacy and flexible delivery: Creating a conceptual framework and model. </w:t>
      </w:r>
      <w:r>
        <w:rPr>
          <w:rFonts w:ascii="Times New Roman" w:hAnsi="Times New Roman" w:cs="Times New Roman"/>
          <w:i/>
          <w:iCs/>
          <w:color w:val="222222"/>
          <w:sz w:val="24"/>
          <w:szCs w:val="24"/>
          <w:shd w:val="clear" w:color="auto" w:fill="FFFFFF"/>
        </w:rPr>
        <w:t>The Journal of Academic Librarianship</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27</w:t>
      </w:r>
      <w:r>
        <w:rPr>
          <w:rFonts w:ascii="Times New Roman" w:hAnsi="Times New Roman" w:cs="Times New Roman"/>
          <w:color w:val="222222"/>
          <w:sz w:val="24"/>
          <w:szCs w:val="24"/>
          <w:shd w:val="clear" w:color="auto" w:fill="FFFFFF"/>
        </w:rPr>
        <w:t>(6), 457-463.</w:t>
      </w:r>
    </w:p>
    <w:p w14:paraId="7C518C2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68" w:name="_Hlk182141638"/>
      <w:r>
        <w:rPr>
          <w:rFonts w:ascii="Times New Roman" w:hAnsi="Times New Roman" w:cs="Times New Roman"/>
          <w:color w:val="222222"/>
          <w:sz w:val="24"/>
          <w:szCs w:val="24"/>
          <w:shd w:val="clear" w:color="auto" w:fill="FFFFFF"/>
        </w:rPr>
        <w:t>Osei</w:t>
      </w:r>
      <w:bookmarkEnd w:id="2468"/>
      <w:r>
        <w:rPr>
          <w:rFonts w:ascii="Times New Roman" w:hAnsi="Times New Roman" w:cs="Times New Roman"/>
          <w:color w:val="222222"/>
          <w:sz w:val="24"/>
          <w:szCs w:val="24"/>
          <w:shd w:val="clear" w:color="auto" w:fill="FFFFFF"/>
        </w:rPr>
        <w:t xml:space="preserve"> Asibey, B., Agyemang, S., &amp; Boakye Dankwah, A. (2017). The Internet use for health information seeking among Ghanaian university students: A cross-sectional study. </w:t>
      </w:r>
      <w:r>
        <w:rPr>
          <w:rFonts w:ascii="Times New Roman" w:hAnsi="Times New Roman" w:cs="Times New Roman"/>
          <w:i/>
          <w:iCs/>
          <w:color w:val="222222"/>
          <w:sz w:val="24"/>
          <w:szCs w:val="24"/>
          <w:shd w:val="clear" w:color="auto" w:fill="FFFFFF"/>
        </w:rPr>
        <w:t>International journal of telemedicine and applications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2017</w:t>
      </w:r>
      <w:r>
        <w:rPr>
          <w:rFonts w:ascii="Times New Roman" w:hAnsi="Times New Roman" w:cs="Times New Roman"/>
          <w:color w:val="222222"/>
          <w:sz w:val="24"/>
          <w:szCs w:val="24"/>
          <w:shd w:val="clear" w:color="auto" w:fill="FFFFFF"/>
        </w:rPr>
        <w:t>.</w:t>
      </w:r>
    </w:p>
    <w:p w14:paraId="5F7A756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Osler, W. (1899). Address. </w:t>
      </w:r>
      <w:r>
        <w:rPr>
          <w:rFonts w:ascii="Times New Roman" w:hAnsi="Times New Roman" w:cs="Times New Roman"/>
          <w:i/>
          <w:iCs/>
          <w:color w:val="222222"/>
          <w:sz w:val="24"/>
          <w:szCs w:val="24"/>
          <w:shd w:val="clear" w:color="auto" w:fill="FFFFFF"/>
        </w:rPr>
        <w:t>Albany Medical Annals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20</w:t>
      </w:r>
      <w:r>
        <w:rPr>
          <w:rFonts w:ascii="Times New Roman" w:hAnsi="Times New Roman" w:cs="Times New Roman"/>
          <w:color w:val="222222"/>
          <w:sz w:val="24"/>
          <w:szCs w:val="24"/>
          <w:shd w:val="clear" w:color="auto" w:fill="FFFFFF"/>
        </w:rPr>
        <w:t>(6), 308-308.</w:t>
      </w:r>
    </w:p>
    <w:p w14:paraId="77F7DEE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Otike, J. (2004). The development of libraries in Kenya. </w:t>
      </w:r>
      <w:r>
        <w:rPr>
          <w:rFonts w:ascii="Times New Roman" w:hAnsi="Times New Roman" w:cs="Times New Roman"/>
          <w:i/>
          <w:iCs/>
          <w:color w:val="222222"/>
          <w:sz w:val="24"/>
          <w:szCs w:val="24"/>
          <w:shd w:val="clear" w:color="auto" w:fill="FFFFFF"/>
        </w:rPr>
        <w:t>INNOVATION-PIETERMARITZBURG-</w:t>
      </w:r>
      <w:r>
        <w:rPr>
          <w:rFonts w:ascii="Times New Roman" w:hAnsi="Times New Roman" w:cs="Times New Roman"/>
          <w:color w:val="222222"/>
          <w:sz w:val="24"/>
          <w:szCs w:val="24"/>
          <w:shd w:val="clear" w:color="auto" w:fill="FFFFFF"/>
        </w:rPr>
        <w:t>, 1-8.</w:t>
      </w:r>
    </w:p>
    <w:p w14:paraId="7B2EBA2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Ovseiko, P. V., Pololi, L. H., Edmunds, L. D., Civian, J. T., Daly, M., &amp; Buchan, A. M. (2019). Creating a more supportive and inclusive university culture: a mixed-methods interdisciplinary comparative analysis of medical and social sciences at the University of Oxford. </w:t>
      </w:r>
      <w:r>
        <w:rPr>
          <w:rFonts w:ascii="Times New Roman" w:hAnsi="Times New Roman" w:cs="Times New Roman"/>
          <w:i/>
          <w:iCs/>
          <w:color w:val="222222"/>
          <w:sz w:val="24"/>
          <w:szCs w:val="24"/>
          <w:shd w:val="clear" w:color="auto" w:fill="FFFFFF"/>
        </w:rPr>
        <w:t>Interdisciplinary Science Reviews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44</w:t>
      </w:r>
      <w:r>
        <w:rPr>
          <w:rFonts w:ascii="Times New Roman" w:hAnsi="Times New Roman" w:cs="Times New Roman"/>
          <w:color w:val="222222"/>
          <w:sz w:val="24"/>
          <w:szCs w:val="24"/>
          <w:shd w:val="clear" w:color="auto" w:fill="FFFFFF"/>
        </w:rPr>
        <w:t>(2), 166-191.</w:t>
      </w:r>
    </w:p>
    <w:p w14:paraId="4AA9392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Pakenham-Walsh, N., &amp; Bukachi, F. (2009). Information needs of health care workers in developing countries: a literature review with a focus on Africa. </w:t>
      </w:r>
      <w:r>
        <w:rPr>
          <w:rFonts w:ascii="Times New Roman" w:hAnsi="Times New Roman" w:cs="Times New Roman"/>
          <w:i/>
          <w:iCs/>
          <w:color w:val="222222"/>
          <w:sz w:val="24"/>
          <w:szCs w:val="24"/>
          <w:shd w:val="clear" w:color="auto" w:fill="FFFFFF"/>
        </w:rPr>
        <w:t>Human resources for health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(1), 1-13.</w:t>
      </w:r>
    </w:p>
    <w:p w14:paraId="59032B5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69" w:name="_Hlk128473014"/>
      <w:r>
        <w:rPr>
          <w:rFonts w:ascii="Times New Roman" w:hAnsi="Times New Roman" w:cs="Times New Roman"/>
          <w:color w:val="222222"/>
          <w:sz w:val="24"/>
          <w:szCs w:val="24"/>
          <w:shd w:val="clear" w:color="auto" w:fill="FFFFFF"/>
        </w:rPr>
        <w:lastRenderedPageBreak/>
        <w:t xml:space="preserve">Park, H., Kim, H. S., &amp; Park, H. W. (2020). </w:t>
      </w:r>
      <w:bookmarkEnd w:id="2469"/>
      <w:r>
        <w:rPr>
          <w:rFonts w:ascii="Times New Roman" w:hAnsi="Times New Roman" w:cs="Times New Roman"/>
          <w:color w:val="222222"/>
          <w:sz w:val="24"/>
          <w:szCs w:val="24"/>
          <w:shd w:val="clear" w:color="auto" w:fill="FFFFFF"/>
        </w:rPr>
        <w:t>A scientometric study of digital literacy, ICT literacy, information literacy, and media literacy. </w:t>
      </w:r>
      <w:r>
        <w:rPr>
          <w:rFonts w:ascii="Times New Roman" w:hAnsi="Times New Roman" w:cs="Times New Roman"/>
          <w:i/>
          <w:iCs/>
          <w:color w:val="222222"/>
          <w:sz w:val="24"/>
          <w:szCs w:val="24"/>
          <w:shd w:val="clear" w:color="auto" w:fill="FFFFFF"/>
        </w:rPr>
        <w:t>Journal of Data and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(2), 116-138.</w:t>
      </w:r>
    </w:p>
    <w:p w14:paraId="69A1B69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70" w:name="_Hlk126090852"/>
      <w:r>
        <w:rPr>
          <w:rFonts w:ascii="Times New Roman" w:hAnsi="Times New Roman" w:cs="Times New Roman"/>
          <w:color w:val="222222"/>
          <w:sz w:val="24"/>
          <w:szCs w:val="24"/>
          <w:shd w:val="clear" w:color="auto" w:fill="FFFFFF"/>
        </w:rPr>
        <w:t>Parsons, S. A. (2020). </w:t>
      </w:r>
      <w:bookmarkEnd w:id="2470"/>
      <w:r>
        <w:rPr>
          <w:rFonts w:ascii="Times New Roman" w:hAnsi="Times New Roman" w:cs="Times New Roman"/>
          <w:i/>
          <w:iCs/>
          <w:color w:val="222222"/>
          <w:sz w:val="24"/>
          <w:szCs w:val="24"/>
          <w:shd w:val="clear" w:color="auto" w:fill="FFFFFF"/>
        </w:rPr>
        <w:t>Literacy research methodologies</w:t>
      </w:r>
      <w:r>
        <w:rPr>
          <w:rFonts w:ascii="Times New Roman" w:hAnsi="Times New Roman" w:cs="Times New Roman"/>
          <w:color w:val="222222"/>
          <w:sz w:val="24"/>
          <w:szCs w:val="24"/>
          <w:shd w:val="clear" w:color="auto" w:fill="FFFFFF"/>
        </w:rPr>
        <w:t>. Guilford Publications.</w:t>
      </w:r>
    </w:p>
    <w:p w14:paraId="7BE5A0F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Patel, M., &amp; Patel, N. (2019). Exploring Research Methodology. </w:t>
      </w:r>
      <w:r>
        <w:rPr>
          <w:rFonts w:ascii="Times New Roman" w:hAnsi="Times New Roman" w:cs="Times New Roman"/>
          <w:i/>
          <w:iCs/>
          <w:color w:val="222222"/>
          <w:sz w:val="24"/>
          <w:szCs w:val="24"/>
          <w:shd w:val="clear" w:color="auto" w:fill="FFFFFF"/>
        </w:rPr>
        <w:t>International Journal of Research and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(3), 48-55.</w:t>
      </w:r>
    </w:p>
    <w:p w14:paraId="335DA1E3" w14:textId="77777777" w:rsidR="00B01D46" w:rsidRDefault="0067013E">
      <w:pPr>
        <w:shd w:val="clear" w:color="auto" w:fill="FFFFFF"/>
        <w:spacing w:line="240" w:lineRule="auto"/>
        <w:ind w:left="720" w:hanging="720"/>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Patten, M. L. (2016). </w:t>
      </w:r>
      <w:r>
        <w:rPr>
          <w:rFonts w:ascii="Times New Roman" w:hAnsi="Times New Roman" w:cs="Times New Roman"/>
          <w:i/>
          <w:iCs/>
          <w:color w:val="222222"/>
          <w:sz w:val="24"/>
          <w:szCs w:val="24"/>
          <w:shd w:val="clear" w:color="auto" w:fill="FFFFFF"/>
        </w:rPr>
        <w:t>Understanding research methods: An overview of the essentials</w:t>
      </w:r>
      <w:r>
        <w:rPr>
          <w:rFonts w:ascii="Times New Roman" w:hAnsi="Times New Roman" w:cs="Times New Roman"/>
          <w:color w:val="222222"/>
          <w:sz w:val="24"/>
          <w:szCs w:val="24"/>
          <w:shd w:val="clear" w:color="auto" w:fill="FFFFFF"/>
        </w:rPr>
        <w:t>. Routledge.</w:t>
      </w:r>
    </w:p>
    <w:p w14:paraId="2A18601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Peirce, C. S. (1992). </w:t>
      </w:r>
      <w:r>
        <w:rPr>
          <w:rFonts w:ascii="Times New Roman" w:hAnsi="Times New Roman" w:cs="Times New Roman"/>
          <w:i/>
          <w:iCs/>
          <w:color w:val="222222"/>
          <w:sz w:val="24"/>
          <w:szCs w:val="24"/>
          <w:shd w:val="clear" w:color="auto" w:fill="FFFFFF"/>
        </w:rPr>
        <w:t>The essential Peirce, volume 1: Selected philosophical writings?(1867–1893)</w:t>
      </w:r>
      <w:r>
        <w:rPr>
          <w:rFonts w:ascii="Times New Roman" w:hAnsi="Times New Roman" w:cs="Times New Roman"/>
          <w:color w:val="222222"/>
          <w:sz w:val="24"/>
          <w:szCs w:val="24"/>
          <w:shd w:val="clear" w:color="auto" w:fill="FFFFFF"/>
        </w:rPr>
        <w:t> (Vol. 1). Indiana University Press.</w:t>
      </w:r>
    </w:p>
    <w:p w14:paraId="042B88B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Pejova, Z. (2005). User education and forms of information literacy education and training at the universities in Slovenia. </w:t>
      </w:r>
      <w:r>
        <w:rPr>
          <w:rFonts w:ascii="Times New Roman" w:hAnsi="Times New Roman" w:cs="Times New Roman"/>
          <w:i/>
          <w:iCs/>
          <w:color w:val="222222"/>
          <w:sz w:val="24"/>
          <w:szCs w:val="24"/>
          <w:shd w:val="clear" w:color="auto" w:fill="FFFFFF"/>
        </w:rPr>
        <w:t>Knjižnica, revija za področje bibliotekarstva in informacijske znanosti</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49</w:t>
      </w:r>
      <w:r>
        <w:rPr>
          <w:rFonts w:ascii="Times New Roman" w:hAnsi="Times New Roman" w:cs="Times New Roman"/>
          <w:color w:val="222222"/>
          <w:sz w:val="24"/>
          <w:szCs w:val="24"/>
          <w:shd w:val="clear" w:color="auto" w:fill="FFFFFF"/>
        </w:rPr>
        <w:t>(4).</w:t>
      </w:r>
    </w:p>
    <w:p w14:paraId="15294C1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Penz, K., D’Arcy, C., Stewart, N., Kosteniuk, J., Morgan, D., &amp; Smith, B. (2007). Barriers to participation in continuing education activities among rural and remote nurses. </w:t>
      </w:r>
      <w:r>
        <w:rPr>
          <w:rFonts w:ascii="Times New Roman" w:hAnsi="Times New Roman" w:cs="Times New Roman"/>
          <w:i/>
          <w:iCs/>
          <w:color w:val="222222"/>
          <w:sz w:val="24"/>
          <w:szCs w:val="24"/>
          <w:shd w:val="clear" w:color="auto" w:fill="FFFFFF"/>
        </w:rPr>
        <w:t>The Journal of Continuing Education in Nursing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38</w:t>
      </w:r>
      <w:r>
        <w:rPr>
          <w:rFonts w:ascii="Times New Roman" w:hAnsi="Times New Roman" w:cs="Times New Roman"/>
          <w:color w:val="222222"/>
          <w:sz w:val="24"/>
          <w:szCs w:val="24"/>
          <w:shd w:val="clear" w:color="auto" w:fill="FFFFFF"/>
        </w:rPr>
        <w:t>(2), 58-66.</w:t>
      </w:r>
    </w:p>
    <w:p w14:paraId="6C5A011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Peters, K., &amp; Kashima, Y. (2007). From social talk to social action: shaping the social triad with emotion sharing. </w:t>
      </w:r>
      <w:r>
        <w:rPr>
          <w:rFonts w:ascii="Times New Roman" w:hAnsi="Times New Roman" w:cs="Times New Roman"/>
          <w:i/>
          <w:iCs/>
          <w:color w:val="222222"/>
          <w:sz w:val="24"/>
          <w:szCs w:val="24"/>
          <w:shd w:val="clear" w:color="auto" w:fill="FFFFFF"/>
        </w:rPr>
        <w:t>Journal of personality and social psychology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93</w:t>
      </w:r>
      <w:r>
        <w:rPr>
          <w:rFonts w:ascii="Times New Roman" w:hAnsi="Times New Roman" w:cs="Times New Roman"/>
          <w:color w:val="222222"/>
          <w:sz w:val="24"/>
          <w:szCs w:val="24"/>
          <w:shd w:val="clear" w:color="auto" w:fill="FFFFFF"/>
        </w:rPr>
        <w:t>(5), 780.</w:t>
      </w:r>
    </w:p>
    <w:p w14:paraId="53E912FE" w14:textId="77777777" w:rsidR="00B01D46" w:rsidRDefault="0067013E">
      <w:pPr>
        <w:spacing w:line="240" w:lineRule="auto"/>
        <w:ind w:left="720" w:hanging="720"/>
        <w:jc w:val="both"/>
        <w:rPr>
          <w:rFonts w:ascii="Times New Roman" w:hAnsi="Times New Roman" w:cs="Times New Roman"/>
          <w:sz w:val="24"/>
          <w:szCs w:val="24"/>
        </w:rPr>
      </w:pPr>
      <w:bookmarkStart w:id="2471" w:name="_Hlk136143485"/>
      <w:r>
        <w:rPr>
          <w:rFonts w:ascii="Times New Roman" w:hAnsi="Times New Roman" w:cs="Times New Roman"/>
          <w:color w:val="222222"/>
          <w:sz w:val="24"/>
          <w:szCs w:val="24"/>
          <w:shd w:val="clear" w:color="auto" w:fill="FFFFFF"/>
        </w:rPr>
        <w:t>Petrova</w:t>
      </w:r>
      <w:bookmarkEnd w:id="2471"/>
      <w:r>
        <w:rPr>
          <w:rFonts w:ascii="Times New Roman" w:hAnsi="Times New Roman" w:cs="Times New Roman"/>
          <w:color w:val="222222"/>
          <w:sz w:val="24"/>
          <w:szCs w:val="24"/>
          <w:shd w:val="clear" w:color="auto" w:fill="FFFFFF"/>
        </w:rPr>
        <w:t>, V., Gendina, N., Fedorov, A., Chevillotte, S. F., Fidzani, B. T., De Jager, K., ... &amp; Australia, I. (2007). Information Literacy: An International State-of-the Art Report.</w:t>
      </w:r>
    </w:p>
    <w:p w14:paraId="2F8A7E4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Pickard, A., &amp; Dixon, P. (2004). The applicability of constructivist user studies: How can constructivist inquiry inform service providers and systems designers. </w:t>
      </w:r>
      <w:r>
        <w:rPr>
          <w:rFonts w:ascii="Times New Roman" w:hAnsi="Times New Roman" w:cs="Times New Roman"/>
          <w:i/>
          <w:iCs/>
          <w:color w:val="222222"/>
          <w:sz w:val="24"/>
          <w:szCs w:val="24"/>
          <w:shd w:val="clear" w:color="auto" w:fill="FFFFFF"/>
        </w:rPr>
        <w:t>Information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w:t>
      </w:r>
      <w:r>
        <w:rPr>
          <w:rFonts w:ascii="Times New Roman" w:hAnsi="Times New Roman" w:cs="Times New Roman"/>
          <w:color w:val="222222"/>
          <w:sz w:val="24"/>
          <w:szCs w:val="24"/>
          <w:shd w:val="clear" w:color="auto" w:fill="FFFFFF"/>
        </w:rPr>
        <w:t>(3), 9-3.</w:t>
      </w:r>
    </w:p>
    <w:p w14:paraId="6F1C3C9E" w14:textId="77777777" w:rsidR="00B01D46" w:rsidRDefault="0067013E">
      <w:pPr>
        <w:spacing w:line="24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Pinto, M., Fernández-Pascual, R., Caballero-Mariscal, D., &amp; Sales, D. (2020). Information literacy trends in higher education (2006–2019): Visualizing the emerging field of mobile information literacy. </w:t>
      </w:r>
      <w:r>
        <w:rPr>
          <w:rFonts w:ascii="Times New Roman" w:hAnsi="Times New Roman" w:cs="Times New Roman"/>
          <w:i/>
          <w:iCs/>
          <w:color w:val="222222"/>
          <w:sz w:val="24"/>
          <w:szCs w:val="24"/>
          <w:shd w:val="clear" w:color="auto" w:fill="FFFFFF"/>
        </w:rPr>
        <w:t>Scientometrics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124</w:t>
      </w:r>
      <w:r>
        <w:rPr>
          <w:rFonts w:ascii="Times New Roman" w:hAnsi="Times New Roman" w:cs="Times New Roman"/>
          <w:color w:val="222222"/>
          <w:sz w:val="24"/>
          <w:szCs w:val="24"/>
          <w:shd w:val="clear" w:color="auto" w:fill="FFFFFF"/>
        </w:rPr>
        <w:t>, 1479-1510.</w:t>
      </w:r>
    </w:p>
    <w:p w14:paraId="294E61C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Polit, D. F., &amp; Beck, C. T. (2004). </w:t>
      </w:r>
      <w:r>
        <w:rPr>
          <w:rFonts w:ascii="Times New Roman" w:hAnsi="Times New Roman" w:cs="Times New Roman"/>
          <w:i/>
          <w:iCs/>
          <w:color w:val="222222"/>
          <w:sz w:val="24"/>
          <w:szCs w:val="24"/>
          <w:shd w:val="clear" w:color="auto" w:fill="FFFFFF"/>
        </w:rPr>
        <w:t>Nursing research: Principles and methods</w:t>
      </w:r>
      <w:r>
        <w:rPr>
          <w:rFonts w:ascii="Times New Roman" w:hAnsi="Times New Roman" w:cs="Times New Roman"/>
          <w:color w:val="222222"/>
          <w:sz w:val="24"/>
          <w:szCs w:val="24"/>
          <w:shd w:val="clear" w:color="auto" w:fill="FFFFFF"/>
        </w:rPr>
        <w:t>. Lippincott Williams &amp; Wilkins.</w:t>
      </w:r>
    </w:p>
    <w:p w14:paraId="3F09C3D1" w14:textId="77777777" w:rsidR="00B01D46" w:rsidRDefault="0067013E">
      <w:pPr>
        <w:spacing w:line="240" w:lineRule="auto"/>
        <w:ind w:left="720" w:hanging="720"/>
        <w:jc w:val="both"/>
        <w:rPr>
          <w:rFonts w:ascii="Times New Roman" w:eastAsia="Times New Roman" w:hAnsi="Times New Roman" w:cs="Times New Roman"/>
          <w:sz w:val="24"/>
          <w:szCs w:val="24"/>
        </w:rPr>
      </w:pPr>
      <w:r>
        <w:rPr>
          <w:rFonts w:ascii="Times New Roman" w:hAnsi="Times New Roman" w:cs="Times New Roman"/>
          <w:color w:val="222222"/>
          <w:sz w:val="24"/>
          <w:szCs w:val="24"/>
          <w:shd w:val="clear" w:color="auto" w:fill="FFFFFF"/>
        </w:rPr>
        <w:t>Powell, R. R., &amp; Powell, R. R. (1997). </w:t>
      </w:r>
      <w:r>
        <w:rPr>
          <w:rFonts w:ascii="Times New Roman" w:hAnsi="Times New Roman" w:cs="Times New Roman"/>
          <w:i/>
          <w:iCs/>
          <w:color w:val="222222"/>
          <w:sz w:val="24"/>
          <w:szCs w:val="24"/>
          <w:shd w:val="clear" w:color="auto" w:fill="FFFFFF"/>
        </w:rPr>
        <w:t>Basic research methods for librarians</w:t>
      </w:r>
      <w:r>
        <w:rPr>
          <w:rFonts w:ascii="Times New Roman" w:hAnsi="Times New Roman" w:cs="Times New Roman"/>
          <w:color w:val="222222"/>
          <w:sz w:val="24"/>
          <w:szCs w:val="24"/>
          <w:shd w:val="clear" w:color="auto" w:fill="FFFFFF"/>
        </w:rPr>
        <w:t xml:space="preserve">. Greenwood Publishing Group. </w:t>
      </w:r>
      <w:r>
        <w:rPr>
          <w:rFonts w:ascii="Times New Roman" w:eastAsia="Times New Roman" w:hAnsi="Times New Roman" w:cs="Times New Roman"/>
          <w:sz w:val="24"/>
          <w:szCs w:val="24"/>
        </w:rPr>
        <w:t>pp.45-64.</w:t>
      </w:r>
    </w:p>
    <w:p w14:paraId="74AA0F6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Qureshi, M. M., &amp; Oluoch-Olunya, D. (2010). History of neurosurgery in Kenya, East Africa. </w:t>
      </w:r>
      <w:r>
        <w:rPr>
          <w:rFonts w:ascii="Times New Roman" w:hAnsi="Times New Roman" w:cs="Times New Roman"/>
          <w:i/>
          <w:iCs/>
          <w:color w:val="222222"/>
          <w:sz w:val="24"/>
          <w:szCs w:val="24"/>
          <w:shd w:val="clear" w:color="auto" w:fill="FFFFFF"/>
        </w:rPr>
        <w:t>World Neurosurgery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73</w:t>
      </w:r>
      <w:r>
        <w:rPr>
          <w:rFonts w:ascii="Times New Roman" w:hAnsi="Times New Roman" w:cs="Times New Roman"/>
          <w:color w:val="222222"/>
          <w:sz w:val="24"/>
          <w:szCs w:val="24"/>
          <w:shd w:val="clear" w:color="auto" w:fill="FFFFFF"/>
        </w:rPr>
        <w:t>(4), 261-263.</w:t>
      </w:r>
    </w:p>
    <w:p w14:paraId="3B1EB50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72" w:name="_Hlk129084858"/>
      <w:r>
        <w:rPr>
          <w:rFonts w:ascii="Times New Roman" w:hAnsi="Times New Roman" w:cs="Times New Roman"/>
          <w:color w:val="222222"/>
          <w:sz w:val="24"/>
          <w:szCs w:val="24"/>
          <w:shd w:val="clear" w:color="auto" w:fill="FFFFFF"/>
        </w:rPr>
        <w:t>Rade</w:t>
      </w:r>
      <w:bookmarkEnd w:id="2472"/>
      <w:r>
        <w:rPr>
          <w:rFonts w:ascii="Times New Roman" w:hAnsi="Times New Roman" w:cs="Times New Roman"/>
          <w:color w:val="222222"/>
          <w:sz w:val="24"/>
          <w:szCs w:val="24"/>
          <w:shd w:val="clear" w:color="auto" w:fill="FFFFFF"/>
        </w:rPr>
        <w:t>r, H. B. (2002). Information Literacy 1973—2002: A Selected Literature Review.</w:t>
      </w:r>
    </w:p>
    <w:p w14:paraId="2413545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Radomski, N. (2000). Framing information literacy: the University of Ballarat experience. </w:t>
      </w:r>
      <w:r>
        <w:rPr>
          <w:rFonts w:ascii="Times New Roman" w:hAnsi="Times New Roman" w:cs="Times New Roman"/>
          <w:i/>
          <w:iCs/>
          <w:color w:val="222222"/>
          <w:sz w:val="24"/>
          <w:szCs w:val="24"/>
          <w:shd w:val="clear" w:color="auto" w:fill="FFFFFF"/>
        </w:rPr>
        <w:t>Information Literacy around the World: Advances in Programs and Research. Wagga Wagga, New South Wales: Charles Sturt University</w:t>
      </w:r>
      <w:r>
        <w:rPr>
          <w:rFonts w:ascii="Times New Roman" w:hAnsi="Times New Roman" w:cs="Times New Roman"/>
          <w:color w:val="222222"/>
          <w:sz w:val="24"/>
          <w:szCs w:val="24"/>
          <w:shd w:val="clear" w:color="auto" w:fill="FFFFFF"/>
        </w:rPr>
        <w:t>, 67-81.</w:t>
      </w:r>
    </w:p>
    <w:p w14:paraId="14983B9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Rains, S. A., &amp; Ruppel, E. K. (2016). Channel complementarity theory and the health information-seeking process: further investigating the implications of source characteristic complementarity. </w:t>
      </w:r>
      <w:r>
        <w:rPr>
          <w:rFonts w:ascii="Times New Roman" w:hAnsi="Times New Roman" w:cs="Times New Roman"/>
          <w:i/>
          <w:iCs/>
          <w:color w:val="222222"/>
          <w:sz w:val="24"/>
          <w:szCs w:val="24"/>
          <w:shd w:val="clear" w:color="auto" w:fill="FFFFFF"/>
        </w:rPr>
        <w:t>Communication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43</w:t>
      </w:r>
      <w:r>
        <w:rPr>
          <w:rFonts w:ascii="Times New Roman" w:hAnsi="Times New Roman" w:cs="Times New Roman"/>
          <w:color w:val="222222"/>
          <w:sz w:val="24"/>
          <w:szCs w:val="24"/>
          <w:shd w:val="clear" w:color="auto" w:fill="FFFFFF"/>
        </w:rPr>
        <w:t>(2), 232-252.</w:t>
      </w:r>
    </w:p>
    <w:p w14:paraId="2F3203F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Raju, J. (2014). Knowledge and skills for the digital era academic library. </w:t>
      </w:r>
      <w:r>
        <w:rPr>
          <w:rFonts w:ascii="Times New Roman" w:hAnsi="Times New Roman" w:cs="Times New Roman"/>
          <w:i/>
          <w:iCs/>
          <w:color w:val="222222"/>
          <w:sz w:val="24"/>
          <w:szCs w:val="24"/>
          <w:shd w:val="clear" w:color="auto" w:fill="FFFFFF"/>
        </w:rPr>
        <w:t>The Journal of academic librarianship</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40</w:t>
      </w:r>
      <w:r>
        <w:rPr>
          <w:rFonts w:ascii="Times New Roman" w:hAnsi="Times New Roman" w:cs="Times New Roman"/>
          <w:color w:val="222222"/>
          <w:sz w:val="24"/>
          <w:szCs w:val="24"/>
          <w:shd w:val="clear" w:color="auto" w:fill="FFFFFF"/>
        </w:rPr>
        <w:t>(2), 163-170.</w:t>
      </w:r>
    </w:p>
    <w:p w14:paraId="2CCEEFD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Ranaweera, P. (2008). Importance of information literacy skills for an information literate society.</w:t>
      </w:r>
    </w:p>
    <w:p w14:paraId="19D43ED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Ranaweera, P. (2010). Information literacy programmes conducted by the universities in Sri Lanka. </w:t>
      </w:r>
      <w:r>
        <w:rPr>
          <w:rFonts w:ascii="Times New Roman" w:hAnsi="Times New Roman" w:cs="Times New Roman"/>
          <w:i/>
          <w:iCs/>
          <w:color w:val="222222"/>
          <w:sz w:val="24"/>
          <w:szCs w:val="24"/>
          <w:shd w:val="clear" w:color="auto" w:fill="FFFFFF"/>
        </w:rPr>
        <w:t>Journal of the University Librarians Association of Sri Lanka</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14</w:t>
      </w:r>
      <w:r>
        <w:rPr>
          <w:rFonts w:ascii="Times New Roman" w:hAnsi="Times New Roman" w:cs="Times New Roman"/>
          <w:color w:val="222222"/>
          <w:sz w:val="24"/>
          <w:szCs w:val="24"/>
          <w:shd w:val="clear" w:color="auto" w:fill="FFFFFF"/>
        </w:rPr>
        <w:t>(1).</w:t>
      </w:r>
    </w:p>
    <w:p w14:paraId="7E7C4E6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Rankin, J. A. (1992). Problem-based medical education: effect on library use. </w:t>
      </w:r>
      <w:r>
        <w:rPr>
          <w:rFonts w:ascii="Times New Roman" w:hAnsi="Times New Roman" w:cs="Times New Roman"/>
          <w:i/>
          <w:iCs/>
          <w:color w:val="222222"/>
          <w:sz w:val="24"/>
          <w:szCs w:val="24"/>
          <w:shd w:val="clear" w:color="auto" w:fill="FFFFFF"/>
        </w:rPr>
        <w:t>Bulletin of the Medical Library Association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80</w:t>
      </w:r>
      <w:r>
        <w:rPr>
          <w:rFonts w:ascii="Times New Roman" w:hAnsi="Times New Roman" w:cs="Times New Roman"/>
          <w:color w:val="222222"/>
          <w:sz w:val="24"/>
          <w:szCs w:val="24"/>
          <w:shd w:val="clear" w:color="auto" w:fill="FFFFFF"/>
        </w:rPr>
        <w:t>(1), 36.</w:t>
      </w:r>
    </w:p>
    <w:p w14:paraId="01D855A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Rao, N. (2017). Students’ reflective essays as insights into student centred-pedagogies within the undergraduate research methods curriculum. </w:t>
      </w:r>
      <w:r>
        <w:rPr>
          <w:rFonts w:ascii="Times New Roman" w:hAnsi="Times New Roman" w:cs="Times New Roman"/>
          <w:i/>
          <w:iCs/>
          <w:color w:val="222222"/>
          <w:sz w:val="24"/>
          <w:szCs w:val="24"/>
          <w:shd w:val="clear" w:color="auto" w:fill="FFFFFF"/>
        </w:rPr>
        <w:t>Teaching in Higher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22</w:t>
      </w:r>
      <w:r>
        <w:rPr>
          <w:rFonts w:ascii="Times New Roman" w:hAnsi="Times New Roman" w:cs="Times New Roman"/>
          <w:color w:val="222222"/>
          <w:sz w:val="24"/>
          <w:szCs w:val="24"/>
          <w:shd w:val="clear" w:color="auto" w:fill="FFFFFF"/>
        </w:rPr>
        <w:t>(1), 109-125.</w:t>
      </w:r>
    </w:p>
    <w:p w14:paraId="635BB7B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Rasaki, O. E. (2008). A comparative study of credit earning information literacy skills courses of three African universities. </w:t>
      </w:r>
      <w:r>
        <w:rPr>
          <w:rFonts w:ascii="Times New Roman" w:hAnsi="Times New Roman" w:cs="Times New Roman"/>
          <w:i/>
          <w:iCs/>
          <w:color w:val="222222"/>
          <w:sz w:val="24"/>
          <w:szCs w:val="24"/>
          <w:shd w:val="clear" w:color="auto" w:fill="FFFFFF"/>
        </w:rPr>
        <w:t>Library philosophy and Practice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232</w:t>
      </w:r>
      <w:r>
        <w:rPr>
          <w:rFonts w:ascii="Times New Roman" w:hAnsi="Times New Roman" w:cs="Times New Roman"/>
          <w:color w:val="222222"/>
          <w:sz w:val="24"/>
          <w:szCs w:val="24"/>
          <w:shd w:val="clear" w:color="auto" w:fill="FFFFFF"/>
        </w:rPr>
        <w:t>.</w:t>
      </w:r>
    </w:p>
    <w:p w14:paraId="50A400E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Reetseng, M. P. (2016). </w:t>
      </w:r>
      <w:r>
        <w:rPr>
          <w:rFonts w:ascii="Times New Roman" w:hAnsi="Times New Roman" w:cs="Times New Roman"/>
          <w:i/>
          <w:iCs/>
          <w:color w:val="222222"/>
          <w:sz w:val="24"/>
          <w:szCs w:val="24"/>
          <w:shd w:val="clear" w:color="auto" w:fill="FFFFFF"/>
        </w:rPr>
        <w:t>An assessment of the attitudes of undergraduate students towards information literacy training: Sefako Makgatho Health Sciences University (SMU) Library as case study</w:t>
      </w:r>
      <w:r>
        <w:rPr>
          <w:rFonts w:ascii="Times New Roman" w:hAnsi="Times New Roman" w:cs="Times New Roman"/>
          <w:color w:val="222222"/>
          <w:sz w:val="24"/>
          <w:szCs w:val="24"/>
          <w:shd w:val="clear" w:color="auto" w:fill="FFFFFF"/>
        </w:rPr>
        <w:t> (Master's thesis, University of Pretoria (South Africa)).</w:t>
      </w:r>
    </w:p>
    <w:p w14:paraId="3EC4C1A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Richards, K. (2003). </w:t>
      </w:r>
      <w:r>
        <w:rPr>
          <w:rFonts w:ascii="Times New Roman" w:hAnsi="Times New Roman" w:cs="Times New Roman"/>
          <w:i/>
          <w:iCs/>
          <w:color w:val="222222"/>
          <w:sz w:val="24"/>
          <w:szCs w:val="24"/>
          <w:shd w:val="clear" w:color="auto" w:fill="FFFFFF"/>
        </w:rPr>
        <w:t>Qualitative inquiry in TESOL</w:t>
      </w:r>
      <w:r>
        <w:rPr>
          <w:rFonts w:ascii="Times New Roman" w:hAnsi="Times New Roman" w:cs="Times New Roman"/>
          <w:color w:val="222222"/>
          <w:sz w:val="24"/>
          <w:szCs w:val="24"/>
          <w:shd w:val="clear" w:color="auto" w:fill="FFFFFF"/>
        </w:rPr>
        <w:t>. Springer.</w:t>
      </w:r>
    </w:p>
    <w:p w14:paraId="1D4685B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Richards, L., &amp; Morse, J. M. (2012). </w:t>
      </w:r>
      <w:r>
        <w:rPr>
          <w:rFonts w:ascii="Times New Roman" w:hAnsi="Times New Roman" w:cs="Times New Roman"/>
          <w:i/>
          <w:iCs/>
          <w:color w:val="222222"/>
          <w:sz w:val="24"/>
          <w:szCs w:val="24"/>
          <w:shd w:val="clear" w:color="auto" w:fill="FFFFFF"/>
        </w:rPr>
        <w:t>Readme first for a user's guide to qualitative methods</w:t>
      </w:r>
      <w:r>
        <w:rPr>
          <w:rFonts w:ascii="Times New Roman" w:hAnsi="Times New Roman" w:cs="Times New Roman"/>
          <w:color w:val="222222"/>
          <w:sz w:val="24"/>
          <w:szCs w:val="24"/>
          <w:shd w:val="clear" w:color="auto" w:fill="FFFFFF"/>
        </w:rPr>
        <w:t>. Sage.</w:t>
      </w:r>
    </w:p>
    <w:p w14:paraId="35850AC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Rose, D., &amp; Sullivan, O. (1993). </w:t>
      </w:r>
      <w:r>
        <w:rPr>
          <w:rFonts w:ascii="Times New Roman" w:hAnsi="Times New Roman" w:cs="Times New Roman"/>
          <w:i/>
          <w:iCs/>
          <w:color w:val="222222"/>
          <w:sz w:val="24"/>
          <w:szCs w:val="24"/>
          <w:shd w:val="clear" w:color="auto" w:fill="FFFFFF"/>
        </w:rPr>
        <w:t>Introducing data analysis for social scientists</w:t>
      </w:r>
      <w:r>
        <w:rPr>
          <w:rFonts w:ascii="Times New Roman" w:hAnsi="Times New Roman" w:cs="Times New Roman"/>
          <w:color w:val="222222"/>
          <w:sz w:val="24"/>
          <w:szCs w:val="24"/>
          <w:shd w:val="clear" w:color="auto" w:fill="FFFFFF"/>
        </w:rPr>
        <w:t>. Open University Press.</w:t>
      </w:r>
    </w:p>
    <w:p w14:paraId="4BFB8F2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Rubin, A., &amp; Babbie, E. (2008). Research methods for social work . Belmont, CA: Brooks.</w:t>
      </w:r>
    </w:p>
    <w:p w14:paraId="0CB04FC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Rubinić, D. (2014). Information behaviour of university students: a literature review. </w:t>
      </w:r>
      <w:r>
        <w:rPr>
          <w:rFonts w:ascii="Times New Roman" w:hAnsi="Times New Roman" w:cs="Times New Roman"/>
          <w:i/>
          <w:iCs/>
          <w:color w:val="222222"/>
          <w:sz w:val="24"/>
          <w:szCs w:val="24"/>
          <w:shd w:val="clear" w:color="auto" w:fill="FFFFFF"/>
        </w:rPr>
        <w:t>Libellarium: časopis za istraživanja u području informacijskih i srodnih znanosti</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(1), 105-118.</w:t>
      </w:r>
    </w:p>
    <w:p w14:paraId="62F108A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Ruspini, E., &amp; Dale, A. (Eds.). (2002). </w:t>
      </w:r>
      <w:r>
        <w:rPr>
          <w:rFonts w:ascii="Times New Roman" w:hAnsi="Times New Roman" w:cs="Times New Roman"/>
          <w:i/>
          <w:iCs/>
          <w:color w:val="222222"/>
          <w:sz w:val="24"/>
          <w:szCs w:val="24"/>
          <w:shd w:val="clear" w:color="auto" w:fill="FFFFFF"/>
        </w:rPr>
        <w:t>The Gender Dimension of Social Change: The contribution of dynamic research to the study of women's life courses</w:t>
      </w:r>
      <w:r>
        <w:rPr>
          <w:rFonts w:ascii="Times New Roman" w:hAnsi="Times New Roman" w:cs="Times New Roman"/>
          <w:color w:val="222222"/>
          <w:sz w:val="24"/>
          <w:szCs w:val="24"/>
          <w:shd w:val="clear" w:color="auto" w:fill="FFFFFF"/>
        </w:rPr>
        <w:t>. Policy Press.</w:t>
      </w:r>
    </w:p>
    <w:p w14:paraId="53E6424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73" w:name="_Hlk129085259"/>
      <w:r>
        <w:rPr>
          <w:rFonts w:ascii="Times New Roman" w:hAnsi="Times New Roman" w:cs="Times New Roman"/>
          <w:color w:val="222222"/>
          <w:sz w:val="24"/>
          <w:szCs w:val="24"/>
          <w:shd w:val="clear" w:color="auto" w:fill="FFFFFF"/>
        </w:rPr>
        <w:t xml:space="preserve">Safdar, M., &amp; Idrees, H. (2020). </w:t>
      </w:r>
      <w:bookmarkEnd w:id="2473"/>
      <w:r>
        <w:rPr>
          <w:rFonts w:ascii="Times New Roman" w:hAnsi="Times New Roman" w:cs="Times New Roman"/>
          <w:color w:val="222222"/>
          <w:sz w:val="24"/>
          <w:szCs w:val="24"/>
          <w:shd w:val="clear" w:color="auto" w:fill="FFFFFF"/>
        </w:rPr>
        <w:t>Perception of the Postgraduate Students about Need and Importance of Information Literacy (IL) Program and IL Skills: A Survey. </w:t>
      </w:r>
      <w:r>
        <w:rPr>
          <w:rFonts w:ascii="Times New Roman" w:hAnsi="Times New Roman" w:cs="Times New Roman"/>
          <w:i/>
          <w:iCs/>
          <w:color w:val="222222"/>
          <w:sz w:val="24"/>
          <w:szCs w:val="24"/>
          <w:shd w:val="clear" w:color="auto" w:fill="FFFFFF"/>
        </w:rPr>
        <w:t>Pakistan Library &amp; Information Science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51</w:t>
      </w:r>
      <w:r>
        <w:rPr>
          <w:rFonts w:ascii="Times New Roman" w:hAnsi="Times New Roman" w:cs="Times New Roman"/>
          <w:color w:val="222222"/>
          <w:sz w:val="24"/>
          <w:szCs w:val="24"/>
          <w:shd w:val="clear" w:color="auto" w:fill="FFFFFF"/>
        </w:rPr>
        <w:t>(1).</w:t>
      </w:r>
    </w:p>
    <w:p w14:paraId="438902B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Sakyi, A. A. (2017). </w:t>
      </w:r>
      <w:r>
        <w:rPr>
          <w:rFonts w:ascii="Times New Roman" w:hAnsi="Times New Roman" w:cs="Times New Roman"/>
          <w:i/>
          <w:iCs/>
          <w:color w:val="222222"/>
          <w:sz w:val="24"/>
          <w:szCs w:val="24"/>
          <w:shd w:val="clear" w:color="auto" w:fill="FFFFFF"/>
        </w:rPr>
        <w:t>A study of the holistic scoring behaviours of experienced and novice ESL instructors</w:t>
      </w:r>
      <w:r>
        <w:rPr>
          <w:rFonts w:ascii="Times New Roman" w:hAnsi="Times New Roman" w:cs="Times New Roman"/>
          <w:color w:val="222222"/>
          <w:sz w:val="24"/>
          <w:szCs w:val="24"/>
          <w:shd w:val="clear" w:color="auto" w:fill="FFFFFF"/>
        </w:rPr>
        <w:t> (pp. 1230-1230). National Library of Canada= Bibliothèque nationale du Canada, Ottawa.</w:t>
      </w:r>
    </w:p>
    <w:p w14:paraId="7A3B1D4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Salleh, M. I., Halim, A. F., Yaacob, R. A. R., &amp; Yusoff, Z. (2011). Measuring the effect of information literacy on the undergraduates’ academic performance in higher education. In </w:t>
      </w:r>
      <w:r>
        <w:rPr>
          <w:rFonts w:ascii="Times New Roman" w:hAnsi="Times New Roman" w:cs="Times New Roman"/>
          <w:i/>
          <w:iCs/>
          <w:color w:val="222222"/>
          <w:sz w:val="24"/>
          <w:szCs w:val="24"/>
          <w:shd w:val="clear" w:color="auto" w:fill="FFFFFF"/>
        </w:rPr>
        <w:t>International Conference on Social Science and Humanity</w:t>
      </w:r>
      <w:r>
        <w:rPr>
          <w:rFonts w:ascii="Times New Roman" w:hAnsi="Times New Roman" w:cs="Times New Roman"/>
          <w:color w:val="222222"/>
          <w:sz w:val="24"/>
          <w:szCs w:val="24"/>
          <w:shd w:val="clear" w:color="auto" w:fill="FFFFFF"/>
        </w:rPr>
        <w:t> (Vol. 5, No. 2, pp. 506-510).</w:t>
      </w:r>
    </w:p>
    <w:p w14:paraId="48DECFA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74" w:name="_Hlk182134404"/>
      <w:r>
        <w:rPr>
          <w:rFonts w:ascii="Times New Roman" w:hAnsi="Times New Roman" w:cs="Times New Roman"/>
          <w:color w:val="222222"/>
          <w:sz w:val="24"/>
          <w:szCs w:val="24"/>
          <w:shd w:val="clear" w:color="auto" w:fill="FFFFFF"/>
        </w:rPr>
        <w:t>Sample, A. (2020</w:t>
      </w:r>
      <w:bookmarkEnd w:id="2474"/>
      <w:r>
        <w:rPr>
          <w:rFonts w:ascii="Times New Roman" w:hAnsi="Times New Roman" w:cs="Times New Roman"/>
          <w:color w:val="222222"/>
          <w:sz w:val="24"/>
          <w:szCs w:val="24"/>
          <w:shd w:val="clear" w:color="auto" w:fill="FFFFFF"/>
        </w:rPr>
        <w:t>). Historical development of definitions of information literacy: A literature review of selected resources. </w:t>
      </w:r>
      <w:r>
        <w:rPr>
          <w:rFonts w:ascii="Times New Roman" w:hAnsi="Times New Roman" w:cs="Times New Roman"/>
          <w:i/>
          <w:iCs/>
          <w:color w:val="222222"/>
          <w:sz w:val="24"/>
          <w:szCs w:val="24"/>
          <w:shd w:val="clear" w:color="auto" w:fill="FFFFFF"/>
        </w:rPr>
        <w:t>The journal of academic librarianship</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46</w:t>
      </w:r>
      <w:r>
        <w:rPr>
          <w:rFonts w:ascii="Times New Roman" w:hAnsi="Times New Roman" w:cs="Times New Roman"/>
          <w:color w:val="222222"/>
          <w:sz w:val="24"/>
          <w:szCs w:val="24"/>
          <w:shd w:val="clear" w:color="auto" w:fill="FFFFFF"/>
        </w:rPr>
        <w:t>(2), 102116.</w:t>
      </w:r>
    </w:p>
    <w:p w14:paraId="26D0658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Santharooban, S. (2016). Analyzing the level of information literacy skills of medical undergraduate of Eastern University, Sri Lanka. </w:t>
      </w:r>
      <w:r>
        <w:rPr>
          <w:rFonts w:ascii="Times New Roman" w:hAnsi="Times New Roman" w:cs="Times New Roman"/>
          <w:i/>
          <w:iCs/>
          <w:color w:val="222222"/>
          <w:sz w:val="24"/>
          <w:szCs w:val="24"/>
          <w:shd w:val="clear" w:color="auto" w:fill="FFFFFF"/>
        </w:rPr>
        <w:t>Journal of the University Librarians Association of Sri Lanka</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19</w:t>
      </w:r>
      <w:r>
        <w:rPr>
          <w:rFonts w:ascii="Times New Roman" w:hAnsi="Times New Roman" w:cs="Times New Roman"/>
          <w:color w:val="222222"/>
          <w:sz w:val="24"/>
          <w:szCs w:val="24"/>
          <w:shd w:val="clear" w:color="auto" w:fill="FFFFFF"/>
        </w:rPr>
        <w:t>(2).</w:t>
      </w:r>
    </w:p>
    <w:p w14:paraId="23D3A03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Santharooban, S., &amp; Premadasa, P. G. (2015). Development of an information literacy model for problem based learning. </w:t>
      </w:r>
      <w:r>
        <w:rPr>
          <w:rFonts w:ascii="Times New Roman" w:hAnsi="Times New Roman" w:cs="Times New Roman"/>
          <w:i/>
          <w:iCs/>
          <w:color w:val="222222"/>
          <w:sz w:val="24"/>
          <w:szCs w:val="24"/>
          <w:shd w:val="clear" w:color="auto" w:fill="FFFFFF"/>
        </w:rPr>
        <w:t>Annals of Library and Information Studies (ALIS)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62</w:t>
      </w:r>
      <w:r>
        <w:rPr>
          <w:rFonts w:ascii="Times New Roman" w:hAnsi="Times New Roman" w:cs="Times New Roman"/>
          <w:color w:val="222222"/>
          <w:sz w:val="24"/>
          <w:szCs w:val="24"/>
          <w:shd w:val="clear" w:color="auto" w:fill="FFFFFF"/>
        </w:rPr>
        <w:t>(3), 138-144.</w:t>
      </w:r>
    </w:p>
    <w:p w14:paraId="08B561D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Saunders, M. (2012). Research methods for business students. </w:t>
      </w:r>
      <w:r>
        <w:rPr>
          <w:rFonts w:ascii="Times New Roman" w:hAnsi="Times New Roman" w:cs="Times New Roman"/>
          <w:i/>
          <w:iCs/>
          <w:color w:val="222222"/>
          <w:sz w:val="24"/>
          <w:szCs w:val="24"/>
          <w:shd w:val="clear" w:color="auto" w:fill="FFFFFF"/>
        </w:rPr>
        <w:t>Person Education Limited</w:t>
      </w:r>
      <w:r>
        <w:rPr>
          <w:rFonts w:ascii="Times New Roman" w:hAnsi="Times New Roman" w:cs="Times New Roman"/>
          <w:color w:val="222222"/>
          <w:sz w:val="24"/>
          <w:szCs w:val="24"/>
          <w:shd w:val="clear" w:color="auto" w:fill="FFFFFF"/>
        </w:rPr>
        <w:t>.</w:t>
      </w:r>
    </w:p>
    <w:p w14:paraId="3176B65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Saunders, M., Lewis, P., &amp; Thornhill, A. (2009). </w:t>
      </w:r>
      <w:r>
        <w:rPr>
          <w:rFonts w:ascii="Times New Roman" w:hAnsi="Times New Roman" w:cs="Times New Roman"/>
          <w:i/>
          <w:iCs/>
          <w:color w:val="222222"/>
          <w:sz w:val="24"/>
          <w:szCs w:val="24"/>
          <w:shd w:val="clear" w:color="auto" w:fill="FFFFFF"/>
        </w:rPr>
        <w:t>Research methods for business students</w:t>
      </w:r>
      <w:r>
        <w:rPr>
          <w:rFonts w:ascii="Times New Roman" w:hAnsi="Times New Roman" w:cs="Times New Roman"/>
          <w:color w:val="222222"/>
          <w:sz w:val="24"/>
          <w:szCs w:val="24"/>
          <w:shd w:val="clear" w:color="auto" w:fill="FFFFFF"/>
        </w:rPr>
        <w:t>. Pearson education.</w:t>
      </w:r>
    </w:p>
    <w:p w14:paraId="323D130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Schoonenboom, J., &amp; Johnson, R. B. (2017). How to construct a mixed methods research design. </w:t>
      </w:r>
      <w:r>
        <w:rPr>
          <w:rFonts w:ascii="Times New Roman" w:hAnsi="Times New Roman" w:cs="Times New Roman"/>
          <w:i/>
          <w:iCs/>
          <w:color w:val="222222"/>
          <w:sz w:val="24"/>
          <w:szCs w:val="24"/>
          <w:shd w:val="clear" w:color="auto" w:fill="FFFFFF"/>
        </w:rPr>
        <w:t>Kolner Zeitschrift fur Soziologie und Sozialpsychologie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69</w:t>
      </w:r>
      <w:r>
        <w:rPr>
          <w:rFonts w:ascii="Times New Roman" w:hAnsi="Times New Roman" w:cs="Times New Roman"/>
          <w:color w:val="222222"/>
          <w:sz w:val="24"/>
          <w:szCs w:val="24"/>
          <w:shd w:val="clear" w:color="auto" w:fill="FFFFFF"/>
        </w:rPr>
        <w:t>(Suppl 2), 107.</w:t>
      </w:r>
    </w:p>
    <w:p w14:paraId="6C0F9F9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75" w:name="_Hlk126055593"/>
      <w:r>
        <w:rPr>
          <w:rFonts w:ascii="Times New Roman" w:hAnsi="Times New Roman" w:cs="Times New Roman"/>
          <w:color w:val="222222"/>
          <w:sz w:val="24"/>
          <w:szCs w:val="24"/>
          <w:shd w:val="clear" w:color="auto" w:fill="FFFFFF"/>
        </w:rPr>
        <w:t xml:space="preserve">Schreiber, T. (2014). </w:t>
      </w:r>
      <w:bookmarkEnd w:id="2475"/>
      <w:r>
        <w:rPr>
          <w:rFonts w:ascii="Times New Roman" w:hAnsi="Times New Roman" w:cs="Times New Roman"/>
          <w:color w:val="222222"/>
          <w:sz w:val="24"/>
          <w:szCs w:val="24"/>
          <w:shd w:val="clear" w:color="auto" w:fill="FFFFFF"/>
        </w:rPr>
        <w:t>Conceptualizing students’ written assignments in the context of information literacy and Schatzki's practice theory. </w:t>
      </w:r>
      <w:r>
        <w:rPr>
          <w:rFonts w:ascii="Times New Roman" w:hAnsi="Times New Roman" w:cs="Times New Roman"/>
          <w:i/>
          <w:iCs/>
          <w:color w:val="222222"/>
          <w:sz w:val="24"/>
          <w:szCs w:val="24"/>
          <w:shd w:val="clear" w:color="auto" w:fill="FFFFFF"/>
        </w:rPr>
        <w:t>Journal of documentation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70</w:t>
      </w:r>
      <w:r>
        <w:rPr>
          <w:rFonts w:ascii="Times New Roman" w:hAnsi="Times New Roman" w:cs="Times New Roman"/>
          <w:color w:val="222222"/>
          <w:sz w:val="24"/>
          <w:szCs w:val="24"/>
          <w:shd w:val="clear" w:color="auto" w:fill="FFFFFF"/>
        </w:rPr>
        <w:t>(3), 346-363.</w:t>
      </w:r>
    </w:p>
    <w:p w14:paraId="2E6AA94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76" w:name="_Hlk182133262"/>
      <w:r>
        <w:rPr>
          <w:rFonts w:ascii="Times New Roman" w:hAnsi="Times New Roman" w:cs="Times New Roman"/>
          <w:color w:val="222222"/>
          <w:sz w:val="24"/>
          <w:szCs w:val="24"/>
          <w:shd w:val="clear" w:color="auto" w:fill="FFFFFF"/>
        </w:rPr>
        <w:t>Secker, J., &amp; Coonan, E. (2011</w:t>
      </w:r>
      <w:bookmarkEnd w:id="2476"/>
      <w:r>
        <w:rPr>
          <w:rFonts w:ascii="Times New Roman" w:hAnsi="Times New Roman" w:cs="Times New Roman"/>
          <w:color w:val="222222"/>
          <w:sz w:val="24"/>
          <w:szCs w:val="24"/>
          <w:shd w:val="clear" w:color="auto" w:fill="FFFFFF"/>
        </w:rPr>
        <w:t>). A New Curriculum for Information Literacy (ANCIL): curriculum and supporting documents. Punch, S. (2001). Multiple methods and research relations with young people in rural Bolivia.</w:t>
      </w:r>
    </w:p>
    <w:p w14:paraId="4CED6DB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Sekaran, U. (1992). Research Methods For Business: A Skill Building Approach, Secon Edition, John Willey &amp; Sons. </w:t>
      </w:r>
      <w:r>
        <w:rPr>
          <w:rFonts w:ascii="Times New Roman" w:hAnsi="Times New Roman" w:cs="Times New Roman"/>
          <w:i/>
          <w:iCs/>
          <w:color w:val="222222"/>
          <w:sz w:val="24"/>
          <w:szCs w:val="24"/>
          <w:shd w:val="clear" w:color="auto" w:fill="FFFFFF"/>
        </w:rPr>
        <w:t>Inc. New York</w:t>
      </w:r>
      <w:r>
        <w:rPr>
          <w:rFonts w:ascii="Times New Roman" w:hAnsi="Times New Roman" w:cs="Times New Roman"/>
          <w:color w:val="222222"/>
          <w:sz w:val="24"/>
          <w:szCs w:val="24"/>
          <w:shd w:val="clear" w:color="auto" w:fill="FFFFFF"/>
        </w:rPr>
        <w:t>.</w:t>
      </w:r>
    </w:p>
    <w:p w14:paraId="4B96427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Shabi, I. &amp;Oyewusi, F., (2016). Library Use and Reading Habits as Predictors of Information Literacy Competencies among Finalists in Selected Private Secondary Schools in Ife, Osun State, Nigeria. </w:t>
      </w:r>
      <w:r>
        <w:rPr>
          <w:rFonts w:ascii="Times New Roman" w:hAnsi="Times New Roman" w:cs="Times New Roman"/>
          <w:i/>
          <w:iCs/>
          <w:color w:val="222222"/>
          <w:sz w:val="24"/>
          <w:szCs w:val="24"/>
          <w:shd w:val="clear" w:color="auto" w:fill="FFFFFF"/>
        </w:rPr>
        <w:t>International Journal of the Book</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14</w:t>
      </w:r>
      <w:r>
        <w:rPr>
          <w:rFonts w:ascii="Times New Roman" w:hAnsi="Times New Roman" w:cs="Times New Roman"/>
          <w:color w:val="222222"/>
          <w:sz w:val="24"/>
          <w:szCs w:val="24"/>
          <w:shd w:val="clear" w:color="auto" w:fill="FFFFFF"/>
        </w:rPr>
        <w:t>(3).</w:t>
      </w:r>
    </w:p>
    <w:p w14:paraId="5E81CD2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Shabi, I. N., Shabi, O. M., Akewukereke, M. A., &amp; Udofia, E. P. (2011). Physicians utilisation of internet medical databases at the tertiary health institutions in Osun State, South West, Nigeria. </w:t>
      </w:r>
      <w:r>
        <w:rPr>
          <w:rFonts w:ascii="Times New Roman" w:hAnsi="Times New Roman" w:cs="Times New Roman"/>
          <w:i/>
          <w:iCs/>
          <w:color w:val="222222"/>
          <w:sz w:val="24"/>
          <w:szCs w:val="24"/>
          <w:shd w:val="clear" w:color="auto" w:fill="FFFFFF"/>
        </w:rPr>
        <w:t>Health Information &amp; Libraries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(4), 313-320.</w:t>
      </w:r>
    </w:p>
    <w:p w14:paraId="34A7B11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Shadish, W Cook, &amp; T. D., Campbell, D. T.,. (2002). </w:t>
      </w:r>
      <w:r>
        <w:rPr>
          <w:rFonts w:ascii="Times New Roman" w:hAnsi="Times New Roman" w:cs="Times New Roman"/>
          <w:i/>
          <w:iCs/>
          <w:color w:val="222222"/>
          <w:sz w:val="24"/>
          <w:szCs w:val="24"/>
          <w:shd w:val="clear" w:color="auto" w:fill="FFFFFF"/>
        </w:rPr>
        <w:t>Experimental and quasi-experimental designs for generalized causal inference</w:t>
      </w:r>
      <w:r>
        <w:rPr>
          <w:rFonts w:ascii="Times New Roman" w:hAnsi="Times New Roman" w:cs="Times New Roman"/>
          <w:color w:val="222222"/>
          <w:sz w:val="24"/>
          <w:szCs w:val="24"/>
          <w:shd w:val="clear" w:color="auto" w:fill="FFFFFF"/>
        </w:rPr>
        <w:t> (pp. 103-134). Boston, MA: Houghton Mifflin.</w:t>
      </w:r>
    </w:p>
    <w:p w14:paraId="2041EFD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Shahrabi, A. &amp; Yaminfirooz, M., Siamian, H., (2013). Librarians’ Role in Development and Achievement of Central Library Users’ Information Literacy (a Case Study: Iran). </w:t>
      </w:r>
      <w:r>
        <w:rPr>
          <w:rFonts w:ascii="Times New Roman" w:hAnsi="Times New Roman" w:cs="Times New Roman"/>
          <w:i/>
          <w:iCs/>
          <w:color w:val="222222"/>
          <w:sz w:val="24"/>
          <w:szCs w:val="24"/>
          <w:shd w:val="clear" w:color="auto" w:fill="FFFFFF"/>
        </w:rPr>
        <w:t>Materia Socio-medica</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25</w:t>
      </w:r>
      <w:r>
        <w:rPr>
          <w:rFonts w:ascii="Times New Roman" w:hAnsi="Times New Roman" w:cs="Times New Roman"/>
          <w:color w:val="222222"/>
          <w:sz w:val="24"/>
          <w:szCs w:val="24"/>
          <w:shd w:val="clear" w:color="auto" w:fill="FFFFFF"/>
        </w:rPr>
        <w:t>(4), 238.</w:t>
      </w:r>
    </w:p>
    <w:p w14:paraId="1C99CF5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Shamoo, A. E., &amp; Resnik, D. B. (2009). </w:t>
      </w:r>
      <w:r>
        <w:rPr>
          <w:rFonts w:ascii="Times New Roman" w:hAnsi="Times New Roman" w:cs="Times New Roman"/>
          <w:i/>
          <w:iCs/>
          <w:color w:val="222222"/>
          <w:sz w:val="24"/>
          <w:szCs w:val="24"/>
          <w:shd w:val="clear" w:color="auto" w:fill="FFFFFF"/>
        </w:rPr>
        <w:t>Responsible conduct of research</w:t>
      </w:r>
      <w:r>
        <w:rPr>
          <w:rFonts w:ascii="Times New Roman" w:hAnsi="Times New Roman" w:cs="Times New Roman"/>
          <w:color w:val="222222"/>
          <w:sz w:val="24"/>
          <w:szCs w:val="24"/>
          <w:shd w:val="clear" w:color="auto" w:fill="FFFFFF"/>
        </w:rPr>
        <w:t>. Oxford University Press.</w:t>
      </w:r>
    </w:p>
    <w:p w14:paraId="53B3E8B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77" w:name="_Hlk182142201"/>
      <w:r>
        <w:rPr>
          <w:rFonts w:ascii="Times New Roman" w:hAnsi="Times New Roman" w:cs="Times New Roman"/>
          <w:color w:val="222222"/>
          <w:sz w:val="24"/>
          <w:szCs w:val="24"/>
          <w:shd w:val="clear" w:color="auto" w:fill="FFFFFF"/>
        </w:rPr>
        <w:t>Sharma, S., &amp; Upadhyay</w:t>
      </w:r>
      <w:bookmarkEnd w:id="2477"/>
      <w:r>
        <w:rPr>
          <w:rFonts w:ascii="Times New Roman" w:hAnsi="Times New Roman" w:cs="Times New Roman"/>
          <w:color w:val="222222"/>
          <w:sz w:val="24"/>
          <w:szCs w:val="24"/>
          <w:shd w:val="clear" w:color="auto" w:fill="FFFFFF"/>
        </w:rPr>
        <w:t>, A. K. (2021). Information Literacy: An Overview. </w:t>
      </w:r>
      <w:r>
        <w:rPr>
          <w:rFonts w:ascii="Times New Roman" w:hAnsi="Times New Roman" w:cs="Times New Roman"/>
          <w:i/>
          <w:iCs/>
          <w:color w:val="222222"/>
          <w:sz w:val="24"/>
          <w:szCs w:val="24"/>
          <w:shd w:val="clear" w:color="auto" w:fill="FFFFFF"/>
        </w:rPr>
        <w:t>Elementary Education Online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20</w:t>
      </w:r>
      <w:r>
        <w:rPr>
          <w:rFonts w:ascii="Times New Roman" w:hAnsi="Times New Roman" w:cs="Times New Roman"/>
          <w:color w:val="222222"/>
          <w:sz w:val="24"/>
          <w:szCs w:val="24"/>
          <w:shd w:val="clear" w:color="auto" w:fill="FFFFFF"/>
        </w:rPr>
        <w:t>(1), 4227-4227.</w:t>
      </w:r>
    </w:p>
    <w:p w14:paraId="37F473F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Shenton, A. K. (2009). Information literacy and scholarly investigation: a British perspective. </w:t>
      </w:r>
      <w:r>
        <w:rPr>
          <w:rFonts w:ascii="Times New Roman" w:hAnsi="Times New Roman" w:cs="Times New Roman"/>
          <w:i/>
          <w:iCs/>
          <w:color w:val="222222"/>
          <w:sz w:val="24"/>
          <w:szCs w:val="24"/>
          <w:shd w:val="clear" w:color="auto" w:fill="FFFFFF"/>
        </w:rPr>
        <w:t>IFLA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35</w:t>
      </w:r>
      <w:r>
        <w:rPr>
          <w:rFonts w:ascii="Times New Roman" w:hAnsi="Times New Roman" w:cs="Times New Roman"/>
          <w:color w:val="222222"/>
          <w:sz w:val="24"/>
          <w:szCs w:val="24"/>
          <w:shd w:val="clear" w:color="auto" w:fill="FFFFFF"/>
        </w:rPr>
        <w:t>(3), 226-231.</w:t>
      </w:r>
    </w:p>
    <w:p w14:paraId="3812051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78" w:name="_Hlk126049517"/>
      <w:r>
        <w:rPr>
          <w:rFonts w:ascii="Times New Roman" w:hAnsi="Times New Roman" w:cs="Times New Roman"/>
          <w:color w:val="222222"/>
          <w:sz w:val="24"/>
          <w:szCs w:val="24"/>
          <w:shd w:val="clear" w:color="auto" w:fill="FFFFFF"/>
        </w:rPr>
        <w:t xml:space="preserve">Shonfeld, M., Aharony, N., &amp; Kritz, N. (2020). </w:t>
      </w:r>
      <w:bookmarkEnd w:id="2478"/>
      <w:r>
        <w:rPr>
          <w:rFonts w:ascii="Times New Roman" w:hAnsi="Times New Roman" w:cs="Times New Roman"/>
          <w:color w:val="222222"/>
          <w:sz w:val="24"/>
          <w:szCs w:val="24"/>
          <w:shd w:val="clear" w:color="auto" w:fill="FFFFFF"/>
        </w:rPr>
        <w:t>The Impact of Participating in a Digital Program on Teachers' Perceptions of Their Information Literacy. In </w:t>
      </w:r>
      <w:r>
        <w:rPr>
          <w:rFonts w:ascii="Times New Roman" w:hAnsi="Times New Roman" w:cs="Times New Roman"/>
          <w:i/>
          <w:iCs/>
          <w:color w:val="222222"/>
          <w:sz w:val="24"/>
          <w:szCs w:val="24"/>
          <w:shd w:val="clear" w:color="auto" w:fill="FFFFFF"/>
        </w:rPr>
        <w:t>Society for Information Technology &amp; Teacher Education International Conference</w:t>
      </w:r>
      <w:r>
        <w:rPr>
          <w:rFonts w:ascii="Times New Roman" w:hAnsi="Times New Roman" w:cs="Times New Roman"/>
          <w:color w:val="222222"/>
          <w:sz w:val="24"/>
          <w:szCs w:val="24"/>
          <w:shd w:val="clear" w:color="auto" w:fill="FFFFFF"/>
        </w:rPr>
        <w:t> (pp. 1262-1266). Association for the Advancement of Computing in Education (AACE).</w:t>
      </w:r>
    </w:p>
    <w:p w14:paraId="2659A02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Shusterman, R. (2016). </w:t>
      </w:r>
      <w:r>
        <w:rPr>
          <w:rFonts w:ascii="Times New Roman" w:hAnsi="Times New Roman" w:cs="Times New Roman"/>
          <w:i/>
          <w:color w:val="222222"/>
          <w:sz w:val="24"/>
          <w:szCs w:val="24"/>
          <w:shd w:val="clear" w:color="auto" w:fill="FFFFFF"/>
        </w:rPr>
        <w:t>Practicing philosophy: Pragmatism and the philosophical life</w:t>
      </w:r>
      <w:r>
        <w:rPr>
          <w:rFonts w:ascii="Times New Roman" w:hAnsi="Times New Roman" w:cs="Times New Roman"/>
          <w:color w:val="222222"/>
          <w:sz w:val="24"/>
          <w:szCs w:val="24"/>
          <w:shd w:val="clear" w:color="auto" w:fill="FFFFFF"/>
        </w:rPr>
        <w:t>. Routledge.</w:t>
      </w:r>
    </w:p>
    <w:p w14:paraId="576150A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Siedlecki, S. L. (2020). Understanding descriptive research designs and methods. </w:t>
      </w:r>
      <w:r>
        <w:rPr>
          <w:rFonts w:ascii="Times New Roman" w:hAnsi="Times New Roman" w:cs="Times New Roman"/>
          <w:i/>
          <w:iCs/>
          <w:color w:val="222222"/>
          <w:sz w:val="24"/>
          <w:szCs w:val="24"/>
          <w:shd w:val="clear" w:color="auto" w:fill="FFFFFF"/>
        </w:rPr>
        <w:t>Clinical Nurse Specialist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34</w:t>
      </w:r>
      <w:r>
        <w:rPr>
          <w:rFonts w:ascii="Times New Roman" w:hAnsi="Times New Roman" w:cs="Times New Roman"/>
          <w:color w:val="222222"/>
          <w:sz w:val="24"/>
          <w:szCs w:val="24"/>
          <w:shd w:val="clear" w:color="auto" w:fill="FFFFFF"/>
        </w:rPr>
        <w:t xml:space="preserve">(1), 8-12. </w:t>
      </w:r>
    </w:p>
    <w:p w14:paraId="4B61079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Sikes, P. (2006). On dodgy ground? Problematics and ethics in educational research. </w:t>
      </w:r>
      <w:r>
        <w:rPr>
          <w:rFonts w:ascii="Times New Roman" w:hAnsi="Times New Roman" w:cs="Times New Roman"/>
          <w:i/>
          <w:iCs/>
          <w:color w:val="222222"/>
          <w:sz w:val="24"/>
          <w:szCs w:val="24"/>
          <w:shd w:val="clear" w:color="auto" w:fill="FFFFFF"/>
        </w:rPr>
        <w:t>International Journal of Research &amp; Method in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29</w:t>
      </w:r>
      <w:r>
        <w:rPr>
          <w:rFonts w:ascii="Times New Roman" w:hAnsi="Times New Roman" w:cs="Times New Roman"/>
          <w:color w:val="222222"/>
          <w:sz w:val="24"/>
          <w:szCs w:val="24"/>
          <w:shd w:val="clear" w:color="auto" w:fill="FFFFFF"/>
        </w:rPr>
        <w:t>(1), 105-117.</w:t>
      </w:r>
    </w:p>
    <w:p w14:paraId="646DFB2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Simons, H., &amp; Usher, R. (2012). Introduction: Ethics in the practice of research. In </w:t>
      </w:r>
      <w:r>
        <w:rPr>
          <w:rFonts w:ascii="Times New Roman" w:hAnsi="Times New Roman" w:cs="Times New Roman"/>
          <w:i/>
          <w:iCs/>
          <w:color w:val="222222"/>
          <w:sz w:val="24"/>
          <w:szCs w:val="24"/>
          <w:shd w:val="clear" w:color="auto" w:fill="FFFFFF"/>
        </w:rPr>
        <w:t>Situated ethics in educational research</w:t>
      </w:r>
      <w:r>
        <w:rPr>
          <w:rFonts w:ascii="Times New Roman" w:hAnsi="Times New Roman" w:cs="Times New Roman"/>
          <w:color w:val="222222"/>
          <w:sz w:val="24"/>
          <w:szCs w:val="24"/>
          <w:shd w:val="clear" w:color="auto" w:fill="FFFFFF"/>
        </w:rPr>
        <w:t> (pp. 1-11). Routledge.</w:t>
      </w:r>
    </w:p>
    <w:p w14:paraId="6A4927A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Simons, H., &amp; Usher, R. (2012). </w:t>
      </w:r>
      <w:r>
        <w:rPr>
          <w:rFonts w:ascii="Times New Roman" w:hAnsi="Times New Roman" w:cs="Times New Roman"/>
          <w:i/>
          <w:iCs/>
          <w:color w:val="222222"/>
          <w:sz w:val="24"/>
          <w:szCs w:val="24"/>
          <w:shd w:val="clear" w:color="auto" w:fill="FFFFFF"/>
        </w:rPr>
        <w:t>Situated ethics in educational research</w:t>
      </w:r>
      <w:r>
        <w:rPr>
          <w:rFonts w:ascii="Times New Roman" w:hAnsi="Times New Roman" w:cs="Times New Roman"/>
          <w:color w:val="222222"/>
          <w:sz w:val="24"/>
          <w:szCs w:val="24"/>
          <w:shd w:val="clear" w:color="auto" w:fill="FFFFFF"/>
        </w:rPr>
        <w:t>. Routledge.</w:t>
      </w:r>
    </w:p>
    <w:p w14:paraId="1383817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79" w:name="_Hlk182121176"/>
      <w:r>
        <w:rPr>
          <w:rFonts w:ascii="Times New Roman" w:hAnsi="Times New Roman" w:cs="Times New Roman"/>
          <w:color w:val="222222"/>
          <w:sz w:val="24"/>
          <w:szCs w:val="24"/>
          <w:shd w:val="clear" w:color="auto" w:fill="FFFFFF"/>
        </w:rPr>
        <w:t xml:space="preserve">Simpson, B. (2018). </w:t>
      </w:r>
      <w:bookmarkEnd w:id="2479"/>
      <w:r>
        <w:rPr>
          <w:rFonts w:ascii="Times New Roman" w:hAnsi="Times New Roman" w:cs="Times New Roman"/>
          <w:color w:val="222222"/>
          <w:sz w:val="24"/>
          <w:szCs w:val="24"/>
          <w:shd w:val="clear" w:color="auto" w:fill="FFFFFF"/>
        </w:rPr>
        <w:t>Pragmatism: A philosophy of practice. </w:t>
      </w:r>
      <w:r>
        <w:rPr>
          <w:rFonts w:ascii="Times New Roman" w:hAnsi="Times New Roman" w:cs="Times New Roman"/>
          <w:i/>
          <w:iCs/>
          <w:color w:val="222222"/>
          <w:sz w:val="24"/>
          <w:szCs w:val="24"/>
          <w:shd w:val="clear" w:color="auto" w:fill="FFFFFF"/>
        </w:rPr>
        <w:t>The SAGE handbook of qualitative business and management research methods</w:t>
      </w:r>
      <w:r>
        <w:rPr>
          <w:rFonts w:ascii="Times New Roman" w:hAnsi="Times New Roman" w:cs="Times New Roman"/>
          <w:color w:val="222222"/>
          <w:sz w:val="24"/>
          <w:szCs w:val="24"/>
          <w:shd w:val="clear" w:color="auto" w:fill="FFFFFF"/>
        </w:rPr>
        <w:t>, 54-68.</w:t>
      </w:r>
    </w:p>
    <w:p w14:paraId="3709C05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Singh, J. (2012). From Information Skills for Learning to Media and Information Literacy. </w:t>
      </w:r>
      <w:r>
        <w:rPr>
          <w:rFonts w:ascii="Times New Roman" w:hAnsi="Times New Roman" w:cs="Times New Roman"/>
          <w:i/>
          <w:iCs/>
          <w:color w:val="222222"/>
          <w:sz w:val="24"/>
          <w:szCs w:val="24"/>
          <w:shd w:val="clear" w:color="auto" w:fill="FFFFFF"/>
        </w:rPr>
        <w:t>Media and Information Literacy for the Sustainable Development Goals</w:t>
      </w:r>
      <w:r>
        <w:rPr>
          <w:rFonts w:ascii="Times New Roman" w:hAnsi="Times New Roman" w:cs="Times New Roman"/>
          <w:color w:val="222222"/>
          <w:sz w:val="24"/>
          <w:szCs w:val="24"/>
          <w:shd w:val="clear" w:color="auto" w:fill="FFFFFF"/>
        </w:rPr>
        <w:t>, 49.</w:t>
      </w:r>
    </w:p>
    <w:p w14:paraId="0C249FD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80" w:name="_Hlk125990348"/>
      <w:r>
        <w:rPr>
          <w:rFonts w:ascii="Times New Roman" w:hAnsi="Times New Roman" w:cs="Times New Roman"/>
          <w:color w:val="222222"/>
          <w:sz w:val="24"/>
          <w:szCs w:val="24"/>
          <w:shd w:val="clear" w:color="auto" w:fill="FFFFFF"/>
        </w:rPr>
        <w:t>Singh, S. P., &amp; Pinki, H. (2009, October). New skills for LIS professionals in technology-intensive environment. In </w:t>
      </w:r>
      <w:r>
        <w:rPr>
          <w:rFonts w:ascii="Times New Roman" w:hAnsi="Times New Roman" w:cs="Times New Roman"/>
          <w:i/>
          <w:iCs/>
          <w:color w:val="222222"/>
          <w:sz w:val="24"/>
          <w:szCs w:val="24"/>
          <w:shd w:val="clear" w:color="auto" w:fill="FFFFFF"/>
        </w:rPr>
        <w:t>International Conference of Academic Library organized by University of Delhi, Delhi (India)</w:t>
      </w:r>
      <w:r>
        <w:rPr>
          <w:rFonts w:ascii="Times New Roman" w:hAnsi="Times New Roman" w:cs="Times New Roman"/>
          <w:color w:val="222222"/>
          <w:sz w:val="24"/>
          <w:szCs w:val="24"/>
          <w:shd w:val="clear" w:color="auto" w:fill="FFFFFF"/>
        </w:rPr>
        <w:t> (pp. 5-8).</w:t>
      </w:r>
    </w:p>
    <w:p w14:paraId="7415244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81" w:name="_Hlk182134122"/>
      <w:r>
        <w:rPr>
          <w:rFonts w:ascii="Times New Roman" w:hAnsi="Times New Roman" w:cs="Times New Roman"/>
          <w:color w:val="222222"/>
          <w:sz w:val="24"/>
          <w:szCs w:val="24"/>
          <w:shd w:val="clear" w:color="auto" w:fill="FFFFFF"/>
        </w:rPr>
        <w:t xml:space="preserve">Snyder, H. (2019). </w:t>
      </w:r>
      <w:bookmarkEnd w:id="2481"/>
      <w:r>
        <w:rPr>
          <w:rFonts w:ascii="Times New Roman" w:hAnsi="Times New Roman" w:cs="Times New Roman"/>
          <w:color w:val="222222"/>
          <w:sz w:val="24"/>
          <w:szCs w:val="24"/>
          <w:shd w:val="clear" w:color="auto" w:fill="FFFFFF"/>
        </w:rPr>
        <w:t>Literature review as a research methodology: An overview and guidelines. </w:t>
      </w:r>
      <w:r>
        <w:rPr>
          <w:rFonts w:ascii="Times New Roman" w:hAnsi="Times New Roman" w:cs="Times New Roman"/>
          <w:i/>
          <w:iCs/>
          <w:color w:val="222222"/>
          <w:sz w:val="24"/>
          <w:szCs w:val="24"/>
          <w:shd w:val="clear" w:color="auto" w:fill="FFFFFF"/>
        </w:rPr>
        <w:t>Journal of business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104</w:t>
      </w:r>
      <w:r>
        <w:rPr>
          <w:rFonts w:ascii="Times New Roman" w:hAnsi="Times New Roman" w:cs="Times New Roman"/>
          <w:color w:val="222222"/>
          <w:sz w:val="24"/>
          <w:szCs w:val="24"/>
          <w:shd w:val="clear" w:color="auto" w:fill="FFFFFF"/>
        </w:rPr>
        <w:t>, 333-339.</w:t>
      </w:r>
    </w:p>
    <w:p w14:paraId="6A1E30A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Somi, N. G., &amp; De Jager, K. (2005). The role of academic libraries in the enhancement of information literacy: a study of Fort Hare Library. </w:t>
      </w:r>
      <w:r>
        <w:rPr>
          <w:rFonts w:ascii="Times New Roman" w:hAnsi="Times New Roman" w:cs="Times New Roman"/>
          <w:i/>
          <w:iCs/>
          <w:color w:val="222222"/>
          <w:sz w:val="24"/>
          <w:szCs w:val="24"/>
          <w:shd w:val="clear" w:color="auto" w:fill="FFFFFF"/>
        </w:rPr>
        <w:t>South African journal of libraries and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71</w:t>
      </w:r>
      <w:r>
        <w:rPr>
          <w:rFonts w:ascii="Times New Roman" w:hAnsi="Times New Roman" w:cs="Times New Roman"/>
          <w:color w:val="222222"/>
          <w:sz w:val="24"/>
          <w:szCs w:val="24"/>
          <w:shd w:val="clear" w:color="auto" w:fill="FFFFFF"/>
        </w:rPr>
        <w:t>(3), 259-267.</w:t>
      </w:r>
    </w:p>
    <w:p w14:paraId="233C732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Soto, J. G., Anand, S., &amp; McGee, E. (2004). Plagiarism avoidance: An empirical study examining teaching strategies. </w:t>
      </w:r>
      <w:r>
        <w:rPr>
          <w:rFonts w:ascii="Times New Roman" w:hAnsi="Times New Roman" w:cs="Times New Roman"/>
          <w:i/>
          <w:iCs/>
          <w:color w:val="222222"/>
          <w:sz w:val="24"/>
          <w:szCs w:val="24"/>
          <w:shd w:val="clear" w:color="auto" w:fill="FFFFFF"/>
        </w:rPr>
        <w:t>Journal of College Science Teaching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33</w:t>
      </w:r>
      <w:r>
        <w:rPr>
          <w:rFonts w:ascii="Times New Roman" w:hAnsi="Times New Roman" w:cs="Times New Roman"/>
          <w:color w:val="222222"/>
          <w:sz w:val="24"/>
          <w:szCs w:val="24"/>
          <w:shd w:val="clear" w:color="auto" w:fill="FFFFFF"/>
        </w:rPr>
        <w:t>(7), 42-48.</w:t>
      </w:r>
    </w:p>
    <w:p w14:paraId="611B1AE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Srinivas, T., SRIDHAR, T., RAO, P. P., &amp; BABU, T. R. </w:t>
      </w:r>
      <w:r>
        <w:rPr>
          <w:rFonts w:ascii="Times New Roman" w:hAnsi="Times New Roman" w:cs="Times New Roman"/>
          <w:i/>
          <w:iCs/>
          <w:color w:val="222222"/>
          <w:sz w:val="24"/>
          <w:szCs w:val="24"/>
          <w:shd w:val="clear" w:color="auto" w:fill="FFFFFF"/>
        </w:rPr>
        <w:t xml:space="preserve">(2019): </w:t>
      </w:r>
      <w:r>
        <w:rPr>
          <w:rFonts w:ascii="Times New Roman" w:hAnsi="Times New Roman" w:cs="Times New Roman"/>
          <w:color w:val="222222"/>
          <w:sz w:val="24"/>
          <w:szCs w:val="24"/>
          <w:shd w:val="clear" w:color="auto" w:fill="FFFFFF"/>
        </w:rPr>
        <w:t>Information Communication Technologies in Agricultural Universities, Status and Scope. </w:t>
      </w:r>
      <w:r>
        <w:rPr>
          <w:rFonts w:ascii="Times New Roman" w:hAnsi="Times New Roman" w:cs="Times New Roman"/>
          <w:i/>
          <w:iCs/>
          <w:color w:val="222222"/>
          <w:sz w:val="24"/>
          <w:szCs w:val="24"/>
          <w:shd w:val="clear" w:color="auto" w:fill="FFFFFF"/>
        </w:rPr>
        <w:t>International Journal of Agricultural Science and Research (IJASR) 9.6 117</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126</w:t>
      </w:r>
      <w:r>
        <w:rPr>
          <w:rFonts w:ascii="Times New Roman" w:hAnsi="Times New Roman" w:cs="Times New Roman"/>
          <w:color w:val="222222"/>
          <w:sz w:val="24"/>
          <w:szCs w:val="24"/>
          <w:shd w:val="clear" w:color="auto" w:fill="FFFFFF"/>
        </w:rPr>
        <w:t>.</w:t>
      </w:r>
    </w:p>
    <w:p w14:paraId="67E4DBE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Stangor, C. (2011). </w:t>
      </w:r>
      <w:r>
        <w:rPr>
          <w:rFonts w:ascii="Times New Roman" w:hAnsi="Times New Roman" w:cs="Times New Roman"/>
          <w:i/>
          <w:iCs/>
          <w:color w:val="222222"/>
          <w:sz w:val="24"/>
          <w:szCs w:val="24"/>
          <w:shd w:val="clear" w:color="auto" w:fill="FFFFFF"/>
        </w:rPr>
        <w:t>Research methods for the behavior science</w:t>
      </w:r>
      <w:r>
        <w:rPr>
          <w:rFonts w:ascii="Times New Roman" w:hAnsi="Times New Roman" w:cs="Times New Roman"/>
          <w:color w:val="222222"/>
          <w:sz w:val="24"/>
          <w:szCs w:val="24"/>
          <w:shd w:val="clear" w:color="auto" w:fill="FFFFFF"/>
        </w:rPr>
        <w:t>. Cengage Learning.</w:t>
      </w:r>
    </w:p>
    <w:p w14:paraId="51D5E72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Stangor, C. (2014). </w:t>
      </w:r>
      <w:r>
        <w:rPr>
          <w:rFonts w:ascii="Times New Roman" w:hAnsi="Times New Roman" w:cs="Times New Roman"/>
          <w:i/>
          <w:iCs/>
          <w:color w:val="222222"/>
          <w:sz w:val="24"/>
          <w:szCs w:val="24"/>
          <w:shd w:val="clear" w:color="auto" w:fill="FFFFFF"/>
        </w:rPr>
        <w:t>Research methods for the behavioral sciences</w:t>
      </w:r>
      <w:r>
        <w:rPr>
          <w:rFonts w:ascii="Times New Roman" w:hAnsi="Times New Roman" w:cs="Times New Roman"/>
          <w:color w:val="222222"/>
          <w:sz w:val="24"/>
          <w:szCs w:val="24"/>
          <w:shd w:val="clear" w:color="auto" w:fill="FFFFFF"/>
        </w:rPr>
        <w:t>. Cengage Learning.</w:t>
      </w:r>
    </w:p>
    <w:p w14:paraId="16122ED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Starr, C. R. (2013). Considerations for open-source intelligence through the lens of information and communication technology.</w:t>
      </w:r>
    </w:p>
    <w:p w14:paraId="529AEBB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Steinert, K. (2014). Critical Thinking &amp; Information Literacy Across the Curriculum.</w:t>
      </w:r>
    </w:p>
    <w:p w14:paraId="1C523CA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Stephens, D., &amp; Hamblin, Y. (2006). Employability skills: are UK LIM departments meeting employment needs? The results of a survey of employment agencies identifies gaps in UK LIM curricula in the UK. </w:t>
      </w:r>
      <w:r>
        <w:rPr>
          <w:rFonts w:ascii="Times New Roman" w:hAnsi="Times New Roman" w:cs="Times New Roman"/>
          <w:i/>
          <w:iCs/>
          <w:color w:val="222222"/>
          <w:sz w:val="24"/>
          <w:szCs w:val="24"/>
          <w:shd w:val="clear" w:color="auto" w:fill="FFFFFF"/>
        </w:rPr>
        <w:t>New Library World</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107</w:t>
      </w:r>
      <w:r>
        <w:rPr>
          <w:rFonts w:ascii="Times New Roman" w:hAnsi="Times New Roman" w:cs="Times New Roman"/>
          <w:color w:val="222222"/>
          <w:sz w:val="24"/>
          <w:szCs w:val="24"/>
          <w:shd w:val="clear" w:color="auto" w:fill="FFFFFF"/>
        </w:rPr>
        <w:t>(5/6), 218-227.</w:t>
      </w:r>
    </w:p>
    <w:p w14:paraId="19EE873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82" w:name="_Hlk132107936"/>
      <w:r>
        <w:rPr>
          <w:rFonts w:ascii="Times New Roman" w:hAnsi="Times New Roman" w:cs="Times New Roman"/>
          <w:color w:val="222222"/>
          <w:sz w:val="24"/>
          <w:szCs w:val="24"/>
          <w:shd w:val="clear" w:color="auto" w:fill="FFFFFF"/>
        </w:rPr>
        <w:t xml:space="preserve">Stilwell, C. (2004). </w:t>
      </w:r>
      <w:bookmarkEnd w:id="2482"/>
      <w:r>
        <w:rPr>
          <w:rFonts w:ascii="Times New Roman" w:hAnsi="Times New Roman" w:cs="Times New Roman"/>
          <w:color w:val="222222"/>
          <w:sz w:val="24"/>
          <w:szCs w:val="24"/>
          <w:shd w:val="clear" w:color="auto" w:fill="FFFFFF"/>
        </w:rPr>
        <w:t>Alumni perceptions of a post graduate Information and Library Science Education programme at the University of Natal, South Africa. </w:t>
      </w:r>
      <w:r>
        <w:rPr>
          <w:rFonts w:ascii="Times New Roman" w:hAnsi="Times New Roman" w:cs="Times New Roman"/>
          <w:i/>
          <w:iCs/>
          <w:color w:val="222222"/>
          <w:sz w:val="24"/>
          <w:szCs w:val="24"/>
          <w:shd w:val="clear" w:color="auto" w:fill="FFFFFF"/>
        </w:rPr>
        <w:t>South African journal of libraries and information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70</w:t>
      </w:r>
      <w:r>
        <w:rPr>
          <w:rFonts w:ascii="Times New Roman" w:hAnsi="Times New Roman" w:cs="Times New Roman"/>
          <w:color w:val="222222"/>
          <w:sz w:val="24"/>
          <w:szCs w:val="24"/>
          <w:shd w:val="clear" w:color="auto" w:fill="FFFFFF"/>
        </w:rPr>
        <w:t>(1), 20-29.</w:t>
      </w:r>
    </w:p>
    <w:p w14:paraId="6EC66F6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Stuhr, J. J. (2015). </w:t>
      </w:r>
      <w:r>
        <w:rPr>
          <w:rFonts w:ascii="Times New Roman" w:hAnsi="Times New Roman" w:cs="Times New Roman"/>
          <w:i/>
          <w:color w:val="222222"/>
          <w:sz w:val="24"/>
          <w:szCs w:val="24"/>
          <w:shd w:val="clear" w:color="auto" w:fill="FFFFFF"/>
        </w:rPr>
        <w:t>Pragmatism, postmodernism and the future of philosophy</w:t>
      </w:r>
      <w:r>
        <w:rPr>
          <w:rFonts w:ascii="Times New Roman" w:hAnsi="Times New Roman" w:cs="Times New Roman"/>
          <w:color w:val="222222"/>
          <w:sz w:val="24"/>
          <w:szCs w:val="24"/>
          <w:shd w:val="clear" w:color="auto" w:fill="FFFFFF"/>
        </w:rPr>
        <w:t>. Routledge.</w:t>
      </w:r>
    </w:p>
    <w:p w14:paraId="4DAC5FCA" w14:textId="77777777" w:rsidR="00B01D46" w:rsidRDefault="0067013E">
      <w:pPr>
        <w:spacing w:line="24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Sturges, P., &amp; Gastinger, A. (2010). Information literacy as a human right.</w:t>
      </w:r>
    </w:p>
    <w:p w14:paraId="68E3AA0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Sun, A., Lim, E. P., &amp; Ng, W. K. (2002, November). Web classification using support vector machine. In </w:t>
      </w:r>
      <w:r>
        <w:rPr>
          <w:rFonts w:ascii="Times New Roman" w:hAnsi="Times New Roman" w:cs="Times New Roman"/>
          <w:i/>
          <w:iCs/>
          <w:color w:val="222222"/>
          <w:sz w:val="24"/>
          <w:szCs w:val="24"/>
          <w:shd w:val="clear" w:color="auto" w:fill="FFFFFF"/>
        </w:rPr>
        <w:t>Proceedings of the 4th international workshop on Web information and data management</w:t>
      </w:r>
      <w:r>
        <w:rPr>
          <w:rFonts w:ascii="Times New Roman" w:hAnsi="Times New Roman" w:cs="Times New Roman"/>
          <w:color w:val="222222"/>
          <w:sz w:val="24"/>
          <w:szCs w:val="24"/>
          <w:shd w:val="clear" w:color="auto" w:fill="FFFFFF"/>
        </w:rPr>
        <w:t> (pp. 96-99).</w:t>
      </w:r>
    </w:p>
    <w:p w14:paraId="00FE28E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83" w:name="_Hlk182131566"/>
      <w:r>
        <w:rPr>
          <w:rFonts w:ascii="Times New Roman" w:hAnsi="Times New Roman" w:cs="Times New Roman"/>
          <w:color w:val="222222"/>
          <w:sz w:val="24"/>
          <w:szCs w:val="24"/>
          <w:shd w:val="clear" w:color="auto" w:fill="FFFFFF"/>
        </w:rPr>
        <w:t>Sutton, S. W. (2011).</w:t>
      </w:r>
      <w:bookmarkEnd w:id="2483"/>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Identifying core competencies for electronic resources librarians in the twenty-first century library</w:t>
      </w:r>
      <w:r>
        <w:rPr>
          <w:rFonts w:ascii="Times New Roman" w:hAnsi="Times New Roman" w:cs="Times New Roman"/>
          <w:color w:val="222222"/>
          <w:sz w:val="24"/>
          <w:szCs w:val="24"/>
          <w:shd w:val="clear" w:color="auto" w:fill="FFFFFF"/>
        </w:rPr>
        <w:t>. Texas Woman's University.</w:t>
      </w:r>
    </w:p>
    <w:p w14:paraId="3175054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Sylvain, C. Leckie, G. J., &amp; Pettigrew, K. E., (1996). Modeling the information seeking of professionals: A general model derived from research on engineers, health care professionals, and lawyers. </w:t>
      </w:r>
      <w:r>
        <w:rPr>
          <w:rFonts w:ascii="Times New Roman" w:hAnsi="Times New Roman" w:cs="Times New Roman"/>
          <w:i/>
          <w:iCs/>
          <w:color w:val="222222"/>
          <w:sz w:val="24"/>
          <w:szCs w:val="24"/>
          <w:shd w:val="clear" w:color="auto" w:fill="FFFFFF"/>
        </w:rPr>
        <w:t>The Library Quarterly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66</w:t>
      </w:r>
      <w:r>
        <w:rPr>
          <w:rFonts w:ascii="Times New Roman" w:hAnsi="Times New Roman" w:cs="Times New Roman"/>
          <w:color w:val="222222"/>
          <w:sz w:val="24"/>
          <w:szCs w:val="24"/>
          <w:shd w:val="clear" w:color="auto" w:fill="FFFFFF"/>
        </w:rPr>
        <w:t>(2), 161-193.</w:t>
      </w:r>
    </w:p>
    <w:p w14:paraId="715783C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84" w:name="_Hlk131752367"/>
      <w:r>
        <w:rPr>
          <w:rFonts w:ascii="Times New Roman" w:hAnsi="Times New Roman" w:cs="Times New Roman"/>
          <w:color w:val="222222"/>
          <w:sz w:val="24"/>
          <w:szCs w:val="24"/>
          <w:shd w:val="clear" w:color="auto" w:fill="FFFFFF"/>
        </w:rPr>
        <w:t xml:space="preserve">Taras, M. (2005). </w:t>
      </w:r>
      <w:bookmarkEnd w:id="2484"/>
      <w:r>
        <w:rPr>
          <w:rFonts w:ascii="Times New Roman" w:hAnsi="Times New Roman" w:cs="Times New Roman"/>
          <w:color w:val="222222"/>
          <w:sz w:val="24"/>
          <w:szCs w:val="24"/>
          <w:shd w:val="clear" w:color="auto" w:fill="FFFFFF"/>
        </w:rPr>
        <w:t>Assessment–summative and formative–some theoretical reflections. </w:t>
      </w:r>
      <w:r>
        <w:rPr>
          <w:rFonts w:ascii="Times New Roman" w:hAnsi="Times New Roman" w:cs="Times New Roman"/>
          <w:i/>
          <w:iCs/>
          <w:color w:val="222222"/>
          <w:sz w:val="24"/>
          <w:szCs w:val="24"/>
          <w:shd w:val="clear" w:color="auto" w:fill="FFFFFF"/>
        </w:rPr>
        <w:t>British journal of educational studies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53</w:t>
      </w:r>
      <w:r>
        <w:rPr>
          <w:rFonts w:ascii="Times New Roman" w:hAnsi="Times New Roman" w:cs="Times New Roman"/>
          <w:color w:val="222222"/>
          <w:sz w:val="24"/>
          <w:szCs w:val="24"/>
          <w:shd w:val="clear" w:color="auto" w:fill="FFFFFF"/>
        </w:rPr>
        <w:t>(4), 466-478.</w:t>
      </w:r>
    </w:p>
    <w:p w14:paraId="4568381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Taylor, L. H. (2008). Information literacy in subject-specific vocabularies: A path to critical thinking. </w:t>
      </w:r>
      <w:r>
        <w:rPr>
          <w:rFonts w:ascii="Times New Roman" w:hAnsi="Times New Roman" w:cs="Times New Roman"/>
          <w:i/>
          <w:iCs/>
          <w:color w:val="222222"/>
          <w:sz w:val="24"/>
          <w:szCs w:val="24"/>
          <w:shd w:val="clear" w:color="auto" w:fill="FFFFFF"/>
        </w:rPr>
        <w:t>College &amp; Undergraduate Libraries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15</w:t>
      </w:r>
      <w:r>
        <w:rPr>
          <w:rFonts w:ascii="Times New Roman" w:hAnsi="Times New Roman" w:cs="Times New Roman"/>
          <w:color w:val="222222"/>
          <w:sz w:val="24"/>
          <w:szCs w:val="24"/>
          <w:shd w:val="clear" w:color="auto" w:fill="FFFFFF"/>
        </w:rPr>
        <w:t>(1-2), 141-158.</w:t>
      </w:r>
    </w:p>
    <w:p w14:paraId="4A3D6A4E"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Teddlie, C., &amp; Tashakkori, A. (2010). Overview of contemporary issues in mixed methods research. </w:t>
      </w:r>
      <w:r>
        <w:rPr>
          <w:rFonts w:ascii="Times New Roman" w:hAnsi="Times New Roman" w:cs="Times New Roman"/>
          <w:i/>
          <w:iCs/>
          <w:color w:val="222222"/>
          <w:sz w:val="24"/>
          <w:szCs w:val="24"/>
          <w:shd w:val="clear" w:color="auto" w:fill="FFFFFF"/>
        </w:rPr>
        <w:t>Sage handbook of mixed methods in social and behavioral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w:t>
      </w:r>
      <w:r>
        <w:rPr>
          <w:rFonts w:ascii="Times New Roman" w:hAnsi="Times New Roman" w:cs="Times New Roman"/>
          <w:color w:val="222222"/>
          <w:sz w:val="24"/>
          <w:szCs w:val="24"/>
          <w:shd w:val="clear" w:color="auto" w:fill="FFFFFF"/>
        </w:rPr>
        <w:t>, 1-44.</w:t>
      </w:r>
    </w:p>
    <w:p w14:paraId="31240DE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85" w:name="_Hlk126088139"/>
      <w:r>
        <w:rPr>
          <w:rFonts w:ascii="Times New Roman" w:hAnsi="Times New Roman" w:cs="Times New Roman"/>
          <w:color w:val="222222"/>
          <w:sz w:val="24"/>
          <w:szCs w:val="24"/>
          <w:shd w:val="clear" w:color="auto" w:fill="FFFFFF"/>
        </w:rPr>
        <w:t xml:space="preserve">Terrell, S. R. (2012). </w:t>
      </w:r>
      <w:bookmarkEnd w:id="2485"/>
      <w:r>
        <w:rPr>
          <w:rFonts w:ascii="Times New Roman" w:hAnsi="Times New Roman" w:cs="Times New Roman"/>
          <w:color w:val="222222"/>
          <w:sz w:val="24"/>
          <w:szCs w:val="24"/>
          <w:shd w:val="clear" w:color="auto" w:fill="FFFFFF"/>
        </w:rPr>
        <w:t>Mixed-methods research methodologies. </w:t>
      </w:r>
      <w:r>
        <w:rPr>
          <w:rFonts w:ascii="Times New Roman" w:hAnsi="Times New Roman" w:cs="Times New Roman"/>
          <w:i/>
          <w:iCs/>
          <w:color w:val="222222"/>
          <w:sz w:val="24"/>
          <w:szCs w:val="24"/>
          <w:shd w:val="clear" w:color="auto" w:fill="FFFFFF"/>
        </w:rPr>
        <w:t>Qualitative report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17</w:t>
      </w:r>
      <w:r>
        <w:rPr>
          <w:rFonts w:ascii="Times New Roman" w:hAnsi="Times New Roman" w:cs="Times New Roman"/>
          <w:color w:val="222222"/>
          <w:sz w:val="24"/>
          <w:szCs w:val="24"/>
          <w:shd w:val="clear" w:color="auto" w:fill="FFFFFF"/>
        </w:rPr>
        <w:t>(1), 254-280.</w:t>
      </w:r>
    </w:p>
    <w:p w14:paraId="4F36090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Tewell, E. (2015). A decade of critical information literacy: A review of the literature. </w:t>
      </w:r>
      <w:r>
        <w:rPr>
          <w:rFonts w:ascii="Times New Roman" w:hAnsi="Times New Roman" w:cs="Times New Roman"/>
          <w:i/>
          <w:iCs/>
          <w:color w:val="222222"/>
          <w:sz w:val="24"/>
          <w:szCs w:val="24"/>
          <w:shd w:val="clear" w:color="auto" w:fill="FFFFFF"/>
        </w:rPr>
        <w:t>Communications in information literacy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w:t>
      </w:r>
      <w:r>
        <w:rPr>
          <w:rFonts w:ascii="Times New Roman" w:hAnsi="Times New Roman" w:cs="Times New Roman"/>
          <w:color w:val="222222"/>
          <w:sz w:val="24"/>
          <w:szCs w:val="24"/>
          <w:shd w:val="clear" w:color="auto" w:fill="FFFFFF"/>
        </w:rPr>
        <w:t>(1), 2.</w:t>
      </w:r>
    </w:p>
    <w:p w14:paraId="6705D8B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Thirion, P., &amp; Pochet, B. (2009). Information literacy in students entering higher education in the French speaking community of Belgium: lessons learned from an evaluation. </w:t>
      </w:r>
      <w:r>
        <w:rPr>
          <w:rFonts w:ascii="Times New Roman" w:hAnsi="Times New Roman" w:cs="Times New Roman"/>
          <w:i/>
          <w:iCs/>
          <w:color w:val="222222"/>
          <w:sz w:val="24"/>
          <w:szCs w:val="24"/>
          <w:shd w:val="clear" w:color="auto" w:fill="FFFFFF"/>
        </w:rPr>
        <w:t>IFLA journal</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35</w:t>
      </w:r>
      <w:r>
        <w:rPr>
          <w:rFonts w:ascii="Times New Roman" w:hAnsi="Times New Roman" w:cs="Times New Roman"/>
          <w:color w:val="222222"/>
          <w:sz w:val="24"/>
          <w:szCs w:val="24"/>
          <w:shd w:val="clear" w:color="auto" w:fill="FFFFFF"/>
        </w:rPr>
        <w:t>(2), 152-170.</w:t>
      </w:r>
    </w:p>
    <w:p w14:paraId="6656D52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Thomas, N. P., Crow, S. R., Henning, J. A., &amp; Donham, J. (2020). </w:t>
      </w:r>
      <w:r>
        <w:rPr>
          <w:rFonts w:ascii="Times New Roman" w:hAnsi="Times New Roman" w:cs="Times New Roman"/>
          <w:i/>
          <w:iCs/>
          <w:color w:val="222222"/>
          <w:sz w:val="24"/>
          <w:szCs w:val="24"/>
          <w:shd w:val="clear" w:color="auto" w:fill="FFFFFF"/>
        </w:rPr>
        <w:t>Information literacy and information skills instruction: New directions for school libraries</w:t>
      </w:r>
      <w:r>
        <w:rPr>
          <w:rFonts w:ascii="Times New Roman" w:hAnsi="Times New Roman" w:cs="Times New Roman"/>
          <w:color w:val="222222"/>
          <w:sz w:val="24"/>
          <w:szCs w:val="24"/>
          <w:shd w:val="clear" w:color="auto" w:fill="FFFFFF"/>
        </w:rPr>
        <w:t>. ABC-CLIO.</w:t>
      </w:r>
    </w:p>
    <w:p w14:paraId="2C3BB3E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Thomson, O. P., &amp; Stew, G. (2012). Ready for a paradigm shift? Part 2: Introducing qualitative research methodologies and methods. </w:t>
      </w:r>
      <w:r>
        <w:rPr>
          <w:rFonts w:ascii="Times New Roman" w:hAnsi="Times New Roman" w:cs="Times New Roman"/>
          <w:i/>
          <w:iCs/>
          <w:color w:val="222222"/>
          <w:sz w:val="24"/>
          <w:szCs w:val="24"/>
          <w:shd w:val="clear" w:color="auto" w:fill="FFFFFF"/>
        </w:rPr>
        <w:t>Manual therapy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17</w:t>
      </w:r>
      <w:r>
        <w:rPr>
          <w:rFonts w:ascii="Times New Roman" w:hAnsi="Times New Roman" w:cs="Times New Roman"/>
          <w:color w:val="222222"/>
          <w:sz w:val="24"/>
          <w:szCs w:val="24"/>
          <w:shd w:val="clear" w:color="auto" w:fill="FFFFFF"/>
        </w:rPr>
        <w:t>(5), 378-384.</w:t>
      </w:r>
    </w:p>
    <w:p w14:paraId="09724984" w14:textId="77777777" w:rsidR="00B01D46" w:rsidRDefault="0067013E">
      <w:pPr>
        <w:spacing w:line="24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Þórarinsdóttir, Þ. T. Information literacy and its importance for the information and knowledge society.</w:t>
      </w:r>
    </w:p>
    <w:p w14:paraId="007B0C3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Thurmond, V. A. (2001). The point of triangulation. </w:t>
      </w:r>
      <w:r>
        <w:rPr>
          <w:rFonts w:ascii="Times New Roman" w:hAnsi="Times New Roman" w:cs="Times New Roman"/>
          <w:i/>
          <w:iCs/>
          <w:color w:val="222222"/>
          <w:sz w:val="24"/>
          <w:szCs w:val="24"/>
          <w:shd w:val="clear" w:color="auto" w:fill="FFFFFF"/>
        </w:rPr>
        <w:t>Journal of nursing scholarship</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33</w:t>
      </w:r>
      <w:r>
        <w:rPr>
          <w:rFonts w:ascii="Times New Roman" w:hAnsi="Times New Roman" w:cs="Times New Roman"/>
          <w:color w:val="222222"/>
          <w:sz w:val="24"/>
          <w:szCs w:val="24"/>
          <w:shd w:val="clear" w:color="auto" w:fill="FFFFFF"/>
        </w:rPr>
        <w:t>(3), 253-258.</w:t>
      </w:r>
    </w:p>
    <w:p w14:paraId="0B8F995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Tight, M. (2010). The curious case of case study: A viewpoint. </w:t>
      </w:r>
      <w:r>
        <w:rPr>
          <w:rFonts w:ascii="Times New Roman" w:hAnsi="Times New Roman" w:cs="Times New Roman"/>
          <w:i/>
          <w:iCs/>
          <w:color w:val="222222"/>
          <w:sz w:val="24"/>
          <w:szCs w:val="24"/>
          <w:shd w:val="clear" w:color="auto" w:fill="FFFFFF"/>
        </w:rPr>
        <w:t>International journal of social research methodology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13</w:t>
      </w:r>
      <w:r>
        <w:rPr>
          <w:rFonts w:ascii="Times New Roman" w:hAnsi="Times New Roman" w:cs="Times New Roman"/>
          <w:color w:val="222222"/>
          <w:sz w:val="24"/>
          <w:szCs w:val="24"/>
          <w:shd w:val="clear" w:color="auto" w:fill="FFFFFF"/>
        </w:rPr>
        <w:t>(4), 329-339.</w:t>
      </w:r>
    </w:p>
    <w:p w14:paraId="1EFA0A1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86" w:name="_Hlk182133432"/>
      <w:r>
        <w:rPr>
          <w:rFonts w:ascii="Times New Roman" w:hAnsi="Times New Roman" w:cs="Times New Roman"/>
          <w:color w:val="222222"/>
          <w:sz w:val="24"/>
          <w:szCs w:val="24"/>
          <w:shd w:val="clear" w:color="auto" w:fill="FFFFFF"/>
        </w:rPr>
        <w:t>Tilvawala</w:t>
      </w:r>
      <w:bookmarkEnd w:id="2486"/>
      <w:r>
        <w:rPr>
          <w:rFonts w:ascii="Times New Roman" w:hAnsi="Times New Roman" w:cs="Times New Roman"/>
          <w:color w:val="222222"/>
          <w:sz w:val="24"/>
          <w:szCs w:val="24"/>
          <w:shd w:val="clear" w:color="auto" w:fill="FFFFFF"/>
        </w:rPr>
        <w:t>, K., Myers, M. D., &amp; Andrade, A. D. (2019). Information literacy in Kenya. </w:t>
      </w:r>
      <w:r>
        <w:rPr>
          <w:rFonts w:ascii="Times New Roman" w:hAnsi="Times New Roman" w:cs="Times New Roman"/>
          <w:i/>
          <w:iCs/>
          <w:color w:val="222222"/>
          <w:sz w:val="24"/>
          <w:szCs w:val="24"/>
          <w:shd w:val="clear" w:color="auto" w:fill="FFFFFF"/>
        </w:rPr>
        <w:t>The Electronic Journal of Information Systems in Developing Countries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39</w:t>
      </w:r>
      <w:r>
        <w:rPr>
          <w:rFonts w:ascii="Times New Roman" w:hAnsi="Times New Roman" w:cs="Times New Roman"/>
          <w:color w:val="222222"/>
          <w:sz w:val="24"/>
          <w:szCs w:val="24"/>
          <w:shd w:val="clear" w:color="auto" w:fill="FFFFFF"/>
        </w:rPr>
        <w:t>(1), 1-11.</w:t>
      </w:r>
    </w:p>
    <w:p w14:paraId="7961691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Tobin, G. A., &amp; Begley, C. M. (2004). Methodological rigour within a qualitative framework. </w:t>
      </w:r>
      <w:r>
        <w:rPr>
          <w:rFonts w:ascii="Times New Roman" w:hAnsi="Times New Roman" w:cs="Times New Roman"/>
          <w:i/>
          <w:iCs/>
          <w:color w:val="222222"/>
          <w:sz w:val="24"/>
          <w:szCs w:val="24"/>
          <w:shd w:val="clear" w:color="auto" w:fill="FFFFFF"/>
        </w:rPr>
        <w:t>Journal of advanced nursing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48</w:t>
      </w:r>
      <w:r>
        <w:rPr>
          <w:rFonts w:ascii="Times New Roman" w:hAnsi="Times New Roman" w:cs="Times New Roman"/>
          <w:color w:val="222222"/>
          <w:sz w:val="24"/>
          <w:szCs w:val="24"/>
          <w:shd w:val="clear" w:color="auto" w:fill="FFFFFF"/>
        </w:rPr>
        <w:t>(4), 388-396.</w:t>
      </w:r>
    </w:p>
    <w:p w14:paraId="29093B9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Todd, A. W., Lewis-Palmer, T., Irvin, L. K., Sugai, G., &amp; Boland, J. B. (2004). The school-wide evaluation tool (SET) a research instrument for assessing school-wide positive behavior support. </w:t>
      </w:r>
      <w:r>
        <w:rPr>
          <w:rFonts w:ascii="Times New Roman" w:hAnsi="Times New Roman" w:cs="Times New Roman"/>
          <w:i/>
          <w:iCs/>
          <w:color w:val="222222"/>
          <w:sz w:val="24"/>
          <w:szCs w:val="24"/>
          <w:shd w:val="clear" w:color="auto" w:fill="FFFFFF"/>
        </w:rPr>
        <w:t>Journal of Positive Behavior Interventions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(1), 3-12.</w:t>
      </w:r>
    </w:p>
    <w:p w14:paraId="623FA96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Toohey, S. (1999). </w:t>
      </w:r>
      <w:r>
        <w:rPr>
          <w:rFonts w:ascii="Times New Roman" w:hAnsi="Times New Roman" w:cs="Times New Roman"/>
          <w:i/>
          <w:iCs/>
          <w:color w:val="222222"/>
          <w:sz w:val="24"/>
          <w:szCs w:val="24"/>
          <w:shd w:val="clear" w:color="auto" w:fill="FFFFFF"/>
        </w:rPr>
        <w:t>Designing courses for higher education</w:t>
      </w:r>
      <w:r>
        <w:rPr>
          <w:rFonts w:ascii="Times New Roman" w:hAnsi="Times New Roman" w:cs="Times New Roman"/>
          <w:color w:val="222222"/>
          <w:sz w:val="24"/>
          <w:szCs w:val="24"/>
          <w:shd w:val="clear" w:color="auto" w:fill="FFFFFF"/>
        </w:rPr>
        <w:t>. McGraw-hill education (UK).</w:t>
      </w:r>
    </w:p>
    <w:p w14:paraId="3F52D24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Torraco, R. J. (2016). Writing integrative literature reviews: Using the past and present to explore the future. </w:t>
      </w:r>
      <w:r>
        <w:rPr>
          <w:rFonts w:ascii="Times New Roman" w:hAnsi="Times New Roman" w:cs="Times New Roman"/>
          <w:i/>
          <w:iCs/>
          <w:color w:val="222222"/>
          <w:sz w:val="24"/>
          <w:szCs w:val="24"/>
          <w:shd w:val="clear" w:color="auto" w:fill="FFFFFF"/>
        </w:rPr>
        <w:t>Human resource development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15</w:t>
      </w:r>
      <w:r>
        <w:rPr>
          <w:rFonts w:ascii="Times New Roman" w:hAnsi="Times New Roman" w:cs="Times New Roman"/>
          <w:color w:val="222222"/>
          <w:sz w:val="24"/>
          <w:szCs w:val="24"/>
          <w:shd w:val="clear" w:color="auto" w:fill="FFFFFF"/>
        </w:rPr>
        <w:t>(4), 404-428.</w:t>
      </w:r>
    </w:p>
    <w:p w14:paraId="675A8D7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Tunde, B. M., Duyilemi, A. N., &amp; Lois, L. O. A. (2018). Cohabitation in Nigeria Tertiary Institutions: A Case Study of Adekunle Ajasin University, Akungba-Akoko, Ondo State Nigeria. </w:t>
      </w:r>
      <w:r>
        <w:rPr>
          <w:rFonts w:ascii="Times New Roman" w:hAnsi="Times New Roman" w:cs="Times New Roman"/>
          <w:i/>
          <w:iCs/>
          <w:color w:val="222222"/>
          <w:sz w:val="24"/>
          <w:szCs w:val="24"/>
          <w:shd w:val="clear" w:color="auto" w:fill="FFFFFF"/>
        </w:rPr>
        <w:t>International Journal of Social Sciences &amp; Humanities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w:t>
      </w:r>
      <w:r>
        <w:rPr>
          <w:rFonts w:ascii="Times New Roman" w:hAnsi="Times New Roman" w:cs="Times New Roman"/>
          <w:color w:val="222222"/>
          <w:sz w:val="24"/>
          <w:szCs w:val="24"/>
          <w:shd w:val="clear" w:color="auto" w:fill="FFFFFF"/>
        </w:rPr>
        <w:t>(1).</w:t>
      </w:r>
    </w:p>
    <w:p w14:paraId="17F10E1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Uhegbu, A. N. (2001). Deterrents to information service for community development. </w:t>
      </w:r>
      <w:r>
        <w:rPr>
          <w:rFonts w:ascii="Times New Roman" w:hAnsi="Times New Roman" w:cs="Times New Roman"/>
          <w:i/>
          <w:iCs/>
          <w:color w:val="222222"/>
          <w:sz w:val="24"/>
          <w:szCs w:val="24"/>
          <w:shd w:val="clear" w:color="auto" w:fill="FFFFFF"/>
        </w:rPr>
        <w:t>Library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50</w:t>
      </w:r>
      <w:r>
        <w:rPr>
          <w:rFonts w:ascii="Times New Roman" w:hAnsi="Times New Roman" w:cs="Times New Roman"/>
          <w:color w:val="222222"/>
          <w:sz w:val="24"/>
          <w:szCs w:val="24"/>
          <w:shd w:val="clear" w:color="auto" w:fill="FFFFFF"/>
        </w:rPr>
        <w:t>(5), 237-242.</w:t>
      </w:r>
    </w:p>
    <w:p w14:paraId="15B6E46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Ulin, P. R., Mack, N., Robinson, E. T., Tolley, E. E., &amp; Succop, S. M. (2016). </w:t>
      </w:r>
      <w:r>
        <w:rPr>
          <w:rFonts w:ascii="Times New Roman" w:hAnsi="Times New Roman" w:cs="Times New Roman"/>
          <w:i/>
          <w:iCs/>
          <w:color w:val="222222"/>
          <w:sz w:val="24"/>
          <w:szCs w:val="24"/>
          <w:shd w:val="clear" w:color="auto" w:fill="FFFFFF"/>
        </w:rPr>
        <w:t>Qualitative methods in public health: a field guide for applied research</w:t>
      </w:r>
      <w:r>
        <w:rPr>
          <w:rFonts w:ascii="Times New Roman" w:hAnsi="Times New Roman" w:cs="Times New Roman"/>
          <w:color w:val="222222"/>
          <w:sz w:val="24"/>
          <w:szCs w:val="24"/>
          <w:shd w:val="clear" w:color="auto" w:fill="FFFFFF"/>
        </w:rPr>
        <w:t>. John Wiley &amp; Sons.</w:t>
      </w:r>
    </w:p>
    <w:p w14:paraId="2465C91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Ulin, S. S., &amp; Armstrong, T. J. Gell, N., Werner, R. A., Franzblau, A., (2002). A longitudinal study of industrial and clerical workers: incidence of carpal tunnel syndrome and assessment of risk factors. </w:t>
      </w:r>
      <w:r>
        <w:rPr>
          <w:rFonts w:ascii="Times New Roman" w:hAnsi="Times New Roman" w:cs="Times New Roman"/>
          <w:i/>
          <w:iCs/>
          <w:color w:val="222222"/>
          <w:sz w:val="24"/>
          <w:szCs w:val="24"/>
          <w:shd w:val="clear" w:color="auto" w:fill="FFFFFF"/>
        </w:rPr>
        <w:t>Journal of occupational rehabilitation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15</w:t>
      </w:r>
      <w:r>
        <w:rPr>
          <w:rFonts w:ascii="Times New Roman" w:hAnsi="Times New Roman" w:cs="Times New Roman"/>
          <w:color w:val="222222"/>
          <w:sz w:val="24"/>
          <w:szCs w:val="24"/>
          <w:shd w:val="clear" w:color="auto" w:fill="FFFFFF"/>
        </w:rPr>
        <w:t>, 47-55.</w:t>
      </w:r>
    </w:p>
    <w:p w14:paraId="6FDF761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87" w:name="_Hlk182141232"/>
      <w:r>
        <w:rPr>
          <w:rFonts w:ascii="Times New Roman" w:hAnsi="Times New Roman" w:cs="Times New Roman"/>
          <w:color w:val="222222"/>
          <w:sz w:val="24"/>
          <w:szCs w:val="24"/>
          <w:shd w:val="clear" w:color="auto" w:fill="FFFFFF"/>
        </w:rPr>
        <w:t xml:space="preserve">Uwakwe, B. S., Onyeneke, C. O., &amp; Njoku, I. N. (2016). </w:t>
      </w:r>
      <w:bookmarkEnd w:id="2487"/>
      <w:r>
        <w:rPr>
          <w:rFonts w:ascii="Times New Roman" w:hAnsi="Times New Roman" w:cs="Times New Roman"/>
          <w:color w:val="222222"/>
          <w:sz w:val="24"/>
          <w:szCs w:val="24"/>
          <w:shd w:val="clear" w:color="auto" w:fill="FFFFFF"/>
        </w:rPr>
        <w:t>Effect of user education on law students’ use of the library: A case of the faculty of law library, Imo state university, Owerri, Nigeria. </w:t>
      </w:r>
      <w:r>
        <w:rPr>
          <w:rFonts w:ascii="Times New Roman" w:hAnsi="Times New Roman" w:cs="Times New Roman"/>
          <w:i/>
          <w:iCs/>
          <w:color w:val="222222"/>
          <w:sz w:val="24"/>
          <w:szCs w:val="24"/>
          <w:shd w:val="clear" w:color="auto" w:fill="FFFFFF"/>
        </w:rPr>
        <w:t>Information Impact: Journal of Information and Knowledge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(1), 70-85.</w:t>
      </w:r>
    </w:p>
    <w:p w14:paraId="6AC2B6FC" w14:textId="77777777" w:rsidR="00B01D46" w:rsidRDefault="0067013E">
      <w:pPr>
        <w:spacing w:after="0"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AF2BEF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Uwakwe, K. A., Anyanwagu, U. C., Ibiok, N. C., Azuogu, B. N., &amp; Ekeke, N. (2016). Specialty preferences among final year medical students in medical schools of southeast Nigeria: need for career guidance. </w:t>
      </w:r>
      <w:r>
        <w:rPr>
          <w:rFonts w:ascii="Times New Roman" w:hAnsi="Times New Roman" w:cs="Times New Roman"/>
          <w:i/>
          <w:iCs/>
          <w:color w:val="222222"/>
          <w:sz w:val="24"/>
          <w:szCs w:val="24"/>
          <w:shd w:val="clear" w:color="auto" w:fill="FFFFFF"/>
        </w:rPr>
        <w:t>BMC medical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16</w:t>
      </w:r>
      <w:r>
        <w:rPr>
          <w:rFonts w:ascii="Times New Roman" w:hAnsi="Times New Roman" w:cs="Times New Roman"/>
          <w:color w:val="222222"/>
          <w:sz w:val="24"/>
          <w:szCs w:val="24"/>
          <w:shd w:val="clear" w:color="auto" w:fill="FFFFFF"/>
        </w:rPr>
        <w:t>(1), 1-8.</w:t>
      </w:r>
    </w:p>
    <w:p w14:paraId="5D95906D"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Uwakwe, O. (2015). Students, Internet Use and Information Dissemination in Nigeria: Towards the New Media. </w:t>
      </w:r>
      <w:r>
        <w:rPr>
          <w:rFonts w:ascii="Times New Roman" w:hAnsi="Times New Roman" w:cs="Times New Roman"/>
          <w:i/>
          <w:iCs/>
          <w:color w:val="222222"/>
          <w:sz w:val="24"/>
          <w:szCs w:val="24"/>
          <w:shd w:val="clear" w:color="auto" w:fill="FFFFFF"/>
        </w:rPr>
        <w:t>Communication Panorama African and Global Perspectives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w:t>
      </w:r>
      <w:r>
        <w:rPr>
          <w:rFonts w:ascii="Times New Roman" w:hAnsi="Times New Roman" w:cs="Times New Roman"/>
          <w:color w:val="222222"/>
          <w:sz w:val="24"/>
          <w:szCs w:val="24"/>
          <w:shd w:val="clear" w:color="auto" w:fill="FFFFFF"/>
        </w:rPr>
        <w:t>(1).</w:t>
      </w:r>
    </w:p>
    <w:p w14:paraId="4DD29F5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Vainiomäki, J., &amp; Laaksonen, S. (1995). Inter-industry wage differentials in Finland: evidence from longitudinal census data for 1975–85. </w:t>
      </w:r>
      <w:r>
        <w:rPr>
          <w:rFonts w:ascii="Times New Roman" w:hAnsi="Times New Roman" w:cs="Times New Roman"/>
          <w:i/>
          <w:iCs/>
          <w:color w:val="222222"/>
          <w:sz w:val="24"/>
          <w:szCs w:val="24"/>
          <w:shd w:val="clear" w:color="auto" w:fill="FFFFFF"/>
        </w:rPr>
        <w:t>Labour Economics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w:t>
      </w:r>
      <w:r>
        <w:rPr>
          <w:rFonts w:ascii="Times New Roman" w:hAnsi="Times New Roman" w:cs="Times New Roman"/>
          <w:color w:val="222222"/>
          <w:sz w:val="24"/>
          <w:szCs w:val="24"/>
          <w:shd w:val="clear" w:color="auto" w:fill="FFFFFF"/>
        </w:rPr>
        <w:t>(2), 161-173.</w:t>
      </w:r>
    </w:p>
    <w:p w14:paraId="2438464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Vainiomäki, P., Björkelund, C., Larsen, J. H., &amp; Källkvist, A. (1995). General medicine in Scandinavian basic and continuing education. Learning for life--or living to learn. </w:t>
      </w:r>
      <w:r>
        <w:rPr>
          <w:rFonts w:ascii="Times New Roman" w:hAnsi="Times New Roman" w:cs="Times New Roman"/>
          <w:i/>
          <w:iCs/>
          <w:color w:val="222222"/>
          <w:sz w:val="24"/>
          <w:szCs w:val="24"/>
          <w:shd w:val="clear" w:color="auto" w:fill="FFFFFF"/>
        </w:rPr>
        <w:t>Nordisk Medicin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110</w:t>
      </w:r>
      <w:r>
        <w:rPr>
          <w:rFonts w:ascii="Times New Roman" w:hAnsi="Times New Roman" w:cs="Times New Roman"/>
          <w:color w:val="222222"/>
          <w:sz w:val="24"/>
          <w:szCs w:val="24"/>
          <w:shd w:val="clear" w:color="auto" w:fill="FFFFFF"/>
        </w:rPr>
        <w:t>(12), 325-9.</w:t>
      </w:r>
    </w:p>
    <w:p w14:paraId="1DEC813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Vakkari, P. (1999). Task complexity, problem structure and information actions: Integrating studies on information seeking and retrieval. </w:t>
      </w:r>
      <w:r>
        <w:rPr>
          <w:rFonts w:ascii="Times New Roman" w:hAnsi="Times New Roman" w:cs="Times New Roman"/>
          <w:i/>
          <w:iCs/>
          <w:color w:val="222222"/>
          <w:sz w:val="24"/>
          <w:szCs w:val="24"/>
          <w:shd w:val="clear" w:color="auto" w:fill="FFFFFF"/>
        </w:rPr>
        <w:t>Information processing &amp;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35</w:t>
      </w:r>
      <w:r>
        <w:rPr>
          <w:rFonts w:ascii="Times New Roman" w:hAnsi="Times New Roman" w:cs="Times New Roman"/>
          <w:color w:val="222222"/>
          <w:sz w:val="24"/>
          <w:szCs w:val="24"/>
          <w:shd w:val="clear" w:color="auto" w:fill="FFFFFF"/>
        </w:rPr>
        <w:t>(6), 819-837.</w:t>
      </w:r>
    </w:p>
    <w:p w14:paraId="1526AF2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88" w:name="_Hlk182134023"/>
      <w:r>
        <w:rPr>
          <w:rFonts w:ascii="Times New Roman" w:hAnsi="Times New Roman" w:cs="Times New Roman"/>
          <w:color w:val="222222"/>
          <w:sz w:val="24"/>
          <w:szCs w:val="24"/>
          <w:shd w:val="clear" w:color="auto" w:fill="FFFFFF"/>
        </w:rPr>
        <w:t>Van Lange Paul</w:t>
      </w:r>
      <w:bookmarkEnd w:id="2488"/>
      <w:r>
        <w:rPr>
          <w:rFonts w:ascii="Times New Roman" w:hAnsi="Times New Roman" w:cs="Times New Roman"/>
          <w:color w:val="222222"/>
          <w:sz w:val="24"/>
          <w:szCs w:val="24"/>
          <w:shd w:val="clear" w:color="auto" w:fill="FFFFFF"/>
        </w:rPr>
        <w:t>, A. M., Liebrand, W. B., &amp; AM, W. H. (2015). Introduction and literature review. </w:t>
      </w:r>
      <w:r>
        <w:rPr>
          <w:rFonts w:ascii="Times New Roman" w:hAnsi="Times New Roman" w:cs="Times New Roman"/>
          <w:i/>
          <w:iCs/>
          <w:color w:val="222222"/>
          <w:sz w:val="24"/>
          <w:szCs w:val="24"/>
          <w:shd w:val="clear" w:color="auto" w:fill="FFFFFF"/>
        </w:rPr>
        <w:t>Social dilemmas</w:t>
      </w:r>
      <w:r>
        <w:rPr>
          <w:rFonts w:ascii="Times New Roman" w:hAnsi="Times New Roman" w:cs="Times New Roman"/>
          <w:color w:val="222222"/>
          <w:sz w:val="24"/>
          <w:szCs w:val="24"/>
          <w:shd w:val="clear" w:color="auto" w:fill="FFFFFF"/>
        </w:rPr>
        <w:t>, 3-28.</w:t>
      </w:r>
    </w:p>
    <w:p w14:paraId="081ACC5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89" w:name="_Hlk182142898"/>
      <w:r>
        <w:rPr>
          <w:rFonts w:ascii="Times New Roman" w:hAnsi="Times New Roman" w:cs="Times New Roman"/>
          <w:color w:val="222222"/>
          <w:sz w:val="24"/>
          <w:szCs w:val="24"/>
          <w:shd w:val="clear" w:color="auto" w:fill="FFFFFF"/>
        </w:rPr>
        <w:t>Veach, G. (Ed.). (2018). </w:t>
      </w:r>
      <w:bookmarkEnd w:id="2489"/>
      <w:r>
        <w:rPr>
          <w:rFonts w:ascii="Times New Roman" w:hAnsi="Times New Roman" w:cs="Times New Roman"/>
          <w:i/>
          <w:iCs/>
          <w:color w:val="222222"/>
          <w:sz w:val="24"/>
          <w:szCs w:val="24"/>
          <w:shd w:val="clear" w:color="auto" w:fill="FFFFFF"/>
        </w:rPr>
        <w:t>Teaching Information Literacy and Writing Studies: Volume 1, First-Year Composition Courses</w:t>
      </w:r>
      <w:r>
        <w:rPr>
          <w:rFonts w:ascii="Times New Roman" w:hAnsi="Times New Roman" w:cs="Times New Roman"/>
          <w:color w:val="222222"/>
          <w:sz w:val="24"/>
          <w:szCs w:val="24"/>
          <w:shd w:val="clear" w:color="auto" w:fill="FFFFFF"/>
        </w:rPr>
        <w:t>. Purdue University Press.</w:t>
      </w:r>
    </w:p>
    <w:p w14:paraId="071D85D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Virkus, S. (2003). Information literacy in Europe: a literature. </w:t>
      </w:r>
      <w:r>
        <w:rPr>
          <w:rFonts w:ascii="Times New Roman" w:hAnsi="Times New Roman" w:cs="Times New Roman"/>
          <w:i/>
          <w:iCs/>
          <w:color w:val="222222"/>
          <w:sz w:val="24"/>
          <w:szCs w:val="24"/>
          <w:shd w:val="clear" w:color="auto" w:fill="FFFFFF"/>
        </w:rPr>
        <w:t>Inf. Res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8</w:t>
      </w:r>
      <w:r>
        <w:rPr>
          <w:rFonts w:ascii="Times New Roman" w:hAnsi="Times New Roman" w:cs="Times New Roman"/>
          <w:color w:val="222222"/>
          <w:sz w:val="24"/>
          <w:szCs w:val="24"/>
          <w:shd w:val="clear" w:color="auto" w:fill="FFFFFF"/>
        </w:rPr>
        <w:t>(4), 1-56.</w:t>
      </w:r>
    </w:p>
    <w:p w14:paraId="12A43BF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Waite, S. (2004). Tools for the job: a report of two surveys of information and communications technology training and use for literacy in primary schools in the West of England. </w:t>
      </w:r>
      <w:r>
        <w:rPr>
          <w:rFonts w:ascii="Times New Roman" w:hAnsi="Times New Roman" w:cs="Times New Roman"/>
          <w:i/>
          <w:iCs/>
          <w:color w:val="222222"/>
          <w:sz w:val="24"/>
          <w:szCs w:val="24"/>
          <w:shd w:val="clear" w:color="auto" w:fill="FFFFFF"/>
        </w:rPr>
        <w:t>Journal of Computer Assisted Learning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20</w:t>
      </w:r>
      <w:r>
        <w:rPr>
          <w:rFonts w:ascii="Times New Roman" w:hAnsi="Times New Roman" w:cs="Times New Roman"/>
          <w:color w:val="222222"/>
          <w:sz w:val="24"/>
          <w:szCs w:val="24"/>
          <w:shd w:val="clear" w:color="auto" w:fill="FFFFFF"/>
        </w:rPr>
        <w:t>(1), 11-20.</w:t>
      </w:r>
    </w:p>
    <w:p w14:paraId="419DF2D6"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90" w:name="_Hlk125994521"/>
      <w:r>
        <w:rPr>
          <w:rFonts w:ascii="Times New Roman" w:hAnsi="Times New Roman" w:cs="Times New Roman"/>
          <w:color w:val="222222"/>
          <w:sz w:val="24"/>
          <w:szCs w:val="24"/>
          <w:shd w:val="clear" w:color="auto" w:fill="FFFFFF"/>
        </w:rPr>
        <w:t>Wallace, M. C., Shorten, A., &amp; Crookes, P. A. (2000)</w:t>
      </w:r>
      <w:bookmarkEnd w:id="2490"/>
      <w:r>
        <w:rPr>
          <w:rFonts w:ascii="Times New Roman" w:hAnsi="Times New Roman" w:cs="Times New Roman"/>
          <w:color w:val="222222"/>
          <w:sz w:val="24"/>
          <w:szCs w:val="24"/>
          <w:shd w:val="clear" w:color="auto" w:fill="FFFFFF"/>
        </w:rPr>
        <w:t>. Teaching information literacy skills: an evaluation. </w:t>
      </w:r>
      <w:r>
        <w:rPr>
          <w:rFonts w:ascii="Times New Roman" w:hAnsi="Times New Roman" w:cs="Times New Roman"/>
          <w:i/>
          <w:iCs/>
          <w:color w:val="222222"/>
          <w:sz w:val="24"/>
          <w:szCs w:val="24"/>
          <w:shd w:val="clear" w:color="auto" w:fill="FFFFFF"/>
        </w:rPr>
        <w:t>Nurse education today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20</w:t>
      </w:r>
      <w:r>
        <w:rPr>
          <w:rFonts w:ascii="Times New Roman" w:hAnsi="Times New Roman" w:cs="Times New Roman"/>
          <w:color w:val="222222"/>
          <w:sz w:val="24"/>
          <w:szCs w:val="24"/>
          <w:shd w:val="clear" w:color="auto" w:fill="FFFFFF"/>
        </w:rPr>
        <w:t>(6), 485-489.</w:t>
      </w:r>
    </w:p>
    <w:p w14:paraId="6379CFB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91" w:name="_Hlk182146343"/>
      <w:bookmarkEnd w:id="2480"/>
      <w:r>
        <w:rPr>
          <w:rFonts w:ascii="Times New Roman" w:hAnsi="Times New Roman" w:cs="Times New Roman"/>
          <w:color w:val="222222"/>
          <w:sz w:val="24"/>
          <w:szCs w:val="24"/>
          <w:shd w:val="clear" w:color="auto" w:fill="FFFFFF"/>
        </w:rPr>
        <w:t>Walliman, N. (2021). </w:t>
      </w:r>
      <w:bookmarkEnd w:id="2491"/>
      <w:r>
        <w:rPr>
          <w:rFonts w:ascii="Times New Roman" w:hAnsi="Times New Roman" w:cs="Times New Roman"/>
          <w:i/>
          <w:iCs/>
          <w:color w:val="222222"/>
          <w:sz w:val="24"/>
          <w:szCs w:val="24"/>
          <w:shd w:val="clear" w:color="auto" w:fill="FFFFFF"/>
        </w:rPr>
        <w:t>Research methods: The basics</w:t>
      </w:r>
      <w:r>
        <w:rPr>
          <w:rFonts w:ascii="Times New Roman" w:hAnsi="Times New Roman" w:cs="Times New Roman"/>
          <w:color w:val="222222"/>
          <w:sz w:val="24"/>
          <w:szCs w:val="24"/>
          <w:shd w:val="clear" w:color="auto" w:fill="FFFFFF"/>
        </w:rPr>
        <w:t>. Routledge.</w:t>
      </w:r>
    </w:p>
    <w:p w14:paraId="532350E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Wallis, C., &amp; Steptoe, S. (2006). How to bring our schools out of the 20th century. </w:t>
      </w:r>
      <w:r>
        <w:rPr>
          <w:rFonts w:ascii="Times New Roman" w:hAnsi="Times New Roman" w:cs="Times New Roman"/>
          <w:i/>
          <w:iCs/>
          <w:color w:val="222222"/>
          <w:sz w:val="24"/>
          <w:szCs w:val="24"/>
          <w:shd w:val="clear" w:color="auto" w:fill="FFFFFF"/>
        </w:rPr>
        <w:t>Time magazine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168</w:t>
      </w:r>
      <w:r>
        <w:rPr>
          <w:rFonts w:ascii="Times New Roman" w:hAnsi="Times New Roman" w:cs="Times New Roman"/>
          <w:color w:val="222222"/>
          <w:sz w:val="24"/>
          <w:szCs w:val="24"/>
          <w:shd w:val="clear" w:color="auto" w:fill="FFFFFF"/>
        </w:rPr>
        <w:t>(25), 50-56.</w:t>
      </w:r>
    </w:p>
    <w:p w14:paraId="0CE2FC6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Wang, J. (2003). </w:t>
      </w:r>
      <w:r>
        <w:rPr>
          <w:rFonts w:ascii="Times New Roman" w:hAnsi="Times New Roman" w:cs="Times New Roman"/>
          <w:i/>
          <w:iCs/>
          <w:color w:val="222222"/>
          <w:sz w:val="24"/>
          <w:szCs w:val="24"/>
          <w:shd w:val="clear" w:color="auto" w:fill="FFFFFF"/>
        </w:rPr>
        <w:t>Statistical methods for survival data analysis</w:t>
      </w:r>
      <w:r>
        <w:rPr>
          <w:rFonts w:ascii="Times New Roman" w:hAnsi="Times New Roman" w:cs="Times New Roman"/>
          <w:color w:val="222222"/>
          <w:sz w:val="24"/>
          <w:szCs w:val="24"/>
          <w:shd w:val="clear" w:color="auto" w:fill="FFFFFF"/>
        </w:rPr>
        <w:t> (Vol. 476). John Wiley &amp; Sons.</w:t>
      </w:r>
    </w:p>
    <w:p w14:paraId="7AF95FB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Wanyingi, C. (2018). </w:t>
      </w:r>
      <w:r>
        <w:rPr>
          <w:rFonts w:ascii="Times New Roman" w:hAnsi="Times New Roman" w:cs="Times New Roman"/>
          <w:i/>
          <w:iCs/>
          <w:color w:val="222222"/>
          <w:sz w:val="24"/>
          <w:szCs w:val="24"/>
          <w:shd w:val="clear" w:color="auto" w:fill="FFFFFF"/>
        </w:rPr>
        <w:t>Information Needs And Information Seeking Behaviour Of Nursing And Clinical Students In Medical Libraries: A Case Study Of Aga Khan University</w:t>
      </w:r>
      <w:r>
        <w:rPr>
          <w:rFonts w:ascii="Times New Roman" w:hAnsi="Times New Roman" w:cs="Times New Roman"/>
          <w:color w:val="222222"/>
          <w:sz w:val="24"/>
          <w:szCs w:val="24"/>
          <w:shd w:val="clear" w:color="auto" w:fill="FFFFFF"/>
        </w:rPr>
        <w:t> (Doctoral dissertation, University of Nairobi).</w:t>
      </w:r>
    </w:p>
    <w:p w14:paraId="4BD9018F"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Washer, P. (2007). Revisiting key skills: A practical framework for higher education. </w:t>
      </w:r>
      <w:r>
        <w:rPr>
          <w:rFonts w:ascii="Times New Roman" w:hAnsi="Times New Roman" w:cs="Times New Roman"/>
          <w:i/>
          <w:iCs/>
          <w:color w:val="222222"/>
          <w:sz w:val="24"/>
          <w:szCs w:val="24"/>
          <w:shd w:val="clear" w:color="auto" w:fill="FFFFFF"/>
        </w:rPr>
        <w:t>Quality in Higher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13</w:t>
      </w:r>
      <w:r>
        <w:rPr>
          <w:rFonts w:ascii="Times New Roman" w:hAnsi="Times New Roman" w:cs="Times New Roman"/>
          <w:color w:val="222222"/>
          <w:sz w:val="24"/>
          <w:szCs w:val="24"/>
          <w:shd w:val="clear" w:color="auto" w:fill="FFFFFF"/>
        </w:rPr>
        <w:t>(1), 57-67.</w:t>
      </w:r>
    </w:p>
    <w:p w14:paraId="5F1DB95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Webber, S., &amp; Johnston, B. (2017). Information literacy: Conceptions, context and the formation of a discipline. </w:t>
      </w:r>
      <w:r>
        <w:rPr>
          <w:rFonts w:ascii="Times New Roman" w:hAnsi="Times New Roman" w:cs="Times New Roman"/>
          <w:i/>
          <w:iCs/>
          <w:color w:val="222222"/>
          <w:sz w:val="24"/>
          <w:szCs w:val="24"/>
          <w:shd w:val="clear" w:color="auto" w:fill="FFFFFF"/>
        </w:rPr>
        <w:t>Journal of Information Literacy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(1).</w:t>
      </w:r>
    </w:p>
    <w:p w14:paraId="125B479F" w14:textId="77777777" w:rsidR="00B01D46" w:rsidRDefault="0067013E">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Webber, Sheila, and Bill Johnston. (2000). “Conceptions of Information Literacy: New Perspectives and Implications.” Journal of Information Science 26.6 (2000): 381-397. Web. 1 May 2013.</w:t>
      </w:r>
    </w:p>
    <w:p w14:paraId="52D76784"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Weber, J. D. (2000). New methods for the visualization of electric power system information. In </w:t>
      </w:r>
      <w:r>
        <w:rPr>
          <w:rFonts w:ascii="Times New Roman" w:hAnsi="Times New Roman" w:cs="Times New Roman"/>
          <w:i/>
          <w:iCs/>
          <w:color w:val="222222"/>
          <w:sz w:val="24"/>
          <w:szCs w:val="24"/>
          <w:shd w:val="clear" w:color="auto" w:fill="FFFFFF"/>
        </w:rPr>
        <w:t>IEEE Symposium on information visualization 2000. INFOVIS 2000. Proceedings</w:t>
      </w:r>
      <w:r>
        <w:rPr>
          <w:rFonts w:ascii="Times New Roman" w:hAnsi="Times New Roman" w:cs="Times New Roman"/>
          <w:color w:val="222222"/>
          <w:sz w:val="24"/>
          <w:szCs w:val="24"/>
          <w:shd w:val="clear" w:color="auto" w:fill="FFFFFF"/>
        </w:rPr>
        <w:t> (pp. 131-16c). IEEE.</w:t>
      </w:r>
    </w:p>
    <w:p w14:paraId="2CAB1B1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Wen, J. R., &amp; Shih, W. L. (2008). Exploring the information literacy competence standards for elementary and high school teachers. </w:t>
      </w:r>
      <w:r>
        <w:rPr>
          <w:rFonts w:ascii="Times New Roman" w:hAnsi="Times New Roman" w:cs="Times New Roman"/>
          <w:i/>
          <w:iCs/>
          <w:color w:val="222222"/>
          <w:sz w:val="24"/>
          <w:szCs w:val="24"/>
          <w:shd w:val="clear" w:color="auto" w:fill="FFFFFF"/>
        </w:rPr>
        <w:t>Computers &amp; education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50</w:t>
      </w:r>
      <w:r>
        <w:rPr>
          <w:rFonts w:ascii="Times New Roman" w:hAnsi="Times New Roman" w:cs="Times New Roman"/>
          <w:color w:val="222222"/>
          <w:sz w:val="24"/>
          <w:szCs w:val="24"/>
          <w:shd w:val="clear" w:color="auto" w:fill="FFFFFF"/>
        </w:rPr>
        <w:t>(3), 787-806.</w:t>
      </w:r>
    </w:p>
    <w:p w14:paraId="3B3BA0B8"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Wenger-Trayner, E., Fenton-O'Creevy, M., Hutchinson, S., Kubiak, C., &amp; Wenger-Trayner, B. (Eds.). (2014). </w:t>
      </w:r>
      <w:r>
        <w:rPr>
          <w:rFonts w:ascii="Times New Roman" w:hAnsi="Times New Roman" w:cs="Times New Roman"/>
          <w:i/>
          <w:iCs/>
          <w:color w:val="222222"/>
          <w:sz w:val="24"/>
          <w:szCs w:val="24"/>
          <w:shd w:val="clear" w:color="auto" w:fill="FFFFFF"/>
        </w:rPr>
        <w:t>Learning in landscapes of practice: Boundaries, identity, and knowledgeability in practice-based learning</w:t>
      </w:r>
      <w:r>
        <w:rPr>
          <w:rFonts w:ascii="Times New Roman" w:hAnsi="Times New Roman" w:cs="Times New Roman"/>
          <w:color w:val="222222"/>
          <w:sz w:val="24"/>
          <w:szCs w:val="24"/>
          <w:shd w:val="clear" w:color="auto" w:fill="FFFFFF"/>
        </w:rPr>
        <w:t>. Routledge.</w:t>
      </w:r>
    </w:p>
    <w:p w14:paraId="7991786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Wheeler, E., &amp; McKinney, P. (2015). Are librarians teachers? Investigating academic librarians' perceptions of their own teaching roles. </w:t>
      </w:r>
      <w:r>
        <w:rPr>
          <w:rFonts w:ascii="Times New Roman" w:hAnsi="Times New Roman" w:cs="Times New Roman"/>
          <w:i/>
          <w:iCs/>
          <w:color w:val="222222"/>
          <w:sz w:val="24"/>
          <w:szCs w:val="24"/>
          <w:shd w:val="clear" w:color="auto" w:fill="FFFFFF"/>
        </w:rPr>
        <w:t>Journal of information literacy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w:t>
      </w:r>
      <w:r>
        <w:rPr>
          <w:rFonts w:ascii="Times New Roman" w:hAnsi="Times New Roman" w:cs="Times New Roman"/>
          <w:color w:val="222222"/>
          <w:sz w:val="24"/>
          <w:szCs w:val="24"/>
          <w:shd w:val="clear" w:color="auto" w:fill="FFFFFF"/>
        </w:rPr>
        <w:t>(2).</w:t>
      </w:r>
    </w:p>
    <w:bookmarkEnd w:id="2386"/>
    <w:p w14:paraId="5CC3EA4B"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Wheeler, E., &amp; McKinney, P. (2015). Are librarians teachers? Investigating academic librarians' perceptions of their own teaching roles. </w:t>
      </w:r>
      <w:r>
        <w:rPr>
          <w:rFonts w:ascii="Times New Roman" w:hAnsi="Times New Roman" w:cs="Times New Roman"/>
          <w:i/>
          <w:iCs/>
          <w:color w:val="222222"/>
          <w:sz w:val="24"/>
          <w:szCs w:val="24"/>
          <w:shd w:val="clear" w:color="auto" w:fill="FFFFFF"/>
        </w:rPr>
        <w:t>Journal of Information Literacy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9</w:t>
      </w:r>
      <w:r>
        <w:rPr>
          <w:rFonts w:ascii="Times New Roman" w:hAnsi="Times New Roman" w:cs="Times New Roman"/>
          <w:color w:val="222222"/>
          <w:sz w:val="24"/>
          <w:szCs w:val="24"/>
          <w:shd w:val="clear" w:color="auto" w:fill="FFFFFF"/>
        </w:rPr>
        <w:t>(2).</w:t>
      </w:r>
    </w:p>
    <w:p w14:paraId="63001CFB" w14:textId="77777777" w:rsidR="00B01D46" w:rsidRDefault="0067013E">
      <w:pPr>
        <w:spacing w:line="240" w:lineRule="auto"/>
        <w:ind w:left="720" w:hanging="720"/>
        <w:jc w:val="both"/>
        <w:rPr>
          <w:rFonts w:ascii="Times New Roman" w:hAnsi="Times New Roman" w:cs="Times New Roman"/>
          <w:color w:val="555555"/>
          <w:sz w:val="24"/>
          <w:szCs w:val="24"/>
          <w:shd w:val="clear" w:color="auto" w:fill="FFFFFF"/>
        </w:rPr>
      </w:pPr>
      <w:r>
        <w:rPr>
          <w:rFonts w:ascii="Times New Roman" w:hAnsi="Times New Roman" w:cs="Times New Roman"/>
          <w:color w:val="555555"/>
          <w:sz w:val="24"/>
          <w:szCs w:val="24"/>
          <w:shd w:val="clear" w:color="auto" w:fill="FFFFFF"/>
        </w:rPr>
        <w:t>Whitworth, A. (2009). Teaching information literacy within a relational frame: the Media and Information Literacy course at Manchester. </w:t>
      </w:r>
      <w:r>
        <w:rPr>
          <w:rStyle w:val="Emphasis"/>
          <w:rFonts w:ascii="Times New Roman" w:hAnsi="Times New Roman" w:cs="Times New Roman"/>
          <w:color w:val="555555"/>
          <w:sz w:val="24"/>
          <w:szCs w:val="24"/>
          <w:shd w:val="clear" w:color="auto" w:fill="FFFFFF"/>
        </w:rPr>
        <w:t>Journal Of Information Literacy, 3</w:t>
      </w:r>
      <w:r>
        <w:rPr>
          <w:rFonts w:ascii="Times New Roman" w:hAnsi="Times New Roman" w:cs="Times New Roman"/>
          <w:color w:val="555555"/>
          <w:sz w:val="24"/>
          <w:szCs w:val="24"/>
          <w:shd w:val="clear" w:color="auto" w:fill="FFFFFF"/>
        </w:rPr>
        <w:t>(2), 25-38. doi:10.11645/3.2.209</w:t>
      </w:r>
    </w:p>
    <w:p w14:paraId="1664ABF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Wiche Humphrey, I., &amp; Ray-Ogbonna Kelechi, K. (2021). Information needs and seeking behaviour among medical students of Pamo University of Medical Sciences Port Harcourt. </w:t>
      </w:r>
      <w:r>
        <w:rPr>
          <w:rFonts w:ascii="Times New Roman" w:hAnsi="Times New Roman" w:cs="Times New Roman"/>
          <w:i/>
          <w:iCs/>
          <w:color w:val="222222"/>
          <w:sz w:val="24"/>
          <w:szCs w:val="24"/>
          <w:shd w:val="clear" w:color="auto" w:fill="FFFFFF"/>
        </w:rPr>
        <w:t>Br J Libr Inf Manage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w:t>
      </w:r>
      <w:r>
        <w:rPr>
          <w:rFonts w:ascii="Times New Roman" w:hAnsi="Times New Roman" w:cs="Times New Roman"/>
          <w:color w:val="222222"/>
          <w:sz w:val="24"/>
          <w:szCs w:val="24"/>
          <w:shd w:val="clear" w:color="auto" w:fill="FFFFFF"/>
        </w:rPr>
        <w:t>(1), 1-15.</w:t>
      </w:r>
    </w:p>
    <w:p w14:paraId="2F24FF7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Willis, J. W., Jost, M., &amp; Nilakanta, R. (2007). </w:t>
      </w:r>
      <w:r>
        <w:rPr>
          <w:rFonts w:ascii="Times New Roman" w:hAnsi="Times New Roman" w:cs="Times New Roman"/>
          <w:i/>
          <w:iCs/>
          <w:color w:val="222222"/>
          <w:sz w:val="24"/>
          <w:szCs w:val="24"/>
          <w:shd w:val="clear" w:color="auto" w:fill="FFFFFF"/>
        </w:rPr>
        <w:t>Foundations of qualitative research: Interpretive and critical approaches</w:t>
      </w:r>
      <w:r>
        <w:rPr>
          <w:rFonts w:ascii="Times New Roman" w:hAnsi="Times New Roman" w:cs="Times New Roman"/>
          <w:color w:val="222222"/>
          <w:sz w:val="24"/>
          <w:szCs w:val="24"/>
          <w:shd w:val="clear" w:color="auto" w:fill="FFFFFF"/>
        </w:rPr>
        <w:t>. sage.</w:t>
      </w:r>
    </w:p>
    <w:p w14:paraId="39693393"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Wilson, M., &amp; Sapsford, R. (2006). Asking questions. Data collection and analysis. R. Stapsforde and V. Jupp.</w:t>
      </w:r>
    </w:p>
    <w:p w14:paraId="13EC62D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Wilson, S. (2020). </w:t>
      </w:r>
      <w:r>
        <w:rPr>
          <w:rFonts w:ascii="Times New Roman" w:hAnsi="Times New Roman" w:cs="Times New Roman"/>
          <w:i/>
          <w:iCs/>
          <w:color w:val="222222"/>
          <w:sz w:val="24"/>
          <w:szCs w:val="24"/>
          <w:shd w:val="clear" w:color="auto" w:fill="FFFFFF"/>
        </w:rPr>
        <w:t>Research is ceremony: Indigenous research methods</w:t>
      </w:r>
      <w:r>
        <w:rPr>
          <w:rFonts w:ascii="Times New Roman" w:hAnsi="Times New Roman" w:cs="Times New Roman"/>
          <w:color w:val="222222"/>
          <w:sz w:val="24"/>
          <w:szCs w:val="24"/>
          <w:shd w:val="clear" w:color="auto" w:fill="FFFFFF"/>
        </w:rPr>
        <w:t>. Fernwood publishing.</w:t>
      </w:r>
    </w:p>
    <w:p w14:paraId="6E98ED81"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92" w:name="_Hlk129080935"/>
      <w:r>
        <w:rPr>
          <w:rFonts w:ascii="Times New Roman" w:hAnsi="Times New Roman" w:cs="Times New Roman"/>
          <w:color w:val="222222"/>
          <w:sz w:val="24"/>
          <w:szCs w:val="24"/>
          <w:shd w:val="clear" w:color="auto" w:fill="FFFFFF"/>
        </w:rPr>
        <w:t xml:space="preserve">Winzenried, A. (2011). </w:t>
      </w:r>
      <w:bookmarkEnd w:id="2492"/>
      <w:r>
        <w:rPr>
          <w:rFonts w:ascii="Times New Roman" w:hAnsi="Times New Roman" w:cs="Times New Roman"/>
          <w:color w:val="222222"/>
          <w:sz w:val="24"/>
          <w:szCs w:val="24"/>
          <w:shd w:val="clear" w:color="auto" w:fill="FFFFFF"/>
        </w:rPr>
        <w:t>Information Literacy in the Digital Age: An Evidence‐based Approach. </w:t>
      </w:r>
      <w:r>
        <w:rPr>
          <w:rFonts w:ascii="Times New Roman" w:hAnsi="Times New Roman" w:cs="Times New Roman"/>
          <w:i/>
          <w:iCs/>
          <w:color w:val="222222"/>
          <w:sz w:val="24"/>
          <w:szCs w:val="24"/>
          <w:shd w:val="clear" w:color="auto" w:fill="FFFFFF"/>
        </w:rPr>
        <w:t>Library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60</w:t>
      </w:r>
      <w:r>
        <w:rPr>
          <w:rFonts w:ascii="Times New Roman" w:hAnsi="Times New Roman" w:cs="Times New Roman"/>
          <w:color w:val="222222"/>
          <w:sz w:val="24"/>
          <w:szCs w:val="24"/>
          <w:shd w:val="clear" w:color="auto" w:fill="FFFFFF"/>
        </w:rPr>
        <w:t>(6), 537-538.</w:t>
      </w:r>
    </w:p>
    <w:p w14:paraId="7BDC636C"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Withorn, T., Eslami, J., Lee, H., Clarke, M., Caffrey, C., Springfield, C., ... &amp; Haas, A. (2021). Library instruction and information literacy 2020. </w:t>
      </w:r>
      <w:r>
        <w:rPr>
          <w:rFonts w:ascii="Times New Roman" w:hAnsi="Times New Roman" w:cs="Times New Roman"/>
          <w:i/>
          <w:iCs/>
          <w:color w:val="222222"/>
          <w:sz w:val="24"/>
          <w:szCs w:val="24"/>
          <w:shd w:val="clear" w:color="auto" w:fill="FFFFFF"/>
        </w:rPr>
        <w:t>Reference Services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49</w:t>
      </w:r>
      <w:r>
        <w:rPr>
          <w:rFonts w:ascii="Times New Roman" w:hAnsi="Times New Roman" w:cs="Times New Roman"/>
          <w:color w:val="222222"/>
          <w:sz w:val="24"/>
          <w:szCs w:val="24"/>
          <w:shd w:val="clear" w:color="auto" w:fill="FFFFFF"/>
        </w:rPr>
        <w:t>(3/4), 329-418.</w:t>
      </w:r>
    </w:p>
    <w:p w14:paraId="50DF264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93" w:name="_Hlk128470998"/>
      <w:r>
        <w:rPr>
          <w:rFonts w:ascii="Times New Roman" w:hAnsi="Times New Roman" w:cs="Times New Roman"/>
          <w:color w:val="222222"/>
          <w:sz w:val="24"/>
          <w:szCs w:val="24"/>
          <w:shd w:val="clear" w:color="auto" w:fill="FFFFFF"/>
        </w:rPr>
        <w:t>Yagos, O. W., Tabo-Olok, G., &amp; Ovuga, E. (2020)</w:t>
      </w:r>
      <w:bookmarkEnd w:id="2493"/>
      <w:r>
        <w:rPr>
          <w:rFonts w:ascii="Times New Roman" w:hAnsi="Times New Roman" w:cs="Times New Roman"/>
          <w:color w:val="222222"/>
          <w:sz w:val="24"/>
          <w:szCs w:val="24"/>
          <w:shd w:val="clear" w:color="auto" w:fill="FFFFFF"/>
        </w:rPr>
        <w:t>. Students’ Prior Knowledge and Skills in Computer and Internet Use: An Exploration of Incoming First Year Undergraduate Health Sciences Students at Gulu University, Uganda.</w:t>
      </w:r>
    </w:p>
    <w:p w14:paraId="1BCCA8B2"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Yakel, E. (2007). Presidential libraries: merging public records and private lives. </w:t>
      </w:r>
      <w:r>
        <w:rPr>
          <w:rFonts w:ascii="Times New Roman" w:hAnsi="Times New Roman" w:cs="Times New Roman"/>
          <w:i/>
          <w:iCs/>
          <w:color w:val="222222"/>
          <w:sz w:val="24"/>
          <w:szCs w:val="24"/>
          <w:shd w:val="clear" w:color="auto" w:fill="FFFFFF"/>
        </w:rPr>
        <w:t>OCLC Systems &amp; Services: International digital library perspectives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23</w:t>
      </w:r>
      <w:r>
        <w:rPr>
          <w:rFonts w:ascii="Times New Roman" w:hAnsi="Times New Roman" w:cs="Times New Roman"/>
          <w:color w:val="222222"/>
          <w:sz w:val="24"/>
          <w:szCs w:val="24"/>
          <w:shd w:val="clear" w:color="auto" w:fill="FFFFFF"/>
        </w:rPr>
        <w:t>(3), 238-241.</w:t>
      </w:r>
    </w:p>
    <w:p w14:paraId="157076E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94" w:name="_Hlk126073419"/>
      <w:r>
        <w:rPr>
          <w:rFonts w:ascii="Times New Roman" w:hAnsi="Times New Roman" w:cs="Times New Roman"/>
          <w:color w:val="222222"/>
          <w:sz w:val="24"/>
          <w:szCs w:val="24"/>
          <w:shd w:val="clear" w:color="auto" w:fill="FFFFFF"/>
        </w:rPr>
        <w:lastRenderedPageBreak/>
        <w:t>Yang, Z., Wang, X., &amp; Su, C. (2006).</w:t>
      </w:r>
      <w:bookmarkEnd w:id="2494"/>
      <w:r>
        <w:rPr>
          <w:rFonts w:ascii="Times New Roman" w:hAnsi="Times New Roman" w:cs="Times New Roman"/>
          <w:color w:val="222222"/>
          <w:sz w:val="24"/>
          <w:szCs w:val="24"/>
          <w:shd w:val="clear" w:color="auto" w:fill="FFFFFF"/>
        </w:rPr>
        <w:t xml:space="preserve"> A review of research methodologies in international business. </w:t>
      </w:r>
      <w:r>
        <w:rPr>
          <w:rFonts w:ascii="Times New Roman" w:hAnsi="Times New Roman" w:cs="Times New Roman"/>
          <w:i/>
          <w:iCs/>
          <w:color w:val="222222"/>
          <w:sz w:val="24"/>
          <w:szCs w:val="24"/>
          <w:shd w:val="clear" w:color="auto" w:fill="FFFFFF"/>
        </w:rPr>
        <w:t>International Business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15</w:t>
      </w:r>
      <w:r>
        <w:rPr>
          <w:rFonts w:ascii="Times New Roman" w:hAnsi="Times New Roman" w:cs="Times New Roman"/>
          <w:color w:val="222222"/>
          <w:sz w:val="24"/>
          <w:szCs w:val="24"/>
          <w:shd w:val="clear" w:color="auto" w:fill="FFFFFF"/>
        </w:rPr>
        <w:t>(6), 601-617.</w:t>
      </w:r>
    </w:p>
    <w:p w14:paraId="168E4547"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Yazan, B. (2015). Three approaches to case study methods in education: Yin, Merriam, and Stake. </w:t>
      </w:r>
      <w:r>
        <w:rPr>
          <w:rFonts w:ascii="Times New Roman" w:hAnsi="Times New Roman" w:cs="Times New Roman"/>
          <w:i/>
          <w:iCs/>
          <w:color w:val="222222"/>
          <w:sz w:val="24"/>
          <w:szCs w:val="24"/>
          <w:shd w:val="clear" w:color="auto" w:fill="FFFFFF"/>
        </w:rPr>
        <w:t>The qualitative report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20</w:t>
      </w:r>
      <w:r>
        <w:rPr>
          <w:rFonts w:ascii="Times New Roman" w:hAnsi="Times New Roman" w:cs="Times New Roman"/>
          <w:color w:val="222222"/>
          <w:sz w:val="24"/>
          <w:szCs w:val="24"/>
          <w:shd w:val="clear" w:color="auto" w:fill="FFFFFF"/>
        </w:rPr>
        <w:t>(2), 134-152.</w:t>
      </w:r>
    </w:p>
    <w:p w14:paraId="6B04619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bookmarkStart w:id="2495" w:name="_Hlk129084794"/>
      <w:r>
        <w:rPr>
          <w:rFonts w:ascii="Times New Roman" w:hAnsi="Times New Roman" w:cs="Times New Roman"/>
          <w:color w:val="222222"/>
          <w:sz w:val="24"/>
          <w:szCs w:val="24"/>
          <w:shd w:val="clear" w:color="auto" w:fill="FFFFFF"/>
        </w:rPr>
        <w:t xml:space="preserve">Yebowaah, F. A. (2018). </w:t>
      </w:r>
      <w:bookmarkEnd w:id="2495"/>
      <w:r>
        <w:rPr>
          <w:rFonts w:ascii="Times New Roman" w:hAnsi="Times New Roman" w:cs="Times New Roman"/>
          <w:color w:val="222222"/>
          <w:sz w:val="24"/>
          <w:szCs w:val="24"/>
          <w:shd w:val="clear" w:color="auto" w:fill="FFFFFF"/>
        </w:rPr>
        <w:t>Assessing information literacy skills among undergraduate students of University for Development Studies, Tamale, Ghana. </w:t>
      </w:r>
      <w:r>
        <w:rPr>
          <w:rFonts w:ascii="Times New Roman" w:hAnsi="Times New Roman" w:cs="Times New Roman"/>
          <w:i/>
          <w:iCs/>
          <w:color w:val="222222"/>
          <w:sz w:val="24"/>
          <w:szCs w:val="24"/>
          <w:shd w:val="clear" w:color="auto" w:fill="FFFFFF"/>
        </w:rPr>
        <w:t>Journal of Applied Information Science and Technology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(2), 1-12.</w:t>
      </w:r>
    </w:p>
    <w:p w14:paraId="22211C40"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Yin, R. K. (2003). Designing case studies. </w:t>
      </w:r>
      <w:r>
        <w:rPr>
          <w:rFonts w:ascii="Times New Roman" w:hAnsi="Times New Roman" w:cs="Times New Roman"/>
          <w:i/>
          <w:iCs/>
          <w:color w:val="222222"/>
          <w:sz w:val="24"/>
          <w:szCs w:val="24"/>
          <w:shd w:val="clear" w:color="auto" w:fill="FFFFFF"/>
        </w:rPr>
        <w:t>Qualitative research methods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w:t>
      </w:r>
      <w:r>
        <w:rPr>
          <w:rFonts w:ascii="Times New Roman" w:hAnsi="Times New Roman" w:cs="Times New Roman"/>
          <w:color w:val="222222"/>
          <w:sz w:val="24"/>
          <w:szCs w:val="24"/>
          <w:shd w:val="clear" w:color="auto" w:fill="FFFFFF"/>
        </w:rPr>
        <w:t>(14), 359-386.</w:t>
      </w:r>
    </w:p>
    <w:p w14:paraId="6B458BDA"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Yin, R. K. (2009). </w:t>
      </w:r>
      <w:r>
        <w:rPr>
          <w:rFonts w:ascii="Times New Roman" w:hAnsi="Times New Roman" w:cs="Times New Roman"/>
          <w:i/>
          <w:iCs/>
          <w:color w:val="222222"/>
          <w:sz w:val="24"/>
          <w:szCs w:val="24"/>
          <w:shd w:val="clear" w:color="auto" w:fill="FFFFFF"/>
        </w:rPr>
        <w:t>Case study research: Design and methods</w:t>
      </w:r>
      <w:r>
        <w:rPr>
          <w:rFonts w:ascii="Times New Roman" w:hAnsi="Times New Roman" w:cs="Times New Roman"/>
          <w:color w:val="222222"/>
          <w:sz w:val="24"/>
          <w:szCs w:val="24"/>
          <w:shd w:val="clear" w:color="auto" w:fill="FFFFFF"/>
        </w:rPr>
        <w:t> (Vol. 5). sage.</w:t>
      </w:r>
    </w:p>
    <w:p w14:paraId="66132AC5"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Zeng, et al (2008). Information Literacy in Tsinghua University. In </w:t>
      </w:r>
      <w:r>
        <w:rPr>
          <w:rFonts w:ascii="Times New Roman" w:hAnsi="Times New Roman" w:cs="Times New Roman"/>
          <w:i/>
          <w:iCs/>
          <w:color w:val="222222"/>
          <w:sz w:val="24"/>
          <w:szCs w:val="24"/>
          <w:shd w:val="clear" w:color="auto" w:fill="FFFFFF"/>
        </w:rPr>
        <w:t xml:space="preserve">Symposium on Development of Library and Information Services </w:t>
      </w:r>
      <w:r>
        <w:rPr>
          <w:rFonts w:ascii="Times New Roman" w:hAnsi="Times New Roman" w:cs="Times New Roman"/>
          <w:color w:val="222222"/>
          <w:sz w:val="24"/>
          <w:szCs w:val="24"/>
          <w:shd w:val="clear" w:color="auto" w:fill="FFFFFF"/>
        </w:rPr>
        <w:t>(p. 81).</w:t>
      </w:r>
    </w:p>
    <w:p w14:paraId="085CBC15" w14:textId="77777777" w:rsidR="00B01D46" w:rsidRDefault="0067013E">
      <w:pPr>
        <w:shd w:val="clear" w:color="auto" w:fill="FFFFFF"/>
        <w:spacing w:line="240" w:lineRule="auto"/>
        <w:ind w:left="720" w:hanging="720"/>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Zheng, T., Ardolino, M., Bacchetti, A., Perona, M., &amp; Zanardini, M. (2020). The impacts of Industry 4.0: a descriptive survey in the Italian manufacturing sector. </w:t>
      </w:r>
      <w:r>
        <w:rPr>
          <w:rFonts w:ascii="Times New Roman" w:hAnsi="Times New Roman" w:cs="Times New Roman"/>
          <w:i/>
          <w:iCs/>
          <w:color w:val="222222"/>
          <w:sz w:val="24"/>
          <w:szCs w:val="24"/>
          <w:shd w:val="clear" w:color="auto" w:fill="FFFFFF"/>
        </w:rPr>
        <w:t>Journal of Manufacturing Technology Management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31</w:t>
      </w:r>
      <w:r>
        <w:rPr>
          <w:rFonts w:ascii="Times New Roman" w:hAnsi="Times New Roman" w:cs="Times New Roman"/>
          <w:color w:val="222222"/>
          <w:sz w:val="24"/>
          <w:szCs w:val="24"/>
          <w:shd w:val="clear" w:color="auto" w:fill="FFFFFF"/>
        </w:rPr>
        <w:t>(5), 1085-1115.</w:t>
      </w:r>
    </w:p>
    <w:p w14:paraId="68A83669" w14:textId="77777777" w:rsidR="00B01D46" w:rsidRDefault="0067013E">
      <w:pPr>
        <w:spacing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Zurayk, R.,  Yehya, A. A. K., &amp; Bahn, R. A., (2021). Digitalization for sustainable agri-food systems: potential, status, and risks for the MENA region. </w:t>
      </w:r>
      <w:r>
        <w:rPr>
          <w:rFonts w:ascii="Times New Roman" w:hAnsi="Times New Roman" w:cs="Times New Roman"/>
          <w:i/>
          <w:iCs/>
          <w:color w:val="222222"/>
          <w:sz w:val="24"/>
          <w:szCs w:val="24"/>
          <w:shd w:val="clear" w:color="auto" w:fill="FFFFFF"/>
        </w:rPr>
        <w:t>Sustainability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13</w:t>
      </w:r>
      <w:r>
        <w:rPr>
          <w:rFonts w:ascii="Times New Roman" w:hAnsi="Times New Roman" w:cs="Times New Roman"/>
          <w:color w:val="222222"/>
          <w:sz w:val="24"/>
          <w:szCs w:val="24"/>
          <w:shd w:val="clear" w:color="auto" w:fill="FFFFFF"/>
        </w:rPr>
        <w:t>(6), 3223.</w:t>
      </w:r>
    </w:p>
    <w:p w14:paraId="183C509C" w14:textId="77777777" w:rsidR="00B01D46" w:rsidRDefault="00B01D46">
      <w:pPr>
        <w:spacing w:before="120" w:after="0" w:line="480" w:lineRule="auto"/>
        <w:ind w:left="-288" w:right="-288"/>
        <w:rPr>
          <w:rFonts w:ascii="Times New Roman" w:eastAsia="Calibri" w:hAnsi="Times New Roman" w:cs="Times New Roman"/>
          <w:b/>
          <w:bCs/>
          <w:sz w:val="24"/>
          <w:szCs w:val="24"/>
        </w:rPr>
      </w:pPr>
    </w:p>
    <w:p w14:paraId="5CED2AD1" w14:textId="77777777" w:rsidR="00B01D46" w:rsidRDefault="00B01D46">
      <w:pPr>
        <w:spacing w:before="120" w:after="0" w:line="480" w:lineRule="auto"/>
        <w:ind w:left="-288" w:right="-288"/>
        <w:rPr>
          <w:rFonts w:ascii="Times New Roman" w:eastAsia="Calibri" w:hAnsi="Times New Roman" w:cs="Times New Roman"/>
          <w:b/>
          <w:bCs/>
          <w:sz w:val="24"/>
          <w:szCs w:val="24"/>
        </w:rPr>
      </w:pPr>
    </w:p>
    <w:p w14:paraId="11906BF8" w14:textId="77777777" w:rsidR="00B01D46" w:rsidRDefault="00B01D46">
      <w:pPr>
        <w:spacing w:before="120" w:after="0" w:line="480" w:lineRule="auto"/>
        <w:ind w:left="-288" w:right="-288"/>
        <w:jc w:val="both"/>
        <w:rPr>
          <w:rFonts w:ascii="Times New Roman" w:hAnsi="Times New Roman" w:cs="Times New Roman"/>
          <w:bCs/>
          <w:sz w:val="24"/>
          <w:szCs w:val="24"/>
        </w:rPr>
      </w:pPr>
    </w:p>
    <w:p w14:paraId="6C8ACCFA" w14:textId="77777777" w:rsidR="00B01D46" w:rsidRDefault="00B01D46">
      <w:pPr>
        <w:spacing w:before="120" w:after="0" w:line="480" w:lineRule="auto"/>
        <w:ind w:left="-288" w:right="-288"/>
        <w:jc w:val="both"/>
        <w:rPr>
          <w:rFonts w:ascii="Times New Roman" w:hAnsi="Times New Roman" w:cs="Times New Roman"/>
          <w:bCs/>
          <w:sz w:val="24"/>
          <w:szCs w:val="24"/>
        </w:rPr>
      </w:pPr>
    </w:p>
    <w:p w14:paraId="23E68264" w14:textId="77777777" w:rsidR="00B01D46" w:rsidRDefault="00B01D46">
      <w:pPr>
        <w:spacing w:before="120" w:after="0" w:line="480" w:lineRule="auto"/>
        <w:ind w:left="-288" w:right="-288"/>
        <w:jc w:val="both"/>
        <w:rPr>
          <w:rFonts w:ascii="Times New Roman" w:hAnsi="Times New Roman" w:cs="Times New Roman"/>
          <w:bCs/>
          <w:sz w:val="24"/>
          <w:szCs w:val="24"/>
        </w:rPr>
      </w:pPr>
    </w:p>
    <w:p w14:paraId="5D24FBA3" w14:textId="77777777" w:rsidR="00B01D46" w:rsidRDefault="00B01D46">
      <w:pPr>
        <w:spacing w:before="120" w:after="0" w:line="480" w:lineRule="auto"/>
        <w:ind w:left="-288" w:right="-288"/>
        <w:jc w:val="both"/>
        <w:rPr>
          <w:rFonts w:ascii="Times New Roman" w:hAnsi="Times New Roman" w:cs="Times New Roman"/>
          <w:bCs/>
          <w:sz w:val="24"/>
          <w:szCs w:val="24"/>
        </w:rPr>
      </w:pPr>
    </w:p>
    <w:p w14:paraId="6ED676BA" w14:textId="77777777" w:rsidR="00B01D46" w:rsidRDefault="00B01D46">
      <w:pPr>
        <w:spacing w:before="120" w:after="0" w:line="480" w:lineRule="auto"/>
        <w:ind w:left="-288" w:right="-288"/>
        <w:jc w:val="both"/>
        <w:rPr>
          <w:rFonts w:ascii="Times New Roman" w:hAnsi="Times New Roman" w:cs="Times New Roman"/>
          <w:bCs/>
          <w:sz w:val="24"/>
          <w:szCs w:val="24"/>
        </w:rPr>
      </w:pPr>
    </w:p>
    <w:p w14:paraId="3495A798" w14:textId="77777777" w:rsidR="00B01D46" w:rsidRDefault="00B01D46">
      <w:pPr>
        <w:spacing w:before="120" w:after="0" w:line="480" w:lineRule="auto"/>
        <w:ind w:left="-288" w:right="-288"/>
        <w:jc w:val="both"/>
        <w:rPr>
          <w:rFonts w:ascii="Times New Roman" w:hAnsi="Times New Roman" w:cs="Times New Roman"/>
          <w:bCs/>
          <w:sz w:val="24"/>
          <w:szCs w:val="24"/>
        </w:rPr>
      </w:pPr>
    </w:p>
    <w:p w14:paraId="6C4B4CF4" w14:textId="77777777" w:rsidR="00B01D46" w:rsidRDefault="00B01D46">
      <w:pPr>
        <w:spacing w:before="120" w:after="0" w:line="480" w:lineRule="auto"/>
        <w:ind w:left="-288" w:right="-288"/>
        <w:jc w:val="both"/>
        <w:rPr>
          <w:rFonts w:ascii="Times New Roman" w:hAnsi="Times New Roman" w:cs="Times New Roman"/>
          <w:bCs/>
          <w:sz w:val="24"/>
          <w:szCs w:val="24"/>
        </w:rPr>
      </w:pPr>
    </w:p>
    <w:p w14:paraId="1FD42B92" w14:textId="77777777" w:rsidR="00B01D46" w:rsidRDefault="00B01D46">
      <w:pPr>
        <w:spacing w:before="120" w:after="0" w:line="480" w:lineRule="auto"/>
        <w:ind w:left="-288" w:right="-288"/>
        <w:jc w:val="both"/>
        <w:rPr>
          <w:rFonts w:ascii="Times New Roman" w:hAnsi="Times New Roman" w:cs="Times New Roman"/>
          <w:bCs/>
          <w:sz w:val="24"/>
          <w:szCs w:val="24"/>
        </w:rPr>
      </w:pPr>
    </w:p>
    <w:p w14:paraId="29984E7E" w14:textId="77777777" w:rsidR="00B01D46" w:rsidRDefault="0067013E">
      <w:pPr>
        <w:spacing w:after="200" w:line="276" w:lineRule="auto"/>
        <w:rPr>
          <w:rFonts w:ascii="Times New Roman" w:eastAsiaTheme="majorEastAsia" w:hAnsi="Times New Roman" w:cs="Times New Roman"/>
          <w:b/>
          <w:bCs/>
          <w:sz w:val="24"/>
          <w:szCs w:val="24"/>
        </w:rPr>
      </w:pPr>
      <w:bookmarkStart w:id="2496" w:name="_Toc164664156"/>
      <w:bookmarkEnd w:id="2387"/>
      <w:r>
        <w:rPr>
          <w:rFonts w:ascii="Times New Roman" w:hAnsi="Times New Roman" w:cs="Times New Roman"/>
          <w:bCs/>
          <w:sz w:val="24"/>
          <w:szCs w:val="24"/>
        </w:rPr>
        <w:br w:type="page"/>
      </w:r>
    </w:p>
    <w:p w14:paraId="5307F211" w14:textId="77777777" w:rsidR="00B01D46" w:rsidRDefault="0067013E">
      <w:pPr>
        <w:pStyle w:val="Heading1"/>
      </w:pPr>
      <w:bookmarkStart w:id="2497" w:name="_Toc165365348"/>
      <w:bookmarkStart w:id="2498" w:name="_Toc165369382"/>
      <w:bookmarkStart w:id="2499" w:name="_Toc184273029"/>
      <w:bookmarkStart w:id="2500" w:name="_Toc165975947"/>
      <w:bookmarkStart w:id="2501" w:name="_Toc165973226"/>
      <w:bookmarkStart w:id="2502" w:name="_Toc165363574"/>
      <w:r>
        <w:lastRenderedPageBreak/>
        <w:t>APPENDICES</w:t>
      </w:r>
      <w:bookmarkEnd w:id="2496"/>
      <w:bookmarkEnd w:id="2497"/>
      <w:bookmarkEnd w:id="2498"/>
      <w:bookmarkEnd w:id="2499"/>
      <w:bookmarkEnd w:id="2500"/>
      <w:bookmarkEnd w:id="2501"/>
      <w:bookmarkEnd w:id="2502"/>
    </w:p>
    <w:p w14:paraId="72DE5C27" w14:textId="77777777" w:rsidR="00B01D46" w:rsidRDefault="0067013E">
      <w:pPr>
        <w:pStyle w:val="Heading2"/>
      </w:pPr>
      <w:bookmarkStart w:id="2503" w:name="_Toc165363575"/>
      <w:bookmarkStart w:id="2504" w:name="_Toc165369383"/>
      <w:bookmarkStart w:id="2505" w:name="_Toc164664157"/>
      <w:bookmarkStart w:id="2506" w:name="_Toc165973227"/>
      <w:bookmarkStart w:id="2507" w:name="_Toc184273030"/>
      <w:bookmarkStart w:id="2508" w:name="_Toc165975948"/>
      <w:bookmarkStart w:id="2509" w:name="_Toc165365349"/>
      <w:r>
        <w:t>Appendix I: Survey Questionnaire for Students</w:t>
      </w:r>
      <w:bookmarkEnd w:id="2503"/>
      <w:bookmarkEnd w:id="2504"/>
      <w:bookmarkEnd w:id="2505"/>
      <w:bookmarkEnd w:id="2506"/>
      <w:bookmarkEnd w:id="2507"/>
      <w:bookmarkEnd w:id="2508"/>
      <w:bookmarkEnd w:id="2509"/>
      <w:r>
        <w:t xml:space="preserve"> </w:t>
      </w:r>
    </w:p>
    <w:p w14:paraId="5782262C" w14:textId="77777777" w:rsidR="00B01D46" w:rsidRDefault="00B01D46">
      <w:pPr>
        <w:spacing w:before="120" w:after="0" w:line="240" w:lineRule="auto"/>
        <w:ind w:left="-288" w:right="-288"/>
        <w:jc w:val="center"/>
        <w:rPr>
          <w:rFonts w:ascii="Times New Roman" w:hAnsi="Times New Roman" w:cs="Times New Roman"/>
          <w:sz w:val="24"/>
          <w:szCs w:val="24"/>
        </w:rPr>
      </w:pPr>
    </w:p>
    <w:p w14:paraId="36FF564E" w14:textId="77777777" w:rsidR="00B01D46" w:rsidRDefault="0067013E">
      <w:pPr>
        <w:pStyle w:val="Default"/>
        <w:spacing w:before="120"/>
        <w:ind w:right="-288"/>
        <w:rPr>
          <w:b/>
        </w:rPr>
      </w:pPr>
      <w:r>
        <w:rPr>
          <w:b/>
        </w:rPr>
        <w:t xml:space="preserve">Introduction: </w:t>
      </w:r>
    </w:p>
    <w:p w14:paraId="7C9EAC86" w14:textId="77777777" w:rsidR="00B01D46" w:rsidRDefault="00B01D46">
      <w:pPr>
        <w:pStyle w:val="Default"/>
        <w:spacing w:before="120"/>
        <w:ind w:right="-288"/>
      </w:pPr>
    </w:p>
    <w:p w14:paraId="6E4D87BD" w14:textId="77777777" w:rsidR="00B01D46" w:rsidRDefault="0067013E">
      <w:pPr>
        <w:pStyle w:val="NoSpacing"/>
        <w:spacing w:before="120"/>
        <w:ind w:left="0" w:right="-288"/>
        <w:rPr>
          <w:rFonts w:ascii="Times New Roman" w:hAnsi="Times New Roman" w:cs="Times New Roman"/>
          <w:b/>
          <w:bCs/>
          <w:sz w:val="24"/>
          <w:szCs w:val="24"/>
        </w:rPr>
      </w:pPr>
      <w:r>
        <w:rPr>
          <w:rFonts w:ascii="Times New Roman" w:hAnsi="Times New Roman" w:cs="Times New Roman"/>
          <w:sz w:val="24"/>
          <w:szCs w:val="24"/>
        </w:rPr>
        <w:t>My name is Evans M. Momanyi, currently a doctoral student in the Department of Library, Records Management and Information Studies, School of Information Sciences student, Moi University, Kenya. I am undertaking a study titled “</w:t>
      </w:r>
      <w:r>
        <w:rPr>
          <w:rFonts w:ascii="Times New Roman" w:hAnsi="Times New Roman" w:cs="Times New Roman"/>
          <w:b/>
          <w:sz w:val="24"/>
          <w:szCs w:val="24"/>
        </w:rPr>
        <w:t>Assessment of Information Literacy Skills of Undergraduate Medical Students in Moi University and University of Nairobi, Kenya</w:t>
      </w:r>
      <w:r>
        <w:rPr>
          <w:rFonts w:ascii="Times New Roman" w:hAnsi="Times New Roman" w:cs="Times New Roman"/>
          <w:b/>
          <w:bCs/>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You have been identified to participate in this study. I therefore, request you to respond to this questionnaire.</w:t>
      </w:r>
      <w:r>
        <w:rPr>
          <w:rFonts w:ascii="Times New Roman" w:hAnsi="Times New Roman" w:cs="Times New Roman"/>
          <w:b/>
          <w:bCs/>
          <w:sz w:val="24"/>
          <w:szCs w:val="24"/>
        </w:rPr>
        <w:t xml:space="preserve"> </w:t>
      </w:r>
    </w:p>
    <w:p w14:paraId="2F5D4FA1" w14:textId="77777777" w:rsidR="00B01D46" w:rsidRDefault="00B01D46">
      <w:pPr>
        <w:pStyle w:val="NoSpacing"/>
        <w:spacing w:before="120"/>
        <w:ind w:left="0" w:right="-288"/>
        <w:rPr>
          <w:rFonts w:ascii="Times New Roman" w:hAnsi="Times New Roman" w:cs="Times New Roman"/>
          <w:b/>
          <w:bCs/>
          <w:sz w:val="24"/>
          <w:szCs w:val="24"/>
        </w:rPr>
      </w:pPr>
    </w:p>
    <w:p w14:paraId="29C4919B" w14:textId="77777777" w:rsidR="00B01D46" w:rsidRDefault="0067013E">
      <w:pPr>
        <w:pStyle w:val="NoSpacing"/>
        <w:spacing w:before="120"/>
        <w:ind w:left="0" w:right="-288"/>
        <w:rPr>
          <w:rFonts w:ascii="Times New Roman" w:hAnsi="Times New Roman" w:cs="Times New Roman"/>
          <w:sz w:val="24"/>
          <w:szCs w:val="24"/>
        </w:rPr>
      </w:pPr>
      <w:r>
        <w:rPr>
          <w:rFonts w:ascii="Times New Roman" w:hAnsi="Times New Roman" w:cs="Times New Roman"/>
          <w:sz w:val="24"/>
          <w:szCs w:val="24"/>
        </w:rPr>
        <w:t>The study focuses on assessment of information literacy skills of undergraduate medical students in the selected public universities in Kenya,</w:t>
      </w:r>
      <w:r>
        <w:rPr>
          <w:rFonts w:ascii="Times New Roman" w:hAnsi="Times New Roman" w:cs="Times New Roman"/>
          <w:bCs/>
          <w:sz w:val="24"/>
          <w:szCs w:val="24"/>
        </w:rPr>
        <w:t xml:space="preserve"> with a view, of proposing a framework to enhance ILS adequacy among undergraduate medical students. </w:t>
      </w:r>
      <w:r>
        <w:rPr>
          <w:rFonts w:ascii="Times New Roman" w:hAnsi="Times New Roman" w:cs="Times New Roman"/>
          <w:sz w:val="24"/>
          <w:szCs w:val="24"/>
        </w:rPr>
        <w:t>The research will gather data on the status of information literacy skills among medical undergraduate students,  information literacy skills policy and curricula used in supporting ILS to medical undergraduate students, the perception of staff and medical undergraduate students towards the content and delivery methods of ILS , the role that ICT play in promoting the training and learning of information literacy skills among undergraduate medical students and knowledge and skills possessed by staff in facilitating ILS among medical undergraduate students</w:t>
      </w:r>
    </w:p>
    <w:p w14:paraId="7512B109" w14:textId="77777777" w:rsidR="00B01D46" w:rsidRDefault="00B01D46">
      <w:pPr>
        <w:pStyle w:val="NoSpacing"/>
        <w:spacing w:before="120"/>
        <w:ind w:left="0" w:right="-288"/>
        <w:rPr>
          <w:rFonts w:ascii="Times New Roman" w:hAnsi="Times New Roman" w:cs="Times New Roman"/>
          <w:b/>
          <w:bCs/>
          <w:sz w:val="24"/>
          <w:szCs w:val="24"/>
        </w:rPr>
      </w:pPr>
    </w:p>
    <w:p w14:paraId="691E9C48" w14:textId="77777777" w:rsidR="00B01D46" w:rsidRDefault="0067013E">
      <w:pPr>
        <w:pStyle w:val="NoSpacing"/>
        <w:spacing w:before="120"/>
        <w:ind w:left="0" w:right="-288"/>
        <w:rPr>
          <w:rFonts w:ascii="Times New Roman" w:hAnsi="Times New Roman" w:cs="Times New Roman"/>
          <w:sz w:val="24"/>
          <w:szCs w:val="24"/>
        </w:rPr>
      </w:pPr>
      <w:r>
        <w:rPr>
          <w:rFonts w:ascii="Times New Roman" w:hAnsi="Times New Roman" w:cs="Times New Roman"/>
          <w:sz w:val="24"/>
          <w:szCs w:val="24"/>
        </w:rPr>
        <w:t xml:space="preserve">I kindly request your participation in filling this questionnaire to enable me collect data that will address the research problem under investigation. Your responses will be treated with strict confidentiality, and will only be used for the stated academic purpose. Your contribution is highly valued. Please do not hesitate to contact the researcher for clarification on any aspect of this research. </w:t>
      </w:r>
    </w:p>
    <w:p w14:paraId="565E534B" w14:textId="77777777" w:rsidR="00B01D46" w:rsidRDefault="00B01D46">
      <w:pPr>
        <w:pStyle w:val="Default"/>
        <w:spacing w:before="120"/>
        <w:ind w:right="-288"/>
        <w:jc w:val="both"/>
      </w:pPr>
    </w:p>
    <w:p w14:paraId="7BAE359D" w14:textId="77777777" w:rsidR="00B01D46" w:rsidRDefault="0067013E">
      <w:pPr>
        <w:pStyle w:val="Default"/>
        <w:spacing w:before="120"/>
        <w:ind w:right="-288"/>
        <w:jc w:val="both"/>
      </w:pPr>
      <w:r>
        <w:t xml:space="preserve">Thank you in advance for your time and cooperation. </w:t>
      </w:r>
    </w:p>
    <w:p w14:paraId="654BD247" w14:textId="77777777" w:rsidR="00B01D46" w:rsidRDefault="00B01D46">
      <w:pPr>
        <w:pStyle w:val="Default"/>
        <w:spacing w:before="120"/>
        <w:ind w:right="-288"/>
        <w:jc w:val="both"/>
      </w:pPr>
    </w:p>
    <w:p w14:paraId="28CECC94" w14:textId="77777777" w:rsidR="00B01D46" w:rsidRDefault="0067013E">
      <w:pPr>
        <w:pStyle w:val="Default"/>
        <w:spacing w:before="120"/>
        <w:ind w:right="-288"/>
        <w:jc w:val="both"/>
      </w:pPr>
      <w:r>
        <w:rPr>
          <w:b/>
          <w:bCs/>
        </w:rPr>
        <w:t xml:space="preserve">Evans Motari Momanyi </w:t>
      </w:r>
    </w:p>
    <w:p w14:paraId="208B1AFD" w14:textId="77777777" w:rsidR="00B01D46" w:rsidRDefault="0067013E">
      <w:pPr>
        <w:pStyle w:val="Default"/>
        <w:spacing w:before="120"/>
        <w:ind w:right="-288"/>
        <w:jc w:val="both"/>
      </w:pPr>
      <w:r>
        <w:rPr>
          <w:b/>
          <w:bCs/>
        </w:rPr>
        <w:t xml:space="preserve">PhD student (Moi University) </w:t>
      </w:r>
    </w:p>
    <w:p w14:paraId="139731DB" w14:textId="77777777" w:rsidR="00B01D46" w:rsidRDefault="0067013E">
      <w:pPr>
        <w:pStyle w:val="Default"/>
        <w:spacing w:before="120"/>
        <w:ind w:right="-288"/>
        <w:jc w:val="both"/>
      </w:pPr>
      <w:r>
        <w:rPr>
          <w:b/>
          <w:bCs/>
        </w:rPr>
        <w:t xml:space="preserve">E-mail: emotari9@gmail.com </w:t>
      </w:r>
    </w:p>
    <w:p w14:paraId="2A605F26" w14:textId="77777777" w:rsidR="00B01D46" w:rsidRDefault="0067013E">
      <w:pPr>
        <w:pStyle w:val="Default"/>
        <w:spacing w:before="120"/>
        <w:ind w:right="-288"/>
        <w:jc w:val="both"/>
        <w:rPr>
          <w:b/>
          <w:bCs/>
        </w:rPr>
      </w:pPr>
      <w:r>
        <w:rPr>
          <w:b/>
          <w:bCs/>
        </w:rPr>
        <w:t xml:space="preserve">Mobile No.: +254 725 594005 </w:t>
      </w:r>
    </w:p>
    <w:p w14:paraId="4E2EFE4F" w14:textId="77777777" w:rsidR="00B01D46" w:rsidRDefault="00B01D46">
      <w:pPr>
        <w:pStyle w:val="Default"/>
        <w:spacing w:before="120"/>
        <w:ind w:right="-288"/>
        <w:jc w:val="both"/>
      </w:pPr>
    </w:p>
    <w:p w14:paraId="7BDEFDCE" w14:textId="77777777" w:rsidR="00B01D46" w:rsidRDefault="00B01D46">
      <w:pPr>
        <w:spacing w:before="120" w:after="0" w:line="240" w:lineRule="auto"/>
        <w:ind w:right="-288"/>
        <w:rPr>
          <w:rFonts w:ascii="Times New Roman" w:hAnsi="Times New Roman" w:cs="Times New Roman"/>
          <w:sz w:val="24"/>
          <w:szCs w:val="24"/>
        </w:rPr>
      </w:pPr>
    </w:p>
    <w:p w14:paraId="34BBB143" w14:textId="77777777" w:rsidR="00B01D46" w:rsidRDefault="0067013E">
      <w:pPr>
        <w:spacing w:before="120" w:after="0" w:line="240" w:lineRule="auto"/>
        <w:ind w:right="-288" w:hanging="10"/>
        <w:rPr>
          <w:rFonts w:ascii="Times New Roman" w:hAnsi="Times New Roman" w:cs="Times New Roman"/>
          <w:sz w:val="24"/>
          <w:szCs w:val="24"/>
        </w:rPr>
      </w:pPr>
      <w:r>
        <w:rPr>
          <w:rFonts w:ascii="Times New Roman" w:hAnsi="Times New Roman" w:cs="Times New Roman"/>
          <w:sz w:val="24"/>
          <w:szCs w:val="24"/>
        </w:rPr>
        <w:t xml:space="preserve">Thank you for your time and contribution to this research.  </w:t>
      </w:r>
    </w:p>
    <w:p w14:paraId="1F8C20B2" w14:textId="77777777" w:rsidR="00B01D46" w:rsidRDefault="0067013E">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5DCF1FD5" w14:textId="77777777" w:rsidR="00B01D46" w:rsidRDefault="0067013E">
      <w:pPr>
        <w:spacing w:before="120" w:after="0" w:line="360" w:lineRule="auto"/>
        <w:ind w:left="-288" w:right="-288" w:hanging="10"/>
        <w:rPr>
          <w:rFonts w:ascii="Times New Roman" w:hAnsi="Times New Roman" w:cs="Times New Roman"/>
          <w:sz w:val="24"/>
          <w:szCs w:val="24"/>
        </w:rPr>
      </w:pPr>
      <w:r>
        <w:rPr>
          <w:rFonts w:ascii="Times New Roman" w:hAnsi="Times New Roman" w:cs="Times New Roman"/>
          <w:b/>
          <w:sz w:val="24"/>
          <w:szCs w:val="24"/>
        </w:rPr>
        <w:lastRenderedPageBreak/>
        <w:t>A. Demographics   information</w:t>
      </w:r>
    </w:p>
    <w:p w14:paraId="6E05200B" w14:textId="77777777" w:rsidR="00B01D46" w:rsidRDefault="0067013E">
      <w:pPr>
        <w:pStyle w:val="ListParagraph"/>
        <w:numPr>
          <w:ilvl w:val="0"/>
          <w:numId w:val="18"/>
        </w:numPr>
        <w:spacing w:before="120" w:after="0" w:line="360" w:lineRule="auto"/>
        <w:ind w:left="284" w:right="-288" w:hanging="284"/>
        <w:contextualSpacing w:val="0"/>
        <w:rPr>
          <w:szCs w:val="24"/>
        </w:rPr>
      </w:pPr>
      <w:r>
        <w:rPr>
          <w:szCs w:val="24"/>
        </w:rPr>
        <w:t>Name of the Institution………………………………………………………………...</w:t>
      </w:r>
    </w:p>
    <w:p w14:paraId="55AB34E4" w14:textId="77777777" w:rsidR="00B01D46" w:rsidRDefault="0067013E">
      <w:pPr>
        <w:pStyle w:val="ListParagraph"/>
        <w:numPr>
          <w:ilvl w:val="0"/>
          <w:numId w:val="18"/>
        </w:numPr>
        <w:spacing w:before="120" w:after="0" w:line="360" w:lineRule="auto"/>
        <w:ind w:left="284" w:right="-288" w:hanging="284"/>
        <w:contextualSpacing w:val="0"/>
        <w:rPr>
          <w:szCs w:val="24"/>
        </w:rPr>
      </w:pPr>
      <w:r>
        <w:rPr>
          <w:szCs w:val="24"/>
        </w:rPr>
        <w:t xml:space="preserve">School………………………………………………………………………………… </w:t>
      </w:r>
    </w:p>
    <w:p w14:paraId="2418E213" w14:textId="77777777" w:rsidR="00B01D46" w:rsidRDefault="0067013E">
      <w:pPr>
        <w:pStyle w:val="ListParagraph"/>
        <w:numPr>
          <w:ilvl w:val="0"/>
          <w:numId w:val="18"/>
        </w:numPr>
        <w:spacing w:before="120" w:after="0" w:line="360" w:lineRule="auto"/>
        <w:ind w:left="284" w:right="-288" w:hanging="284"/>
        <w:contextualSpacing w:val="0"/>
        <w:rPr>
          <w:szCs w:val="24"/>
        </w:rPr>
      </w:pPr>
      <w:r>
        <w:rPr>
          <w:szCs w:val="24"/>
        </w:rPr>
        <w:t>Field of specialization …………………………………………………………………</w:t>
      </w:r>
    </w:p>
    <w:p w14:paraId="69A5C52C" w14:textId="77777777" w:rsidR="00B01D46" w:rsidRDefault="0067013E">
      <w:pPr>
        <w:pStyle w:val="ListParagraph"/>
        <w:numPr>
          <w:ilvl w:val="0"/>
          <w:numId w:val="18"/>
        </w:numPr>
        <w:spacing w:before="120" w:after="0" w:line="360" w:lineRule="auto"/>
        <w:ind w:left="284" w:right="-288" w:hanging="284"/>
        <w:contextualSpacing w:val="0"/>
        <w:rPr>
          <w:szCs w:val="24"/>
          <w:vertAlign w:val="superscript"/>
        </w:rPr>
      </w:pPr>
      <w:r>
        <w:rPr>
          <w:szCs w:val="24"/>
        </w:rPr>
        <w:t>Year of study [ ]4</w:t>
      </w:r>
      <w:r>
        <w:rPr>
          <w:szCs w:val="24"/>
          <w:vertAlign w:val="superscript"/>
        </w:rPr>
        <w:t>th</w:t>
      </w:r>
      <w:r>
        <w:rPr>
          <w:szCs w:val="24"/>
        </w:rPr>
        <w:t>[ ]5</w:t>
      </w:r>
      <w:r>
        <w:rPr>
          <w:szCs w:val="24"/>
          <w:vertAlign w:val="superscript"/>
        </w:rPr>
        <w:t>th</w:t>
      </w:r>
      <w:r>
        <w:rPr>
          <w:szCs w:val="24"/>
        </w:rPr>
        <w:t xml:space="preserve">  [ ]6</w:t>
      </w:r>
      <w:r>
        <w:rPr>
          <w:szCs w:val="24"/>
          <w:vertAlign w:val="superscript"/>
        </w:rPr>
        <w:t>th</w:t>
      </w:r>
    </w:p>
    <w:p w14:paraId="178A13C3" w14:textId="77777777" w:rsidR="00B01D46" w:rsidRDefault="0067013E">
      <w:pPr>
        <w:pStyle w:val="ListParagraph"/>
        <w:numPr>
          <w:ilvl w:val="0"/>
          <w:numId w:val="18"/>
        </w:numPr>
        <w:spacing w:before="120" w:after="0" w:line="360" w:lineRule="auto"/>
        <w:ind w:left="284" w:right="-288" w:hanging="284"/>
        <w:contextualSpacing w:val="0"/>
        <w:rPr>
          <w:szCs w:val="24"/>
        </w:rPr>
      </w:pPr>
      <w:r>
        <w:rPr>
          <w:szCs w:val="24"/>
        </w:rPr>
        <w:t xml:space="preserve">Gender:     [ ] Male     [ ] Female    </w:t>
      </w:r>
    </w:p>
    <w:p w14:paraId="2724CD19" w14:textId="77777777" w:rsidR="00B01D46" w:rsidRDefault="0067013E">
      <w:pPr>
        <w:pStyle w:val="NormalWeb"/>
        <w:shd w:val="clear" w:color="auto" w:fill="FFFFFF"/>
        <w:tabs>
          <w:tab w:val="left" w:pos="360"/>
        </w:tabs>
        <w:autoSpaceDE w:val="0"/>
        <w:autoSpaceDN w:val="0"/>
        <w:adjustRightInd w:val="0"/>
        <w:spacing w:before="120" w:beforeAutospacing="0" w:after="0" w:afterAutospacing="0" w:line="360" w:lineRule="auto"/>
        <w:ind w:left="284" w:right="-288" w:hanging="284"/>
        <w:jc w:val="both"/>
        <w:rPr>
          <w:b/>
        </w:rPr>
      </w:pPr>
      <w:r>
        <w:rPr>
          <w:rFonts w:eastAsia="Calibri"/>
          <w:b/>
        </w:rPr>
        <w:t xml:space="preserve">B. The Status of Information Literacy Skills </w:t>
      </w:r>
      <w:r>
        <w:rPr>
          <w:rFonts w:eastAsiaTheme="minorHAnsi"/>
          <w:b/>
        </w:rPr>
        <w:t>(ILS)</w:t>
      </w:r>
      <w:r>
        <w:rPr>
          <w:b/>
        </w:rPr>
        <w:t xml:space="preserve"> Among Medical Undergraduate Students</w:t>
      </w:r>
    </w:p>
    <w:p w14:paraId="49DD06D5" w14:textId="77777777" w:rsidR="00B01D46" w:rsidRDefault="0067013E">
      <w:pPr>
        <w:numPr>
          <w:ilvl w:val="0"/>
          <w:numId w:val="19"/>
        </w:numPr>
        <w:spacing w:before="120" w:after="0" w:line="240" w:lineRule="auto"/>
        <w:ind w:left="284" w:right="-288" w:hanging="284"/>
        <w:rPr>
          <w:rFonts w:ascii="Times New Roman" w:hAnsi="Times New Roman" w:cs="Times New Roman"/>
          <w:sz w:val="24"/>
          <w:szCs w:val="24"/>
        </w:rPr>
      </w:pPr>
      <w:r>
        <w:rPr>
          <w:rFonts w:ascii="Times New Roman" w:hAnsi="Times New Roman" w:cs="Times New Roman"/>
          <w:sz w:val="24"/>
          <w:szCs w:val="24"/>
        </w:rPr>
        <w:t xml:space="preserve">(a) Have you been trained on information literacy skills in your institution? </w:t>
      </w:r>
    </w:p>
    <w:p w14:paraId="3F5BEF8C" w14:textId="77777777" w:rsidR="00B01D46" w:rsidRDefault="00B01D46">
      <w:pPr>
        <w:spacing w:before="120" w:after="0" w:line="240" w:lineRule="auto"/>
        <w:ind w:left="284" w:right="-288" w:hanging="284"/>
        <w:rPr>
          <w:rFonts w:ascii="Times New Roman" w:hAnsi="Times New Roman" w:cs="Times New Roman"/>
          <w:sz w:val="24"/>
          <w:szCs w:val="24"/>
        </w:rPr>
      </w:pPr>
    </w:p>
    <w:p w14:paraId="4501A35A" w14:textId="77777777" w:rsidR="00B01D46" w:rsidRDefault="0067013E">
      <w:pPr>
        <w:spacing w:before="120" w:after="0" w:line="240" w:lineRule="auto"/>
        <w:ind w:left="284" w:right="-288" w:hanging="284"/>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1FE0F025" wp14:editId="13698553">
                <wp:simplePos x="0" y="0"/>
                <wp:positionH relativeFrom="column">
                  <wp:posOffset>914400</wp:posOffset>
                </wp:positionH>
                <wp:positionV relativeFrom="paragraph">
                  <wp:posOffset>-5080</wp:posOffset>
                </wp:positionV>
                <wp:extent cx="393700" cy="363220"/>
                <wp:effectExtent l="0" t="0" r="6350" b="0"/>
                <wp:wrapNone/>
                <wp:docPr id="888968678" name="Group 4"/>
                <wp:cNvGraphicFramePr/>
                <a:graphic xmlns:a="http://schemas.openxmlformats.org/drawingml/2006/main">
                  <a:graphicData uri="http://schemas.microsoft.com/office/word/2010/wordprocessingGroup">
                    <wpg:wgp>
                      <wpg:cNvGrpSpPr/>
                      <wpg:grpSpPr>
                        <a:xfrm>
                          <a:off x="0" y="0"/>
                          <a:ext cx="393700" cy="363220"/>
                          <a:chOff x="3520" y="12672"/>
                          <a:chExt cx="620" cy="780"/>
                        </a:xfrm>
                      </wpg:grpSpPr>
                      <wps:wsp>
                        <wps:cNvPr id="51" name="Rectangle 168"/>
                        <wps:cNvSpPr>
                          <a:spLocks noChangeArrowheads="1"/>
                        </wps:cNvSpPr>
                        <wps:spPr bwMode="auto">
                          <a:xfrm>
                            <a:off x="3520" y="12672"/>
                            <a:ext cx="620" cy="3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52" name="Rectangle 169"/>
                        <wps:cNvSpPr>
                          <a:spLocks noChangeArrowheads="1"/>
                        </wps:cNvSpPr>
                        <wps:spPr bwMode="auto">
                          <a:xfrm>
                            <a:off x="3520" y="13092"/>
                            <a:ext cx="620" cy="3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g:wgp>
                  </a:graphicData>
                </a:graphic>
              </wp:anchor>
            </w:drawing>
          </mc:Choice>
          <mc:Fallback xmlns:wpsCustomData="http://www.wps.cn/officeDocument/2013/wpsCustomData"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4" o:spid="_x0000_s1026" o:spt="203" style="position:absolute;left:0pt;margin-left:72pt;margin-top:-0.4pt;height:28.6pt;width:31pt;z-index:251659264;mso-width-relative:page;mso-height-relative:page;" coordorigin="3520,12672" coordsize="620,780" o:gfxdata="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pgvUY9cAAAAIAQAADwAAAAAAAAABACAAAAAiAAAA&#10;ZHJzL2Rvd25yZXYueG1sUEsBAhQAFAAAAAgAh07iQD+KF0izAgAAQQgAAA4AAAAAAAAAAQAgAAAA&#10;JgEAAGRycy9lMm9Eb2MueG1sUEsFBgAAAAAGAAYAWQEAAEsGAAAAAA==&#10;">
                <o:lock v:ext="edit" aspectratio="f"/>
                <v:rect id="Rectangle 168" o:spid="_x0000_s1026" o:spt="1" style="position:absolute;left:3520;top:12672;height:360;width:620;" fillcolor="#FFFFFF" filled="t" stroked="t" coordsize="21600,21600" o:gfxdata="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ugLK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rect>
                <v:rect id="Rectangle 169" o:spid="_x0000_s1026" o:spt="1" style="position:absolute;left:3520;top:13092;height:360;width:620;" fillcolor="#FFFFFF" filled="t" stroked="t" coordsize="21600,21600" o:gfxdata="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aJy9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rect>
              </v:group>
            </w:pict>
          </mc:Fallback>
        </mc:AlternateContent>
      </w:r>
      <w:r>
        <w:rPr>
          <w:rFonts w:ascii="Times New Roman" w:hAnsi="Times New Roman" w:cs="Times New Roman"/>
          <w:sz w:val="24"/>
          <w:szCs w:val="24"/>
        </w:rPr>
        <w:t xml:space="preserve">Yes </w:t>
      </w:r>
    </w:p>
    <w:p w14:paraId="6AE49733" w14:textId="77777777" w:rsidR="00B01D46" w:rsidRDefault="0067013E">
      <w:pPr>
        <w:spacing w:before="120" w:after="0" w:line="240" w:lineRule="auto"/>
        <w:ind w:left="284" w:right="-288" w:hanging="284"/>
        <w:rPr>
          <w:rFonts w:ascii="Times New Roman" w:hAnsi="Times New Roman" w:cs="Times New Roman"/>
          <w:sz w:val="24"/>
          <w:szCs w:val="24"/>
        </w:rPr>
      </w:pPr>
      <w:r>
        <w:rPr>
          <w:rFonts w:ascii="Times New Roman" w:hAnsi="Times New Roman" w:cs="Times New Roman"/>
          <w:sz w:val="24"/>
          <w:szCs w:val="24"/>
        </w:rPr>
        <w:t xml:space="preserve">No </w:t>
      </w:r>
    </w:p>
    <w:p w14:paraId="5E8961C2" w14:textId="77777777" w:rsidR="00B01D46" w:rsidRDefault="0067013E">
      <w:pPr>
        <w:tabs>
          <w:tab w:val="left" w:pos="1800"/>
        </w:tabs>
        <w:spacing w:before="120" w:after="0" w:line="240" w:lineRule="auto"/>
        <w:ind w:left="284" w:right="-288" w:hanging="284"/>
        <w:rPr>
          <w:rFonts w:ascii="Times New Roman" w:hAnsi="Times New Roman" w:cs="Times New Roman"/>
          <w:sz w:val="24"/>
          <w:szCs w:val="24"/>
        </w:rPr>
      </w:pPr>
      <w:r>
        <w:rPr>
          <w:rFonts w:ascii="Times New Roman" w:hAnsi="Times New Roman" w:cs="Times New Roman"/>
          <w:sz w:val="24"/>
          <w:szCs w:val="24"/>
        </w:rPr>
        <w:t xml:space="preserve">   (b) If No, please comment</w:t>
      </w:r>
    </w:p>
    <w:p w14:paraId="57782E69" w14:textId="77777777" w:rsidR="00B01D46" w:rsidRDefault="0067013E">
      <w:pPr>
        <w:tabs>
          <w:tab w:val="left" w:pos="1800"/>
        </w:tabs>
        <w:spacing w:before="120" w:after="0" w:line="240" w:lineRule="auto"/>
        <w:ind w:left="284" w:right="-288" w:hanging="284"/>
        <w:rPr>
          <w:rFonts w:ascii="Times New Roman" w:hAnsi="Times New Roman" w:cs="Times New Roman"/>
          <w:sz w:val="24"/>
          <w:szCs w:val="24"/>
        </w:rPr>
      </w:pPr>
      <w:r>
        <w:rPr>
          <w:rFonts w:ascii="Times New Roman" w:hAnsi="Times New Roman" w:cs="Times New Roman"/>
          <w:sz w:val="24"/>
          <w:szCs w:val="24"/>
        </w:rPr>
        <w:tab/>
        <w:t>………………………………………………………………………………………………………………………………………………………………………………………………………………………………………………………………………………………………</w:t>
      </w:r>
    </w:p>
    <w:p w14:paraId="3899514E" w14:textId="77777777" w:rsidR="00B01D46" w:rsidRDefault="0067013E">
      <w:pPr>
        <w:tabs>
          <w:tab w:val="left" w:pos="1800"/>
        </w:tabs>
        <w:spacing w:before="120" w:after="0" w:line="240" w:lineRule="auto"/>
        <w:ind w:left="284" w:right="-288" w:hanging="284"/>
        <w:rPr>
          <w:rFonts w:ascii="Times New Roman" w:hAnsi="Times New Roman" w:cs="Times New Roman"/>
          <w:sz w:val="24"/>
          <w:szCs w:val="24"/>
        </w:rPr>
      </w:pPr>
      <w:r>
        <w:rPr>
          <w:rFonts w:ascii="Times New Roman" w:hAnsi="Times New Roman" w:cs="Times New Roman"/>
          <w:sz w:val="24"/>
          <w:szCs w:val="24"/>
        </w:rPr>
        <w:t xml:space="preserve">    (c) If yes, have you found the information literacy training useful?</w:t>
      </w:r>
    </w:p>
    <w:p w14:paraId="6CD0EB09" w14:textId="77777777" w:rsidR="00B01D46" w:rsidRDefault="0067013E">
      <w:pPr>
        <w:spacing w:before="120" w:after="0" w:line="240" w:lineRule="auto"/>
        <w:ind w:left="284" w:right="-288" w:hanging="284"/>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14:anchorId="522C7860" wp14:editId="0F12CFB2">
                <wp:simplePos x="0" y="0"/>
                <wp:positionH relativeFrom="column">
                  <wp:posOffset>323850</wp:posOffset>
                </wp:positionH>
                <wp:positionV relativeFrom="paragraph">
                  <wp:posOffset>120015</wp:posOffset>
                </wp:positionV>
                <wp:extent cx="393700" cy="367030"/>
                <wp:effectExtent l="0" t="0" r="6350" b="0"/>
                <wp:wrapNone/>
                <wp:docPr id="478625279" name="Group 3"/>
                <wp:cNvGraphicFramePr/>
                <a:graphic xmlns:a="http://schemas.openxmlformats.org/drawingml/2006/main">
                  <a:graphicData uri="http://schemas.microsoft.com/office/word/2010/wordprocessingGroup">
                    <wpg:wgp>
                      <wpg:cNvGrpSpPr/>
                      <wpg:grpSpPr>
                        <a:xfrm>
                          <a:off x="0" y="0"/>
                          <a:ext cx="393700" cy="367030"/>
                          <a:chOff x="3520" y="12672"/>
                          <a:chExt cx="620" cy="780"/>
                        </a:xfrm>
                      </wpg:grpSpPr>
                      <wps:wsp>
                        <wps:cNvPr id="48" name="Rectangle 199"/>
                        <wps:cNvSpPr>
                          <a:spLocks noChangeArrowheads="1"/>
                        </wps:cNvSpPr>
                        <wps:spPr bwMode="auto">
                          <a:xfrm>
                            <a:off x="3520" y="12672"/>
                            <a:ext cx="620" cy="3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9" name="Rectangle 200"/>
                        <wps:cNvSpPr>
                          <a:spLocks noChangeArrowheads="1"/>
                        </wps:cNvSpPr>
                        <wps:spPr bwMode="auto">
                          <a:xfrm>
                            <a:off x="3520" y="13092"/>
                            <a:ext cx="620" cy="36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g:wgp>
                  </a:graphicData>
                </a:graphic>
              </wp:anchor>
            </w:drawing>
          </mc:Choice>
          <mc:Fallback xmlns:wpsCustomData="http://www.wps.cn/officeDocument/2013/wpsCustomData"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3" o:spid="_x0000_s1026" o:spt="203" style="position:absolute;left:0pt;margin-left:25.5pt;margin-top:9.45pt;height:28.9pt;width:31pt;z-index:251660288;mso-width-relative:page;mso-height-relative:page;" coordorigin="3520,12672" coordsize="620,780" o:gfxdata="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Lyds8DYAAAACAEAAA8AAAAAAAAAAQAgAAAA&#10;IgAAAGRycy9kb3ducmV2LnhtbFBLAQIUABQAAAAIAIdO4kDP+vQKtgIAAEEIAAAOAAAAAAAAAAEA&#10;IAAAACcBAABkcnMvZTJvRG9jLnhtbFBLBQYAAAAABgAGAFkBAABPBgAAAAA=&#10;">
                <o:lock v:ext="edit" aspectratio="f"/>
                <v:rect id="Rectangle 199" o:spid="_x0000_s1026" o:spt="1" style="position:absolute;left:3520;top:12672;height:360;width:620;" fillcolor="#FFFFFF" filled="t" stroked="t" coordsize="21600,21600" o:gfxdata="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oWT2K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rect>
                <v:rect id="Rectangle 200" o:spid="_x0000_s1026" o:spt="1" style="position:absolute;left:3520;top:13092;height:360;width:620;" fillcolor="#FFFFFF" filled="t" stroked="t" coordsize="21600,21600" o:gfxdata="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xWYEb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rect>
              </v:group>
            </w:pict>
          </mc:Fallback>
        </mc:AlternateContent>
      </w:r>
      <w:r>
        <w:rPr>
          <w:rFonts w:ascii="Times New Roman" w:hAnsi="Times New Roman" w:cs="Times New Roman"/>
          <w:sz w:val="24"/>
          <w:szCs w:val="24"/>
        </w:rPr>
        <w:t xml:space="preserve">Yes </w:t>
      </w:r>
    </w:p>
    <w:p w14:paraId="25D59FF9" w14:textId="77777777" w:rsidR="00B01D46" w:rsidRDefault="0067013E">
      <w:pPr>
        <w:spacing w:before="120" w:after="0" w:line="240" w:lineRule="auto"/>
        <w:ind w:left="284" w:right="-288" w:hanging="284"/>
        <w:rPr>
          <w:rFonts w:ascii="Times New Roman" w:hAnsi="Times New Roman" w:cs="Times New Roman"/>
          <w:sz w:val="24"/>
          <w:szCs w:val="24"/>
        </w:rPr>
      </w:pPr>
      <w:r>
        <w:rPr>
          <w:rFonts w:ascii="Times New Roman" w:hAnsi="Times New Roman" w:cs="Times New Roman"/>
          <w:sz w:val="24"/>
          <w:szCs w:val="24"/>
        </w:rPr>
        <w:t xml:space="preserve">No </w:t>
      </w:r>
    </w:p>
    <w:p w14:paraId="0F66D5EC" w14:textId="77777777" w:rsidR="00B01D46" w:rsidRDefault="0067013E">
      <w:pPr>
        <w:pStyle w:val="ListParagraph"/>
        <w:numPr>
          <w:ilvl w:val="0"/>
          <w:numId w:val="19"/>
        </w:numPr>
        <w:spacing w:before="120" w:after="0" w:line="276" w:lineRule="auto"/>
        <w:ind w:left="284" w:right="-288" w:hanging="284"/>
        <w:contextualSpacing w:val="0"/>
        <w:rPr>
          <w:szCs w:val="24"/>
        </w:rPr>
      </w:pPr>
      <w:r>
        <w:rPr>
          <w:szCs w:val="24"/>
        </w:rPr>
        <w:t>What information literacy skills have you gained that aid you in carrying out your studies?</w:t>
      </w:r>
    </w:p>
    <w:p w14:paraId="772976A1" w14:textId="77777777" w:rsidR="00B01D46" w:rsidRDefault="0067013E">
      <w:pPr>
        <w:spacing w:before="120" w:after="0" w:line="276" w:lineRule="auto"/>
        <w:ind w:left="284" w:right="-288" w:hanging="284"/>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i/>
          <w:sz w:val="24"/>
          <w:szCs w:val="24"/>
        </w:rPr>
        <w:t xml:space="preserve">Please </w:t>
      </w:r>
      <w:r>
        <w:rPr>
          <w:rFonts w:ascii="Times New Roman" w:hAnsi="Times New Roman" w:cs="Times New Roman"/>
          <w:b/>
          <w:i/>
          <w:sz w:val="24"/>
          <w:szCs w:val="24"/>
        </w:rPr>
        <w:t>CIRCLE</w:t>
      </w:r>
      <w:r>
        <w:rPr>
          <w:rFonts w:ascii="Times New Roman" w:hAnsi="Times New Roman" w:cs="Times New Roman"/>
          <w:i/>
          <w:sz w:val="24"/>
          <w:szCs w:val="24"/>
        </w:rPr>
        <w:t xml:space="preserve"> the number beside each statement that </w:t>
      </w:r>
      <w:r>
        <w:rPr>
          <w:rFonts w:ascii="Times New Roman" w:hAnsi="Times New Roman" w:cs="Times New Roman"/>
          <w:b/>
          <w:i/>
          <w:sz w:val="24"/>
          <w:szCs w:val="24"/>
        </w:rPr>
        <w:t>most accurately</w:t>
      </w:r>
      <w:r>
        <w:rPr>
          <w:rFonts w:ascii="Times New Roman" w:hAnsi="Times New Roman" w:cs="Times New Roman"/>
          <w:i/>
          <w:sz w:val="24"/>
          <w:szCs w:val="24"/>
        </w:rPr>
        <w:t xml:space="preserve"> reflects the extent to which you agree or disagree- meaning:  1 is </w:t>
      </w:r>
      <w:r>
        <w:rPr>
          <w:rFonts w:ascii="Times New Roman" w:hAnsi="Times New Roman" w:cs="Times New Roman"/>
          <w:b/>
          <w:i/>
          <w:sz w:val="24"/>
          <w:szCs w:val="24"/>
          <w:u w:val="single" w:color="000000"/>
        </w:rPr>
        <w:t>strongly DISAGREE</w:t>
      </w:r>
      <w:r>
        <w:rPr>
          <w:rFonts w:ascii="Times New Roman" w:hAnsi="Times New Roman" w:cs="Times New Roman"/>
          <w:i/>
          <w:sz w:val="24"/>
          <w:szCs w:val="24"/>
        </w:rPr>
        <w:t xml:space="preserve"> and 5 means you </w:t>
      </w:r>
      <w:r>
        <w:rPr>
          <w:rFonts w:ascii="Times New Roman" w:hAnsi="Times New Roman" w:cs="Times New Roman"/>
          <w:b/>
          <w:i/>
          <w:sz w:val="24"/>
          <w:szCs w:val="24"/>
          <w:u w:val="single" w:color="000000"/>
        </w:rPr>
        <w:t>Strongly AGREE</w:t>
      </w:r>
      <w:r>
        <w:rPr>
          <w:rFonts w:ascii="Times New Roman" w:hAnsi="Times New Roman" w:cs="Times New Roman"/>
          <w:i/>
          <w:sz w:val="24"/>
          <w:szCs w:val="24"/>
        </w:rPr>
        <w:t xml:space="preserve"> with the statement)</w:t>
      </w:r>
    </w:p>
    <w:tbl>
      <w:tblPr>
        <w:tblStyle w:val="TableGrid0"/>
        <w:tblW w:w="7998" w:type="dxa"/>
        <w:tblInd w:w="80" w:type="dxa"/>
        <w:tblLayout w:type="fixed"/>
        <w:tblCellMar>
          <w:top w:w="80" w:type="dxa"/>
          <w:left w:w="80" w:type="dxa"/>
          <w:right w:w="115" w:type="dxa"/>
        </w:tblCellMar>
        <w:tblLook w:val="04A0" w:firstRow="1" w:lastRow="0" w:firstColumn="1" w:lastColumn="0" w:noHBand="0" w:noVBand="1"/>
      </w:tblPr>
      <w:tblGrid>
        <w:gridCol w:w="644"/>
        <w:gridCol w:w="2337"/>
        <w:gridCol w:w="1034"/>
        <w:gridCol w:w="1061"/>
        <w:gridCol w:w="889"/>
        <w:gridCol w:w="761"/>
        <w:gridCol w:w="1272"/>
      </w:tblGrid>
      <w:tr w:rsidR="00B01D46" w14:paraId="204F98B5"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0CB8EBAA" w14:textId="77777777" w:rsidR="00B01D46" w:rsidRDefault="00B01D46">
            <w:pPr>
              <w:spacing w:after="0" w:line="240" w:lineRule="auto"/>
              <w:ind w:firstLine="900"/>
              <w:rPr>
                <w:rFonts w:ascii="Times New Roman" w:hAnsi="Times New Roman" w:cs="Times New Roman"/>
                <w:sz w:val="24"/>
                <w:szCs w:val="24"/>
              </w:rPr>
            </w:pPr>
          </w:p>
        </w:tc>
        <w:tc>
          <w:tcPr>
            <w:tcW w:w="2337" w:type="dxa"/>
            <w:tcBorders>
              <w:top w:val="single" w:sz="6" w:space="0" w:color="221F20"/>
              <w:left w:val="single" w:sz="6" w:space="0" w:color="221F20"/>
              <w:bottom w:val="single" w:sz="6" w:space="0" w:color="221F20"/>
              <w:right w:val="single" w:sz="6" w:space="0" w:color="221F20"/>
            </w:tcBorders>
          </w:tcPr>
          <w:p w14:paraId="2D357EE6" w14:textId="77777777" w:rsidR="00B01D46" w:rsidRDefault="0067013E">
            <w:pPr>
              <w:spacing w:after="0" w:line="240" w:lineRule="auto"/>
              <w:rPr>
                <w:rFonts w:ascii="Times New Roman" w:hAnsi="Times New Roman" w:cs="Times New Roman"/>
                <w:sz w:val="20"/>
                <w:szCs w:val="24"/>
              </w:rPr>
            </w:pPr>
            <w:r>
              <w:rPr>
                <w:rFonts w:ascii="Times New Roman" w:hAnsi="Times New Roman" w:cs="Times New Roman"/>
                <w:b/>
                <w:sz w:val="20"/>
                <w:szCs w:val="24"/>
              </w:rPr>
              <w:t>Information Literacy Skills</w:t>
            </w:r>
          </w:p>
        </w:tc>
        <w:tc>
          <w:tcPr>
            <w:tcW w:w="1034" w:type="dxa"/>
            <w:tcBorders>
              <w:top w:val="single" w:sz="6" w:space="0" w:color="221F20"/>
              <w:left w:val="single" w:sz="6" w:space="0" w:color="221F20"/>
              <w:bottom w:val="single" w:sz="6" w:space="0" w:color="221F20"/>
              <w:right w:val="single" w:sz="6" w:space="0" w:color="221F20"/>
            </w:tcBorders>
          </w:tcPr>
          <w:p w14:paraId="7852027C" w14:textId="77777777" w:rsidR="00B01D46" w:rsidRDefault="0067013E">
            <w:pPr>
              <w:pStyle w:val="NoSpacing"/>
              <w:ind w:left="1" w:right="-152"/>
              <w:jc w:val="center"/>
              <w:rPr>
                <w:rFonts w:ascii="Times New Roman" w:hAnsi="Times New Roman" w:cs="Times New Roman"/>
                <w:b/>
                <w:sz w:val="18"/>
                <w:szCs w:val="18"/>
              </w:rPr>
            </w:pPr>
            <w:r>
              <w:rPr>
                <w:rFonts w:ascii="Times New Roman" w:hAnsi="Times New Roman" w:cs="Times New Roman"/>
                <w:b/>
                <w:sz w:val="18"/>
                <w:szCs w:val="18"/>
              </w:rPr>
              <w:t>Strongly disagree</w:t>
            </w:r>
          </w:p>
        </w:tc>
        <w:tc>
          <w:tcPr>
            <w:tcW w:w="1061" w:type="dxa"/>
            <w:tcBorders>
              <w:top w:val="single" w:sz="6" w:space="0" w:color="221F20"/>
              <w:left w:val="single" w:sz="6" w:space="0" w:color="221F20"/>
              <w:bottom w:val="single" w:sz="6" w:space="0" w:color="221F20"/>
              <w:right w:val="single" w:sz="6" w:space="0" w:color="221F20"/>
            </w:tcBorders>
          </w:tcPr>
          <w:p w14:paraId="7D365371" w14:textId="77777777" w:rsidR="00B01D46" w:rsidRDefault="0067013E">
            <w:pPr>
              <w:pStyle w:val="NoSpacing"/>
              <w:ind w:left="1" w:right="-152"/>
              <w:jc w:val="center"/>
              <w:rPr>
                <w:rFonts w:ascii="Times New Roman" w:hAnsi="Times New Roman" w:cs="Times New Roman"/>
                <w:b/>
                <w:sz w:val="18"/>
                <w:szCs w:val="18"/>
              </w:rPr>
            </w:pPr>
            <w:r>
              <w:rPr>
                <w:rFonts w:ascii="Times New Roman" w:hAnsi="Times New Roman" w:cs="Times New Roman"/>
                <w:b/>
                <w:sz w:val="18"/>
                <w:szCs w:val="18"/>
              </w:rPr>
              <w:t>Disagree</w:t>
            </w:r>
          </w:p>
        </w:tc>
        <w:tc>
          <w:tcPr>
            <w:tcW w:w="889" w:type="dxa"/>
            <w:tcBorders>
              <w:top w:val="single" w:sz="6" w:space="0" w:color="221F20"/>
              <w:left w:val="single" w:sz="6" w:space="0" w:color="221F20"/>
              <w:bottom w:val="single" w:sz="6" w:space="0" w:color="221F20"/>
              <w:right w:val="single" w:sz="6" w:space="0" w:color="221F20"/>
            </w:tcBorders>
          </w:tcPr>
          <w:p w14:paraId="282C14C2" w14:textId="77777777" w:rsidR="00B01D46" w:rsidRDefault="0067013E">
            <w:pPr>
              <w:pStyle w:val="NoSpacing"/>
              <w:ind w:left="1" w:right="-152"/>
              <w:jc w:val="center"/>
              <w:rPr>
                <w:rFonts w:ascii="Times New Roman" w:hAnsi="Times New Roman" w:cs="Times New Roman"/>
                <w:b/>
                <w:sz w:val="18"/>
                <w:szCs w:val="18"/>
              </w:rPr>
            </w:pPr>
            <w:r>
              <w:rPr>
                <w:rFonts w:ascii="Times New Roman" w:hAnsi="Times New Roman" w:cs="Times New Roman"/>
                <w:b/>
                <w:sz w:val="18"/>
                <w:szCs w:val="18"/>
              </w:rPr>
              <w:t>Neutral</w:t>
            </w:r>
          </w:p>
        </w:tc>
        <w:tc>
          <w:tcPr>
            <w:tcW w:w="761" w:type="dxa"/>
            <w:tcBorders>
              <w:top w:val="single" w:sz="6" w:space="0" w:color="221F20"/>
              <w:left w:val="single" w:sz="6" w:space="0" w:color="221F20"/>
              <w:bottom w:val="single" w:sz="6" w:space="0" w:color="221F20"/>
              <w:right w:val="single" w:sz="6" w:space="0" w:color="221F20"/>
            </w:tcBorders>
          </w:tcPr>
          <w:p w14:paraId="3E250FF2" w14:textId="77777777" w:rsidR="00B01D46" w:rsidRDefault="0067013E">
            <w:pPr>
              <w:pStyle w:val="NoSpacing"/>
              <w:ind w:left="1" w:right="-152"/>
              <w:jc w:val="center"/>
              <w:rPr>
                <w:rFonts w:ascii="Times New Roman" w:hAnsi="Times New Roman" w:cs="Times New Roman"/>
                <w:b/>
                <w:sz w:val="18"/>
                <w:szCs w:val="18"/>
              </w:rPr>
            </w:pPr>
            <w:r>
              <w:rPr>
                <w:rFonts w:ascii="Times New Roman" w:hAnsi="Times New Roman" w:cs="Times New Roman"/>
                <w:b/>
                <w:sz w:val="18"/>
                <w:szCs w:val="18"/>
              </w:rPr>
              <w:t>Agree</w:t>
            </w:r>
          </w:p>
        </w:tc>
        <w:tc>
          <w:tcPr>
            <w:tcW w:w="1272" w:type="dxa"/>
            <w:tcBorders>
              <w:top w:val="single" w:sz="6" w:space="0" w:color="221F20"/>
              <w:left w:val="single" w:sz="6" w:space="0" w:color="221F20"/>
              <w:bottom w:val="single" w:sz="6" w:space="0" w:color="221F20"/>
              <w:right w:val="single" w:sz="6" w:space="0" w:color="221F20"/>
            </w:tcBorders>
          </w:tcPr>
          <w:p w14:paraId="2EE19CF8" w14:textId="77777777" w:rsidR="00B01D46" w:rsidRDefault="0067013E">
            <w:pPr>
              <w:pStyle w:val="NoSpacing"/>
              <w:ind w:left="1" w:right="-152"/>
              <w:jc w:val="center"/>
              <w:rPr>
                <w:rFonts w:ascii="Times New Roman" w:hAnsi="Times New Roman" w:cs="Times New Roman"/>
                <w:b/>
                <w:sz w:val="18"/>
                <w:szCs w:val="18"/>
              </w:rPr>
            </w:pPr>
            <w:r>
              <w:rPr>
                <w:rFonts w:ascii="Times New Roman" w:hAnsi="Times New Roman" w:cs="Times New Roman"/>
                <w:b/>
                <w:sz w:val="18"/>
                <w:szCs w:val="18"/>
              </w:rPr>
              <w:t>Strongly agree</w:t>
            </w:r>
          </w:p>
        </w:tc>
      </w:tr>
      <w:tr w:rsidR="00B01D46" w14:paraId="27C0CB59"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28A21D97" w14:textId="77777777" w:rsidR="00B01D46" w:rsidRDefault="0067013E">
            <w:pPr>
              <w:spacing w:after="0" w:line="240" w:lineRule="auto"/>
              <w:ind w:firstLine="900"/>
              <w:jc w:val="center"/>
              <w:rPr>
                <w:rFonts w:ascii="Times New Roman" w:hAnsi="Times New Roman" w:cs="Times New Roman"/>
                <w:sz w:val="24"/>
                <w:szCs w:val="24"/>
              </w:rPr>
            </w:pPr>
            <w:r>
              <w:rPr>
                <w:rFonts w:ascii="Times New Roman" w:hAnsi="Times New Roman" w:cs="Times New Roman"/>
                <w:sz w:val="24"/>
                <w:szCs w:val="24"/>
              </w:rPr>
              <w:t>1</w:t>
            </w:r>
          </w:p>
        </w:tc>
        <w:tc>
          <w:tcPr>
            <w:tcW w:w="2337" w:type="dxa"/>
            <w:tcBorders>
              <w:top w:val="single" w:sz="6" w:space="0" w:color="221F20"/>
              <w:left w:val="single" w:sz="6" w:space="0" w:color="221F20"/>
              <w:bottom w:val="single" w:sz="6" w:space="0" w:color="221F20"/>
              <w:right w:val="single" w:sz="6" w:space="0" w:color="221F20"/>
            </w:tcBorders>
            <w:vAlign w:val="bottom"/>
          </w:tcPr>
          <w:p w14:paraId="6E55E86B"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can express my exact information requirements.</w:t>
            </w:r>
          </w:p>
        </w:tc>
        <w:tc>
          <w:tcPr>
            <w:tcW w:w="1034" w:type="dxa"/>
            <w:tcBorders>
              <w:top w:val="single" w:sz="6" w:space="0" w:color="221F20"/>
              <w:left w:val="single" w:sz="6" w:space="0" w:color="221F20"/>
              <w:bottom w:val="single" w:sz="6" w:space="0" w:color="221F20"/>
              <w:right w:val="single" w:sz="6" w:space="0" w:color="221F20"/>
            </w:tcBorders>
          </w:tcPr>
          <w:p w14:paraId="70C24468"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67C74D94"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63F81416"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3F276A5B"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66280125"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4768BB22"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2A45E62E" w14:textId="77777777" w:rsidR="00B01D46" w:rsidRDefault="00B01D46">
            <w:pPr>
              <w:spacing w:after="0" w:line="240" w:lineRule="auto"/>
              <w:ind w:firstLine="900"/>
              <w:jc w:val="center"/>
              <w:rPr>
                <w:rFonts w:ascii="Times New Roman" w:hAnsi="Times New Roman" w:cs="Times New Roman"/>
                <w:sz w:val="24"/>
                <w:szCs w:val="24"/>
              </w:rPr>
            </w:pPr>
          </w:p>
        </w:tc>
        <w:tc>
          <w:tcPr>
            <w:tcW w:w="2337" w:type="dxa"/>
            <w:tcBorders>
              <w:top w:val="single" w:sz="6" w:space="0" w:color="221F20"/>
              <w:left w:val="single" w:sz="6" w:space="0" w:color="221F20"/>
              <w:bottom w:val="single" w:sz="6" w:space="0" w:color="221F20"/>
              <w:right w:val="single" w:sz="6" w:space="0" w:color="221F20"/>
            </w:tcBorders>
            <w:vAlign w:val="bottom"/>
          </w:tcPr>
          <w:p w14:paraId="569C4C2D"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can accurately clarify a topic's concepts.</w:t>
            </w:r>
          </w:p>
        </w:tc>
        <w:tc>
          <w:tcPr>
            <w:tcW w:w="1034" w:type="dxa"/>
            <w:tcBorders>
              <w:top w:val="single" w:sz="6" w:space="0" w:color="221F20"/>
              <w:left w:val="single" w:sz="6" w:space="0" w:color="221F20"/>
              <w:bottom w:val="single" w:sz="6" w:space="0" w:color="221F20"/>
              <w:right w:val="single" w:sz="6" w:space="0" w:color="221F20"/>
            </w:tcBorders>
          </w:tcPr>
          <w:p w14:paraId="45232F8B"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71E3AF20"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46C25157"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27B7540B"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3F1FF0E1"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46CC802B"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17DFE790" w14:textId="77777777" w:rsidR="00B01D46" w:rsidRDefault="00670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337" w:type="dxa"/>
            <w:tcBorders>
              <w:top w:val="single" w:sz="6" w:space="0" w:color="221F20"/>
              <w:left w:val="single" w:sz="6" w:space="0" w:color="221F20"/>
              <w:bottom w:val="single" w:sz="6" w:space="0" w:color="221F20"/>
              <w:right w:val="single" w:sz="6" w:space="0" w:color="221F20"/>
            </w:tcBorders>
            <w:vAlign w:val="bottom"/>
          </w:tcPr>
          <w:p w14:paraId="03C33B7C"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I comprehend the need to use the information to </w:t>
            </w:r>
            <w:r>
              <w:rPr>
                <w:rFonts w:ascii="Times New Roman" w:hAnsi="Times New Roman" w:cs="Times New Roman"/>
                <w:color w:val="000000"/>
                <w:sz w:val="24"/>
                <w:szCs w:val="24"/>
              </w:rPr>
              <w:lastRenderedPageBreak/>
              <w:t>undertake an everyday task</w:t>
            </w:r>
          </w:p>
        </w:tc>
        <w:tc>
          <w:tcPr>
            <w:tcW w:w="1034" w:type="dxa"/>
            <w:tcBorders>
              <w:top w:val="single" w:sz="6" w:space="0" w:color="221F20"/>
              <w:left w:val="single" w:sz="6" w:space="0" w:color="221F20"/>
              <w:bottom w:val="single" w:sz="6" w:space="0" w:color="221F20"/>
              <w:right w:val="single" w:sz="6" w:space="0" w:color="221F20"/>
            </w:tcBorders>
          </w:tcPr>
          <w:p w14:paraId="73CDB20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lastRenderedPageBreak/>
              <w:t>1</w:t>
            </w:r>
          </w:p>
        </w:tc>
        <w:tc>
          <w:tcPr>
            <w:tcW w:w="1061" w:type="dxa"/>
            <w:tcBorders>
              <w:top w:val="single" w:sz="6" w:space="0" w:color="221F20"/>
              <w:left w:val="single" w:sz="6" w:space="0" w:color="221F20"/>
              <w:bottom w:val="single" w:sz="6" w:space="0" w:color="221F20"/>
              <w:right w:val="single" w:sz="6" w:space="0" w:color="221F20"/>
            </w:tcBorders>
          </w:tcPr>
          <w:p w14:paraId="35348ACB"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3BBD6124"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6B448249"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3E470D0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0A4BA28C"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2E5DC04C" w14:textId="77777777" w:rsidR="00B01D46" w:rsidRDefault="00670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337" w:type="dxa"/>
            <w:tcBorders>
              <w:top w:val="single" w:sz="6" w:space="0" w:color="221F20"/>
              <w:left w:val="single" w:sz="6" w:space="0" w:color="221F20"/>
              <w:bottom w:val="single" w:sz="6" w:space="0" w:color="221F20"/>
              <w:right w:val="single" w:sz="6" w:space="0" w:color="221F20"/>
            </w:tcBorders>
            <w:vAlign w:val="bottom"/>
          </w:tcPr>
          <w:p w14:paraId="5DA6F2CF"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can utilize a variety of reference materials to become more acquainted with a subject</w:t>
            </w:r>
          </w:p>
        </w:tc>
        <w:tc>
          <w:tcPr>
            <w:tcW w:w="1034" w:type="dxa"/>
            <w:tcBorders>
              <w:top w:val="single" w:sz="6" w:space="0" w:color="221F20"/>
              <w:left w:val="single" w:sz="6" w:space="0" w:color="221F20"/>
              <w:bottom w:val="single" w:sz="6" w:space="0" w:color="221F20"/>
              <w:right w:val="single" w:sz="6" w:space="0" w:color="221F20"/>
            </w:tcBorders>
          </w:tcPr>
          <w:p w14:paraId="68BDC8D0"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53CDB6B1"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15E68A0E"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484B0830"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0185EFC2"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618B8806"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12A789C3" w14:textId="77777777" w:rsidR="00B01D46" w:rsidRDefault="00670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337" w:type="dxa"/>
            <w:tcBorders>
              <w:top w:val="single" w:sz="6" w:space="0" w:color="221F20"/>
              <w:left w:val="single" w:sz="6" w:space="0" w:color="221F20"/>
              <w:bottom w:val="single" w:sz="6" w:space="0" w:color="221F20"/>
              <w:right w:val="single" w:sz="6" w:space="0" w:color="221F20"/>
            </w:tcBorders>
            <w:vAlign w:val="bottom"/>
          </w:tcPr>
          <w:p w14:paraId="405CC5F5"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can choose information materials and abridge them in my own words for my use</w:t>
            </w:r>
          </w:p>
        </w:tc>
        <w:tc>
          <w:tcPr>
            <w:tcW w:w="1034" w:type="dxa"/>
            <w:tcBorders>
              <w:top w:val="single" w:sz="6" w:space="0" w:color="221F20"/>
              <w:left w:val="single" w:sz="6" w:space="0" w:color="221F20"/>
              <w:bottom w:val="single" w:sz="6" w:space="0" w:color="221F20"/>
              <w:right w:val="single" w:sz="6" w:space="0" w:color="221F20"/>
            </w:tcBorders>
          </w:tcPr>
          <w:p w14:paraId="42232E78"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5ABA874F"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40E5DA1C"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4CED3A0A"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43D8719E"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74F525BD"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40EE2EEA" w14:textId="77777777" w:rsidR="00B01D46" w:rsidRDefault="00670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337" w:type="dxa"/>
            <w:tcBorders>
              <w:top w:val="single" w:sz="6" w:space="0" w:color="221F20"/>
              <w:left w:val="single" w:sz="6" w:space="0" w:color="221F20"/>
              <w:bottom w:val="single" w:sz="6" w:space="0" w:color="221F20"/>
              <w:right w:val="single" w:sz="6" w:space="0" w:color="221F20"/>
            </w:tcBorders>
            <w:vAlign w:val="bottom"/>
          </w:tcPr>
          <w:p w14:paraId="0C8A8D98"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comprehend the nature of publicly available information on the worldwide web</w:t>
            </w:r>
          </w:p>
        </w:tc>
        <w:tc>
          <w:tcPr>
            <w:tcW w:w="1034" w:type="dxa"/>
            <w:tcBorders>
              <w:top w:val="single" w:sz="6" w:space="0" w:color="221F20"/>
              <w:left w:val="single" w:sz="6" w:space="0" w:color="221F20"/>
              <w:bottom w:val="single" w:sz="6" w:space="0" w:color="221F20"/>
              <w:right w:val="single" w:sz="6" w:space="0" w:color="221F20"/>
            </w:tcBorders>
          </w:tcPr>
          <w:p w14:paraId="3A66B7BE"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11A3BE5B"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51CA63BA"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5C60B906"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05A70EF3"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3B41AFD1"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7BB5BCF7" w14:textId="77777777" w:rsidR="00B01D46" w:rsidRDefault="00670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337" w:type="dxa"/>
            <w:tcBorders>
              <w:top w:val="single" w:sz="6" w:space="0" w:color="221F20"/>
              <w:left w:val="single" w:sz="6" w:space="0" w:color="221F20"/>
              <w:bottom w:val="single" w:sz="6" w:space="0" w:color="221F20"/>
              <w:right w:val="single" w:sz="6" w:space="0" w:color="221F20"/>
            </w:tcBorders>
            <w:vAlign w:val="bottom"/>
          </w:tcPr>
          <w:p w14:paraId="061F52EF"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am able to capture notes from both print and electronic sources by printing them or storing them to a disc.</w:t>
            </w:r>
          </w:p>
        </w:tc>
        <w:tc>
          <w:tcPr>
            <w:tcW w:w="1034" w:type="dxa"/>
            <w:tcBorders>
              <w:top w:val="single" w:sz="6" w:space="0" w:color="221F20"/>
              <w:left w:val="single" w:sz="6" w:space="0" w:color="221F20"/>
              <w:bottom w:val="single" w:sz="6" w:space="0" w:color="221F20"/>
              <w:right w:val="single" w:sz="6" w:space="0" w:color="221F20"/>
            </w:tcBorders>
          </w:tcPr>
          <w:p w14:paraId="7ABD5065"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4BC22E06"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736C756B"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22E17086"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3DA698D3"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61CEFF7C"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6202C49C" w14:textId="77777777" w:rsidR="00B01D46" w:rsidRDefault="00670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337" w:type="dxa"/>
            <w:tcBorders>
              <w:top w:val="single" w:sz="6" w:space="0" w:color="221F20"/>
              <w:left w:val="single" w:sz="6" w:space="0" w:color="221F20"/>
              <w:bottom w:val="single" w:sz="6" w:space="0" w:color="221F20"/>
              <w:right w:val="single" w:sz="6" w:space="0" w:color="221F20"/>
            </w:tcBorders>
            <w:vAlign w:val="bottom"/>
          </w:tcPr>
          <w:p w14:paraId="1F3D6CCA"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utilize truncation techniques</w:t>
            </w:r>
          </w:p>
        </w:tc>
        <w:tc>
          <w:tcPr>
            <w:tcW w:w="1034" w:type="dxa"/>
            <w:tcBorders>
              <w:top w:val="single" w:sz="6" w:space="0" w:color="221F20"/>
              <w:left w:val="single" w:sz="6" w:space="0" w:color="221F20"/>
              <w:bottom w:val="single" w:sz="6" w:space="0" w:color="221F20"/>
              <w:right w:val="single" w:sz="6" w:space="0" w:color="221F20"/>
            </w:tcBorders>
          </w:tcPr>
          <w:p w14:paraId="12834C3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5210853E"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5ED4877E"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1A5EE32A"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453D756F"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1F9B3E8A"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5D2C21EB" w14:textId="77777777" w:rsidR="00B01D46" w:rsidRDefault="006701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337" w:type="dxa"/>
            <w:tcBorders>
              <w:top w:val="single" w:sz="6" w:space="0" w:color="221F20"/>
              <w:left w:val="single" w:sz="6" w:space="0" w:color="221F20"/>
              <w:bottom w:val="single" w:sz="6" w:space="0" w:color="221F20"/>
              <w:right w:val="single" w:sz="6" w:space="0" w:color="221F20"/>
            </w:tcBorders>
            <w:vAlign w:val="bottom"/>
          </w:tcPr>
          <w:p w14:paraId="011E2777"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utilize Boolean search techniques</w:t>
            </w:r>
          </w:p>
        </w:tc>
        <w:tc>
          <w:tcPr>
            <w:tcW w:w="1034" w:type="dxa"/>
            <w:tcBorders>
              <w:top w:val="single" w:sz="6" w:space="0" w:color="221F20"/>
              <w:left w:val="single" w:sz="6" w:space="0" w:color="221F20"/>
              <w:bottom w:val="single" w:sz="6" w:space="0" w:color="221F20"/>
              <w:right w:val="single" w:sz="6" w:space="0" w:color="221F20"/>
            </w:tcBorders>
          </w:tcPr>
          <w:p w14:paraId="7CDCB3B4"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39E6F86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6CD55286"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4ECBD238"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7C4C8BC7"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13F36C5E"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21BB07AE"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10</w:t>
            </w:r>
          </w:p>
        </w:tc>
        <w:tc>
          <w:tcPr>
            <w:tcW w:w="2337" w:type="dxa"/>
            <w:tcBorders>
              <w:top w:val="single" w:sz="6" w:space="0" w:color="221F20"/>
              <w:left w:val="single" w:sz="6" w:space="0" w:color="221F20"/>
              <w:bottom w:val="single" w:sz="6" w:space="0" w:color="221F20"/>
              <w:right w:val="single" w:sz="6" w:space="0" w:color="221F20"/>
            </w:tcBorders>
            <w:vAlign w:val="bottom"/>
          </w:tcPr>
          <w:p w14:paraId="1F2265FF"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can narrow down the internet search by fields.</w:t>
            </w:r>
          </w:p>
        </w:tc>
        <w:tc>
          <w:tcPr>
            <w:tcW w:w="1034" w:type="dxa"/>
            <w:tcBorders>
              <w:top w:val="single" w:sz="6" w:space="0" w:color="221F20"/>
              <w:left w:val="single" w:sz="6" w:space="0" w:color="221F20"/>
              <w:bottom w:val="single" w:sz="6" w:space="0" w:color="221F20"/>
              <w:right w:val="single" w:sz="6" w:space="0" w:color="221F20"/>
            </w:tcBorders>
          </w:tcPr>
          <w:p w14:paraId="05AF9B91"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3CEFB86E"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53833AF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6C7ACC61"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3DFFA897"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5A9AE999"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7C911EDF"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11</w:t>
            </w:r>
          </w:p>
        </w:tc>
        <w:tc>
          <w:tcPr>
            <w:tcW w:w="2337" w:type="dxa"/>
            <w:tcBorders>
              <w:top w:val="single" w:sz="6" w:space="0" w:color="221F20"/>
              <w:left w:val="single" w:sz="6" w:space="0" w:color="221F20"/>
              <w:bottom w:val="single" w:sz="6" w:space="0" w:color="221F20"/>
              <w:right w:val="single" w:sz="6" w:space="0" w:color="221F20"/>
            </w:tcBorders>
            <w:vAlign w:val="bottom"/>
          </w:tcPr>
          <w:p w14:paraId="665A5136"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utilize a mailing list to get and exchange information</w:t>
            </w:r>
          </w:p>
        </w:tc>
        <w:tc>
          <w:tcPr>
            <w:tcW w:w="1034" w:type="dxa"/>
            <w:tcBorders>
              <w:top w:val="single" w:sz="6" w:space="0" w:color="221F20"/>
              <w:left w:val="single" w:sz="6" w:space="0" w:color="221F20"/>
              <w:bottom w:val="single" w:sz="6" w:space="0" w:color="221F20"/>
              <w:right w:val="single" w:sz="6" w:space="0" w:color="221F20"/>
            </w:tcBorders>
          </w:tcPr>
          <w:p w14:paraId="31EA7CBA"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0BBFCBEE"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57FF3390"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746A0DC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23A0604B"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194F25A7"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04006FF2"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12</w:t>
            </w:r>
          </w:p>
        </w:tc>
        <w:tc>
          <w:tcPr>
            <w:tcW w:w="2337" w:type="dxa"/>
            <w:tcBorders>
              <w:top w:val="single" w:sz="6" w:space="0" w:color="221F20"/>
              <w:left w:val="single" w:sz="6" w:space="0" w:color="221F20"/>
              <w:bottom w:val="single" w:sz="6" w:space="0" w:color="221F20"/>
              <w:right w:val="single" w:sz="6" w:space="0" w:color="221F20"/>
            </w:tcBorders>
            <w:vAlign w:val="bottom"/>
          </w:tcPr>
          <w:p w14:paraId="1FD356D5"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utilize group discussions to gather and share information</w:t>
            </w:r>
          </w:p>
        </w:tc>
        <w:tc>
          <w:tcPr>
            <w:tcW w:w="1034" w:type="dxa"/>
            <w:tcBorders>
              <w:top w:val="single" w:sz="6" w:space="0" w:color="221F20"/>
              <w:left w:val="single" w:sz="6" w:space="0" w:color="221F20"/>
              <w:bottom w:val="single" w:sz="6" w:space="0" w:color="221F20"/>
              <w:right w:val="single" w:sz="6" w:space="0" w:color="221F20"/>
            </w:tcBorders>
          </w:tcPr>
          <w:p w14:paraId="09B6DA89"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46EA733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2B53D137"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498DED97"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64E0A60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58F8D310"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0C6444D9"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13</w:t>
            </w:r>
          </w:p>
        </w:tc>
        <w:tc>
          <w:tcPr>
            <w:tcW w:w="2337" w:type="dxa"/>
            <w:tcBorders>
              <w:top w:val="single" w:sz="6" w:space="0" w:color="221F20"/>
              <w:left w:val="single" w:sz="6" w:space="0" w:color="221F20"/>
              <w:bottom w:val="single" w:sz="6" w:space="0" w:color="221F20"/>
              <w:right w:val="single" w:sz="6" w:space="0" w:color="221F20"/>
            </w:tcBorders>
            <w:vAlign w:val="bottom"/>
          </w:tcPr>
          <w:p w14:paraId="7DB1EFC0"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utilize newsgroups/online forums to gather and share information</w:t>
            </w:r>
          </w:p>
        </w:tc>
        <w:tc>
          <w:tcPr>
            <w:tcW w:w="1034" w:type="dxa"/>
            <w:tcBorders>
              <w:top w:val="single" w:sz="6" w:space="0" w:color="221F20"/>
              <w:left w:val="single" w:sz="6" w:space="0" w:color="221F20"/>
              <w:bottom w:val="single" w:sz="6" w:space="0" w:color="221F20"/>
              <w:right w:val="single" w:sz="6" w:space="0" w:color="221F20"/>
            </w:tcBorders>
          </w:tcPr>
          <w:p w14:paraId="2E479E6C"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0C9570E0"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5C17FA78"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1EF0B72C"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13AFC3D7"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674D57A7"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5CC60359"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14</w:t>
            </w:r>
          </w:p>
        </w:tc>
        <w:tc>
          <w:tcPr>
            <w:tcW w:w="2337" w:type="dxa"/>
            <w:tcBorders>
              <w:top w:val="single" w:sz="6" w:space="0" w:color="221F20"/>
              <w:left w:val="single" w:sz="6" w:space="0" w:color="221F20"/>
              <w:bottom w:val="single" w:sz="6" w:space="0" w:color="221F20"/>
              <w:right w:val="single" w:sz="6" w:space="0" w:color="221F20"/>
            </w:tcBorders>
            <w:vAlign w:val="bottom"/>
          </w:tcPr>
          <w:p w14:paraId="337B54CF"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can distinguish precise and comprehensive information</w:t>
            </w:r>
          </w:p>
        </w:tc>
        <w:tc>
          <w:tcPr>
            <w:tcW w:w="1034" w:type="dxa"/>
            <w:tcBorders>
              <w:top w:val="single" w:sz="6" w:space="0" w:color="221F20"/>
              <w:left w:val="single" w:sz="6" w:space="0" w:color="221F20"/>
              <w:bottom w:val="single" w:sz="6" w:space="0" w:color="221F20"/>
              <w:right w:val="single" w:sz="6" w:space="0" w:color="221F20"/>
            </w:tcBorders>
          </w:tcPr>
          <w:p w14:paraId="1D715D1F"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210E3286"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38B5045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13753AC8"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135CB9B7"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469C1B19"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1D288806"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15</w:t>
            </w:r>
          </w:p>
        </w:tc>
        <w:tc>
          <w:tcPr>
            <w:tcW w:w="2337" w:type="dxa"/>
            <w:tcBorders>
              <w:top w:val="single" w:sz="6" w:space="0" w:color="221F20"/>
              <w:left w:val="single" w:sz="6" w:space="0" w:color="221F20"/>
              <w:bottom w:val="single" w:sz="6" w:space="0" w:color="221F20"/>
              <w:right w:val="single" w:sz="6" w:space="0" w:color="221F20"/>
            </w:tcBorders>
            <w:vAlign w:val="bottom"/>
          </w:tcPr>
          <w:p w14:paraId="36F7064D"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I utilize acquired information to critically think and </w:t>
            </w:r>
            <w:r>
              <w:rPr>
                <w:rFonts w:ascii="Times New Roman" w:hAnsi="Times New Roman" w:cs="Times New Roman"/>
                <w:color w:val="000000"/>
                <w:sz w:val="24"/>
                <w:szCs w:val="24"/>
              </w:rPr>
              <w:lastRenderedPageBreak/>
              <w:t>solve study related problems.</w:t>
            </w:r>
          </w:p>
        </w:tc>
        <w:tc>
          <w:tcPr>
            <w:tcW w:w="1034" w:type="dxa"/>
            <w:tcBorders>
              <w:top w:val="single" w:sz="6" w:space="0" w:color="221F20"/>
              <w:left w:val="single" w:sz="6" w:space="0" w:color="221F20"/>
              <w:bottom w:val="single" w:sz="6" w:space="0" w:color="221F20"/>
              <w:right w:val="single" w:sz="6" w:space="0" w:color="221F20"/>
            </w:tcBorders>
          </w:tcPr>
          <w:p w14:paraId="3DB993AF"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lastRenderedPageBreak/>
              <w:t>1</w:t>
            </w:r>
          </w:p>
        </w:tc>
        <w:tc>
          <w:tcPr>
            <w:tcW w:w="1061" w:type="dxa"/>
            <w:tcBorders>
              <w:top w:val="single" w:sz="6" w:space="0" w:color="221F20"/>
              <w:left w:val="single" w:sz="6" w:space="0" w:color="221F20"/>
              <w:bottom w:val="single" w:sz="6" w:space="0" w:color="221F20"/>
              <w:right w:val="single" w:sz="6" w:space="0" w:color="221F20"/>
            </w:tcBorders>
          </w:tcPr>
          <w:p w14:paraId="13638701"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6C3EF073"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459B69BB"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763411CF"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178DB9E5"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6DC8734F"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16</w:t>
            </w:r>
          </w:p>
        </w:tc>
        <w:tc>
          <w:tcPr>
            <w:tcW w:w="2337" w:type="dxa"/>
            <w:tcBorders>
              <w:top w:val="single" w:sz="6" w:space="0" w:color="221F20"/>
              <w:left w:val="single" w:sz="6" w:space="0" w:color="221F20"/>
              <w:bottom w:val="single" w:sz="6" w:space="0" w:color="221F20"/>
              <w:right w:val="single" w:sz="6" w:space="0" w:color="221F20"/>
            </w:tcBorders>
            <w:vAlign w:val="bottom"/>
          </w:tcPr>
          <w:p w14:paraId="3DFC86C0"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can efficiently search for certain library materials using the library's online public access catalogue.</w:t>
            </w:r>
          </w:p>
        </w:tc>
        <w:tc>
          <w:tcPr>
            <w:tcW w:w="1034" w:type="dxa"/>
            <w:tcBorders>
              <w:top w:val="single" w:sz="6" w:space="0" w:color="221F20"/>
              <w:left w:val="single" w:sz="6" w:space="0" w:color="221F20"/>
              <w:bottom w:val="single" w:sz="6" w:space="0" w:color="221F20"/>
              <w:right w:val="single" w:sz="6" w:space="0" w:color="221F20"/>
            </w:tcBorders>
          </w:tcPr>
          <w:p w14:paraId="1BCA40B4"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392101C6"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424DCE3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3DEDD4A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6804B481"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391B4A0F"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3321316D"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17</w:t>
            </w:r>
          </w:p>
        </w:tc>
        <w:tc>
          <w:tcPr>
            <w:tcW w:w="2337" w:type="dxa"/>
            <w:tcBorders>
              <w:top w:val="single" w:sz="6" w:space="0" w:color="221F20"/>
              <w:left w:val="single" w:sz="6" w:space="0" w:color="221F20"/>
              <w:bottom w:val="single" w:sz="6" w:space="0" w:color="221F20"/>
              <w:right w:val="single" w:sz="6" w:space="0" w:color="221F20"/>
            </w:tcBorders>
            <w:vAlign w:val="bottom"/>
          </w:tcPr>
          <w:p w14:paraId="1B71F505"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am capable of incorporating learnt information into an existing body of knowledge</w:t>
            </w:r>
          </w:p>
        </w:tc>
        <w:tc>
          <w:tcPr>
            <w:tcW w:w="1034" w:type="dxa"/>
            <w:tcBorders>
              <w:top w:val="single" w:sz="6" w:space="0" w:color="221F20"/>
              <w:left w:val="single" w:sz="6" w:space="0" w:color="221F20"/>
              <w:bottom w:val="single" w:sz="6" w:space="0" w:color="221F20"/>
              <w:right w:val="single" w:sz="6" w:space="0" w:color="221F20"/>
            </w:tcBorders>
          </w:tcPr>
          <w:p w14:paraId="7DD19329"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6C077DA2"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766BA5DC"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1AC6EC6C"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5C68BCAE"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417AAB78"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66F4FC09"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18</w:t>
            </w:r>
          </w:p>
        </w:tc>
        <w:tc>
          <w:tcPr>
            <w:tcW w:w="2337" w:type="dxa"/>
            <w:tcBorders>
              <w:top w:val="single" w:sz="6" w:space="0" w:color="221F20"/>
              <w:left w:val="single" w:sz="6" w:space="0" w:color="221F20"/>
              <w:bottom w:val="single" w:sz="6" w:space="0" w:color="221F20"/>
              <w:right w:val="single" w:sz="6" w:space="0" w:color="221F20"/>
            </w:tcBorders>
            <w:vAlign w:val="bottom"/>
          </w:tcPr>
          <w:p w14:paraId="5F75D643"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can arrange information for practical use</w:t>
            </w:r>
          </w:p>
        </w:tc>
        <w:tc>
          <w:tcPr>
            <w:tcW w:w="1034" w:type="dxa"/>
            <w:tcBorders>
              <w:top w:val="single" w:sz="6" w:space="0" w:color="221F20"/>
              <w:left w:val="single" w:sz="6" w:space="0" w:color="221F20"/>
              <w:bottom w:val="single" w:sz="6" w:space="0" w:color="221F20"/>
              <w:right w:val="single" w:sz="6" w:space="0" w:color="221F20"/>
            </w:tcBorders>
          </w:tcPr>
          <w:p w14:paraId="46A99EE2"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74411612"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7FF8A5CC"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00FD8DA8"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1A3013F7"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54BD6DBF"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1A10FD8A"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19</w:t>
            </w:r>
          </w:p>
        </w:tc>
        <w:tc>
          <w:tcPr>
            <w:tcW w:w="2337" w:type="dxa"/>
            <w:tcBorders>
              <w:top w:val="single" w:sz="6" w:space="0" w:color="221F20"/>
              <w:left w:val="single" w:sz="6" w:space="0" w:color="221F20"/>
              <w:bottom w:val="single" w:sz="6" w:space="0" w:color="221F20"/>
              <w:right w:val="single" w:sz="6" w:space="0" w:color="221F20"/>
            </w:tcBorders>
            <w:vAlign w:val="bottom"/>
          </w:tcPr>
          <w:p w14:paraId="18DB5853"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utilize web addresses for internet searching</w:t>
            </w:r>
          </w:p>
        </w:tc>
        <w:tc>
          <w:tcPr>
            <w:tcW w:w="1034" w:type="dxa"/>
            <w:tcBorders>
              <w:top w:val="single" w:sz="6" w:space="0" w:color="221F20"/>
              <w:left w:val="single" w:sz="6" w:space="0" w:color="221F20"/>
              <w:bottom w:val="single" w:sz="6" w:space="0" w:color="221F20"/>
              <w:right w:val="single" w:sz="6" w:space="0" w:color="221F20"/>
            </w:tcBorders>
          </w:tcPr>
          <w:p w14:paraId="31D81CAE"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4AD0FF59"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4EE0E5C1"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24DAF096"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7E4C6B4D"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4E91E9AC"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02280D22"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20</w:t>
            </w:r>
          </w:p>
        </w:tc>
        <w:tc>
          <w:tcPr>
            <w:tcW w:w="2337" w:type="dxa"/>
            <w:tcBorders>
              <w:top w:val="single" w:sz="6" w:space="0" w:color="221F20"/>
              <w:left w:val="single" w:sz="6" w:space="0" w:color="221F20"/>
              <w:bottom w:val="single" w:sz="6" w:space="0" w:color="221F20"/>
              <w:right w:val="single" w:sz="6" w:space="0" w:color="221F20"/>
            </w:tcBorders>
            <w:vAlign w:val="bottom"/>
          </w:tcPr>
          <w:p w14:paraId="558C9589"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utilize information ethically and legally</w:t>
            </w:r>
          </w:p>
        </w:tc>
        <w:tc>
          <w:tcPr>
            <w:tcW w:w="1034" w:type="dxa"/>
            <w:tcBorders>
              <w:top w:val="single" w:sz="6" w:space="0" w:color="221F20"/>
              <w:left w:val="single" w:sz="6" w:space="0" w:color="221F20"/>
              <w:bottom w:val="single" w:sz="6" w:space="0" w:color="221F20"/>
              <w:right w:val="single" w:sz="6" w:space="0" w:color="221F20"/>
            </w:tcBorders>
          </w:tcPr>
          <w:p w14:paraId="0D518DDB"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0CBBAFF4"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1759C942"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6A8AA37E"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63AF13A7"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r w:rsidR="00B01D46" w14:paraId="57BA40FE" w14:textId="77777777">
        <w:trPr>
          <w:trHeight w:val="20"/>
        </w:trPr>
        <w:tc>
          <w:tcPr>
            <w:tcW w:w="644" w:type="dxa"/>
            <w:tcBorders>
              <w:top w:val="single" w:sz="6" w:space="0" w:color="221F20"/>
              <w:left w:val="single" w:sz="6" w:space="0" w:color="221F20"/>
              <w:bottom w:val="single" w:sz="6" w:space="0" w:color="221F20"/>
              <w:right w:val="single" w:sz="6" w:space="0" w:color="221F20"/>
            </w:tcBorders>
          </w:tcPr>
          <w:p w14:paraId="4EBE5CED" w14:textId="77777777" w:rsidR="00B01D46" w:rsidRDefault="0067013E">
            <w:pPr>
              <w:spacing w:after="0" w:line="240" w:lineRule="auto"/>
              <w:ind w:left="80"/>
              <w:rPr>
                <w:rFonts w:ascii="Times New Roman" w:hAnsi="Times New Roman" w:cs="Times New Roman"/>
                <w:sz w:val="24"/>
                <w:szCs w:val="24"/>
              </w:rPr>
            </w:pPr>
            <w:r>
              <w:rPr>
                <w:rFonts w:ascii="Times New Roman" w:hAnsi="Times New Roman" w:cs="Times New Roman"/>
                <w:sz w:val="24"/>
                <w:szCs w:val="24"/>
              </w:rPr>
              <w:t>21</w:t>
            </w:r>
          </w:p>
        </w:tc>
        <w:tc>
          <w:tcPr>
            <w:tcW w:w="2337" w:type="dxa"/>
            <w:tcBorders>
              <w:top w:val="single" w:sz="6" w:space="0" w:color="221F20"/>
              <w:left w:val="single" w:sz="6" w:space="0" w:color="221F20"/>
              <w:bottom w:val="single" w:sz="6" w:space="0" w:color="221F20"/>
              <w:right w:val="single" w:sz="6" w:space="0" w:color="221F20"/>
            </w:tcBorders>
            <w:vAlign w:val="bottom"/>
          </w:tcPr>
          <w:p w14:paraId="77FFCA15"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I can express my exact information requirements.</w:t>
            </w:r>
          </w:p>
        </w:tc>
        <w:tc>
          <w:tcPr>
            <w:tcW w:w="1034" w:type="dxa"/>
            <w:tcBorders>
              <w:top w:val="single" w:sz="6" w:space="0" w:color="221F20"/>
              <w:left w:val="single" w:sz="6" w:space="0" w:color="221F20"/>
              <w:bottom w:val="single" w:sz="6" w:space="0" w:color="221F20"/>
              <w:right w:val="single" w:sz="6" w:space="0" w:color="221F20"/>
            </w:tcBorders>
          </w:tcPr>
          <w:p w14:paraId="2AF88D9A"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1</w:t>
            </w:r>
          </w:p>
        </w:tc>
        <w:tc>
          <w:tcPr>
            <w:tcW w:w="1061" w:type="dxa"/>
            <w:tcBorders>
              <w:top w:val="single" w:sz="6" w:space="0" w:color="221F20"/>
              <w:left w:val="single" w:sz="6" w:space="0" w:color="221F20"/>
              <w:bottom w:val="single" w:sz="6" w:space="0" w:color="221F20"/>
              <w:right w:val="single" w:sz="6" w:space="0" w:color="221F20"/>
            </w:tcBorders>
          </w:tcPr>
          <w:p w14:paraId="1C5D1E18"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2</w:t>
            </w:r>
          </w:p>
        </w:tc>
        <w:tc>
          <w:tcPr>
            <w:tcW w:w="889" w:type="dxa"/>
            <w:tcBorders>
              <w:top w:val="single" w:sz="6" w:space="0" w:color="221F20"/>
              <w:left w:val="single" w:sz="6" w:space="0" w:color="221F20"/>
              <w:bottom w:val="single" w:sz="6" w:space="0" w:color="221F20"/>
              <w:right w:val="single" w:sz="6" w:space="0" w:color="221F20"/>
            </w:tcBorders>
          </w:tcPr>
          <w:p w14:paraId="3B584DB2"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3</w:t>
            </w:r>
          </w:p>
        </w:tc>
        <w:tc>
          <w:tcPr>
            <w:tcW w:w="761" w:type="dxa"/>
            <w:tcBorders>
              <w:top w:val="single" w:sz="6" w:space="0" w:color="221F20"/>
              <w:left w:val="single" w:sz="6" w:space="0" w:color="221F20"/>
              <w:bottom w:val="single" w:sz="6" w:space="0" w:color="221F20"/>
              <w:right w:val="single" w:sz="6" w:space="0" w:color="221F20"/>
            </w:tcBorders>
          </w:tcPr>
          <w:p w14:paraId="45A96A60"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4</w:t>
            </w:r>
          </w:p>
        </w:tc>
        <w:tc>
          <w:tcPr>
            <w:tcW w:w="1272" w:type="dxa"/>
            <w:tcBorders>
              <w:top w:val="single" w:sz="6" w:space="0" w:color="221F20"/>
              <w:left w:val="single" w:sz="6" w:space="0" w:color="221F20"/>
              <w:bottom w:val="single" w:sz="6" w:space="0" w:color="221F20"/>
              <w:right w:val="single" w:sz="6" w:space="0" w:color="221F20"/>
            </w:tcBorders>
          </w:tcPr>
          <w:p w14:paraId="0F62AE02" w14:textId="77777777" w:rsidR="00B01D46" w:rsidRDefault="0067013E">
            <w:pPr>
              <w:pStyle w:val="NoSpacing"/>
              <w:ind w:left="1" w:right="-152"/>
              <w:jc w:val="center"/>
              <w:rPr>
                <w:rFonts w:ascii="Times New Roman" w:hAnsi="Times New Roman" w:cs="Times New Roman"/>
                <w:sz w:val="18"/>
                <w:szCs w:val="18"/>
              </w:rPr>
            </w:pPr>
            <w:r>
              <w:rPr>
                <w:rFonts w:ascii="Times New Roman" w:hAnsi="Times New Roman" w:cs="Times New Roman"/>
                <w:sz w:val="18"/>
                <w:szCs w:val="18"/>
              </w:rPr>
              <w:t>5</w:t>
            </w:r>
          </w:p>
        </w:tc>
      </w:tr>
    </w:tbl>
    <w:p w14:paraId="1F5C27F1" w14:textId="77777777" w:rsidR="00B01D46" w:rsidRDefault="0067013E">
      <w:pPr>
        <w:pStyle w:val="NormalWeb"/>
        <w:numPr>
          <w:ilvl w:val="0"/>
          <w:numId w:val="19"/>
        </w:numPr>
        <w:shd w:val="clear" w:color="auto" w:fill="FFFFFF"/>
        <w:autoSpaceDE w:val="0"/>
        <w:autoSpaceDN w:val="0"/>
        <w:adjustRightInd w:val="0"/>
        <w:spacing w:before="120" w:after="0" w:line="360" w:lineRule="auto"/>
        <w:jc w:val="both"/>
      </w:pPr>
      <w:r>
        <w:t xml:space="preserve">What other gains do you have as a result of learning information literacy skills </w:t>
      </w:r>
      <w:r>
        <w:rPr>
          <w:rFonts w:eastAsiaTheme="minorHAnsi"/>
        </w:rPr>
        <w:t>(ILS)</w:t>
      </w:r>
      <w:r>
        <w:t>?</w:t>
      </w:r>
    </w:p>
    <w:p w14:paraId="2D750FF5" w14:textId="77777777" w:rsidR="00B01D46" w:rsidRDefault="0067013E">
      <w:pPr>
        <w:pStyle w:val="NormalWeb"/>
        <w:shd w:val="clear" w:color="auto" w:fill="FFFFFF"/>
        <w:tabs>
          <w:tab w:val="left" w:pos="360"/>
        </w:tabs>
        <w:autoSpaceDE w:val="0"/>
        <w:autoSpaceDN w:val="0"/>
        <w:adjustRightInd w:val="0"/>
        <w:spacing w:before="120" w:after="0" w:line="360" w:lineRule="auto"/>
        <w:ind w:left="360"/>
        <w:jc w:val="both"/>
      </w:pPr>
      <w:r>
        <w:t>............................................................................................................................................................................................................................................................................................................................................................................................................................................................................................................................................................................................................................................................................</w:t>
      </w:r>
    </w:p>
    <w:p w14:paraId="7EF207D0" w14:textId="77777777" w:rsidR="00B01D46" w:rsidRDefault="0067013E">
      <w:pPr>
        <w:spacing w:after="0" w:line="240" w:lineRule="auto"/>
        <w:rPr>
          <w:rFonts w:ascii="Times New Roman" w:hAnsi="Times New Roman" w:cs="Times New Roman"/>
          <w:b/>
          <w:bCs/>
          <w:sz w:val="24"/>
          <w:szCs w:val="24"/>
        </w:rPr>
      </w:pPr>
      <w:bookmarkStart w:id="2510" w:name="_Toc164664158"/>
      <w:r>
        <w:rPr>
          <w:rFonts w:ascii="Times New Roman" w:hAnsi="Times New Roman" w:cs="Times New Roman"/>
          <w:b/>
          <w:bCs/>
          <w:sz w:val="24"/>
          <w:szCs w:val="24"/>
        </w:rPr>
        <w:br w:type="page"/>
      </w:r>
    </w:p>
    <w:p w14:paraId="2622A04A" w14:textId="77777777" w:rsidR="00B01D46" w:rsidRDefault="0067013E">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C. </w:t>
      </w:r>
      <w:r>
        <w:rPr>
          <w:rFonts w:ascii="Times New Roman" w:eastAsia="Times New Roman" w:hAnsi="Times New Roman" w:cs="Times New Roman"/>
          <w:b/>
          <w:bCs/>
          <w:sz w:val="24"/>
          <w:szCs w:val="24"/>
        </w:rPr>
        <w:t xml:space="preserve">ILS </w:t>
      </w:r>
      <w:r>
        <w:rPr>
          <w:rFonts w:ascii="Times New Roman" w:hAnsi="Times New Roman" w:cs="Times New Roman"/>
          <w:b/>
          <w:bCs/>
          <w:sz w:val="24"/>
          <w:szCs w:val="24"/>
        </w:rPr>
        <w:t>policy and curricula supporting delivery of   ILS to medical undergraduate students</w:t>
      </w:r>
      <w:bookmarkEnd w:id="2510"/>
    </w:p>
    <w:p w14:paraId="196BF5C0" w14:textId="77777777" w:rsidR="00B01D46" w:rsidRDefault="0067013E">
      <w:pPr>
        <w:pStyle w:val="NormalWeb"/>
        <w:shd w:val="clear" w:color="auto" w:fill="FFFFFF"/>
        <w:tabs>
          <w:tab w:val="left" w:pos="360"/>
        </w:tabs>
        <w:autoSpaceDE w:val="0"/>
        <w:autoSpaceDN w:val="0"/>
        <w:adjustRightInd w:val="0"/>
        <w:spacing w:before="120" w:after="0" w:line="360" w:lineRule="auto"/>
        <w:jc w:val="both"/>
      </w:pPr>
      <w:r>
        <w:t>1. Does your institution have ILS policy and curriculum?</w:t>
      </w:r>
    </w:p>
    <w:p w14:paraId="5DBF896F" w14:textId="77777777" w:rsidR="00B01D46" w:rsidRDefault="0067013E">
      <w:pPr>
        <w:pStyle w:val="NormalWeb"/>
        <w:shd w:val="clear" w:color="auto" w:fill="FFFFFF"/>
        <w:tabs>
          <w:tab w:val="left" w:pos="360"/>
        </w:tabs>
        <w:autoSpaceDE w:val="0"/>
        <w:autoSpaceDN w:val="0"/>
        <w:adjustRightInd w:val="0"/>
        <w:spacing w:before="120" w:after="0" w:line="360" w:lineRule="auto"/>
        <w:ind w:left="360"/>
        <w:jc w:val="both"/>
      </w:pPr>
      <w:r>
        <w:t>…………………………………………………………………………………………………………………………………………………………………………</w:t>
      </w:r>
    </w:p>
    <w:p w14:paraId="18085A7E" w14:textId="77777777" w:rsidR="00B01D46" w:rsidRDefault="0067013E">
      <w:pPr>
        <w:pStyle w:val="NormalWeb"/>
        <w:shd w:val="clear" w:color="auto" w:fill="FFFFFF"/>
        <w:autoSpaceDE w:val="0"/>
        <w:autoSpaceDN w:val="0"/>
        <w:adjustRightInd w:val="0"/>
        <w:spacing w:before="120" w:after="0" w:line="360" w:lineRule="auto"/>
        <w:ind w:left="360"/>
        <w:jc w:val="both"/>
      </w:pPr>
      <w:r>
        <w:t xml:space="preserve">2. </w:t>
      </w:r>
      <w:bookmarkStart w:id="2511" w:name="_Hlk182126281"/>
      <w:r>
        <w:t>What skills does the ILS policy cover?</w:t>
      </w:r>
    </w:p>
    <w:bookmarkEnd w:id="2511"/>
    <w:tbl>
      <w:tblPr>
        <w:tblStyle w:val="TableGrid0"/>
        <w:tblW w:w="7832" w:type="dxa"/>
        <w:tblInd w:w="364" w:type="dxa"/>
        <w:tblCellMar>
          <w:top w:w="80" w:type="dxa"/>
          <w:left w:w="80" w:type="dxa"/>
          <w:right w:w="115" w:type="dxa"/>
        </w:tblCellMar>
        <w:tblLook w:val="04A0" w:firstRow="1" w:lastRow="0" w:firstColumn="1" w:lastColumn="0" w:noHBand="0" w:noVBand="1"/>
      </w:tblPr>
      <w:tblGrid>
        <w:gridCol w:w="330"/>
        <w:gridCol w:w="1987"/>
        <w:gridCol w:w="1173"/>
        <w:gridCol w:w="1185"/>
        <w:gridCol w:w="1079"/>
        <w:gridCol w:w="905"/>
        <w:gridCol w:w="1173"/>
      </w:tblGrid>
      <w:tr w:rsidR="00B01D46" w14:paraId="6A789781" w14:textId="77777777">
        <w:trPr>
          <w:trHeight w:val="262"/>
        </w:trPr>
        <w:tc>
          <w:tcPr>
            <w:tcW w:w="441" w:type="dxa"/>
            <w:tcBorders>
              <w:top w:val="single" w:sz="6" w:space="0" w:color="221F20"/>
              <w:left w:val="single" w:sz="6" w:space="0" w:color="221F20"/>
              <w:bottom w:val="single" w:sz="6" w:space="0" w:color="221F20"/>
              <w:right w:val="single" w:sz="6" w:space="0" w:color="221F20"/>
            </w:tcBorders>
          </w:tcPr>
          <w:p w14:paraId="13844E38" w14:textId="77777777" w:rsidR="00B01D46" w:rsidRDefault="00B01D46">
            <w:pPr>
              <w:spacing w:line="240" w:lineRule="auto"/>
              <w:rPr>
                <w:rFonts w:ascii="Times New Roman" w:hAnsi="Times New Roman" w:cs="Times New Roman"/>
                <w:sz w:val="24"/>
                <w:szCs w:val="24"/>
              </w:rPr>
            </w:pPr>
          </w:p>
        </w:tc>
        <w:tc>
          <w:tcPr>
            <w:tcW w:w="3081" w:type="dxa"/>
            <w:tcBorders>
              <w:top w:val="single" w:sz="6" w:space="0" w:color="221F20"/>
              <w:left w:val="single" w:sz="6" w:space="0" w:color="221F20"/>
              <w:bottom w:val="single" w:sz="6" w:space="0" w:color="221F20"/>
              <w:right w:val="single" w:sz="6" w:space="0" w:color="221F20"/>
            </w:tcBorders>
          </w:tcPr>
          <w:p w14:paraId="55B987E5" w14:textId="77777777" w:rsidR="00B01D46" w:rsidRDefault="0067013E">
            <w:pPr>
              <w:spacing w:before="120" w:line="240" w:lineRule="auto"/>
              <w:ind w:left="97" w:right="9" w:hanging="9"/>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Skills covered by the ILS Policy</w:t>
            </w:r>
          </w:p>
        </w:tc>
        <w:tc>
          <w:tcPr>
            <w:tcW w:w="922" w:type="dxa"/>
            <w:tcBorders>
              <w:top w:val="single" w:sz="6" w:space="0" w:color="221F20"/>
              <w:left w:val="single" w:sz="6" w:space="0" w:color="221F20"/>
              <w:bottom w:val="single" w:sz="6" w:space="0" w:color="221F20"/>
              <w:right w:val="single" w:sz="6" w:space="0" w:color="221F20"/>
            </w:tcBorders>
          </w:tcPr>
          <w:p w14:paraId="499F35F5" w14:textId="77777777" w:rsidR="00B01D46" w:rsidRDefault="0067013E">
            <w:pPr>
              <w:spacing w:line="240" w:lineRule="auto"/>
              <w:ind w:left="97" w:right="9" w:hanging="9"/>
              <w:jc w:val="center"/>
              <w:rPr>
                <w:rFonts w:ascii="Times New Roman" w:hAnsi="Times New Roman" w:cs="Times New Roman"/>
                <w:b/>
                <w:sz w:val="24"/>
                <w:szCs w:val="24"/>
              </w:rPr>
            </w:pPr>
            <w:r>
              <w:rPr>
                <w:rFonts w:ascii="Times New Roman" w:hAnsi="Times New Roman" w:cs="Times New Roman"/>
                <w:b/>
                <w:sz w:val="24"/>
                <w:szCs w:val="24"/>
              </w:rPr>
              <w:t>Strongly disagree</w:t>
            </w:r>
          </w:p>
        </w:tc>
        <w:tc>
          <w:tcPr>
            <w:tcW w:w="932" w:type="dxa"/>
            <w:tcBorders>
              <w:top w:val="single" w:sz="6" w:space="0" w:color="221F20"/>
              <w:left w:val="single" w:sz="6" w:space="0" w:color="221F20"/>
              <w:bottom w:val="single" w:sz="6" w:space="0" w:color="221F20"/>
              <w:right w:val="single" w:sz="6" w:space="0" w:color="221F20"/>
            </w:tcBorders>
          </w:tcPr>
          <w:p w14:paraId="7BE5C2B4" w14:textId="77777777" w:rsidR="00B01D46" w:rsidRDefault="0067013E">
            <w:pPr>
              <w:spacing w:line="240" w:lineRule="auto"/>
              <w:ind w:left="97" w:right="9" w:hanging="9"/>
              <w:jc w:val="center"/>
              <w:rPr>
                <w:rFonts w:ascii="Times New Roman" w:hAnsi="Times New Roman" w:cs="Times New Roman"/>
                <w:b/>
                <w:sz w:val="24"/>
                <w:szCs w:val="24"/>
              </w:rPr>
            </w:pPr>
            <w:r>
              <w:rPr>
                <w:rFonts w:ascii="Times New Roman" w:hAnsi="Times New Roman" w:cs="Times New Roman"/>
                <w:b/>
                <w:sz w:val="24"/>
                <w:szCs w:val="24"/>
              </w:rPr>
              <w:t xml:space="preserve">Disagree </w:t>
            </w:r>
          </w:p>
        </w:tc>
        <w:tc>
          <w:tcPr>
            <w:tcW w:w="842" w:type="dxa"/>
            <w:tcBorders>
              <w:top w:val="single" w:sz="6" w:space="0" w:color="221F20"/>
              <w:left w:val="single" w:sz="6" w:space="0" w:color="221F20"/>
              <w:bottom w:val="single" w:sz="6" w:space="0" w:color="221F20"/>
              <w:right w:val="single" w:sz="6" w:space="0" w:color="221F20"/>
            </w:tcBorders>
          </w:tcPr>
          <w:p w14:paraId="386B7744" w14:textId="77777777" w:rsidR="00B01D46" w:rsidRDefault="0067013E">
            <w:pPr>
              <w:spacing w:line="240" w:lineRule="auto"/>
              <w:ind w:left="97" w:right="9" w:hanging="9"/>
              <w:jc w:val="center"/>
              <w:rPr>
                <w:rFonts w:ascii="Times New Roman" w:hAnsi="Times New Roman" w:cs="Times New Roman"/>
                <w:b/>
                <w:sz w:val="24"/>
                <w:szCs w:val="24"/>
              </w:rPr>
            </w:pPr>
            <w:r>
              <w:rPr>
                <w:rFonts w:ascii="Times New Roman" w:hAnsi="Times New Roman" w:cs="Times New Roman"/>
                <w:b/>
                <w:sz w:val="24"/>
                <w:szCs w:val="24"/>
              </w:rPr>
              <w:t xml:space="preserve">Neutral </w:t>
            </w:r>
          </w:p>
        </w:tc>
        <w:tc>
          <w:tcPr>
            <w:tcW w:w="692" w:type="dxa"/>
            <w:tcBorders>
              <w:top w:val="single" w:sz="6" w:space="0" w:color="221F20"/>
              <w:left w:val="single" w:sz="6" w:space="0" w:color="221F20"/>
              <w:bottom w:val="single" w:sz="6" w:space="0" w:color="221F20"/>
              <w:right w:val="single" w:sz="6" w:space="0" w:color="221F20"/>
            </w:tcBorders>
          </w:tcPr>
          <w:p w14:paraId="0DCB398F" w14:textId="77777777" w:rsidR="00B01D46" w:rsidRDefault="0067013E">
            <w:pPr>
              <w:spacing w:line="240" w:lineRule="auto"/>
              <w:ind w:left="97" w:right="9" w:hanging="9"/>
              <w:jc w:val="center"/>
              <w:rPr>
                <w:rFonts w:ascii="Times New Roman" w:hAnsi="Times New Roman" w:cs="Times New Roman"/>
                <w:b/>
                <w:sz w:val="24"/>
                <w:szCs w:val="24"/>
              </w:rPr>
            </w:pPr>
            <w:r>
              <w:rPr>
                <w:rFonts w:ascii="Times New Roman" w:hAnsi="Times New Roman" w:cs="Times New Roman"/>
                <w:b/>
                <w:sz w:val="24"/>
                <w:szCs w:val="24"/>
              </w:rPr>
              <w:t xml:space="preserve">Agree </w:t>
            </w:r>
          </w:p>
        </w:tc>
        <w:tc>
          <w:tcPr>
            <w:tcW w:w="922" w:type="dxa"/>
            <w:tcBorders>
              <w:top w:val="single" w:sz="6" w:space="0" w:color="221F20"/>
              <w:left w:val="single" w:sz="6" w:space="0" w:color="221F20"/>
              <w:bottom w:val="single" w:sz="6" w:space="0" w:color="221F20"/>
              <w:right w:val="single" w:sz="6" w:space="0" w:color="221F20"/>
            </w:tcBorders>
          </w:tcPr>
          <w:p w14:paraId="486BCBDC"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1F7620DE" w14:textId="77777777">
        <w:trPr>
          <w:trHeight w:val="262"/>
        </w:trPr>
        <w:tc>
          <w:tcPr>
            <w:tcW w:w="441" w:type="dxa"/>
            <w:tcBorders>
              <w:top w:val="single" w:sz="6" w:space="0" w:color="221F20"/>
              <w:left w:val="single" w:sz="6" w:space="0" w:color="221F20"/>
              <w:bottom w:val="single" w:sz="6" w:space="0" w:color="221F20"/>
              <w:right w:val="single" w:sz="6" w:space="0" w:color="221F20"/>
            </w:tcBorders>
          </w:tcPr>
          <w:p w14:paraId="2F590EE0" w14:textId="77777777" w:rsidR="00B01D46" w:rsidRDefault="0067013E">
            <w:pPr>
              <w:spacing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81" w:type="dxa"/>
            <w:tcBorders>
              <w:top w:val="single" w:sz="6" w:space="0" w:color="221F20"/>
              <w:left w:val="single" w:sz="6" w:space="0" w:color="221F20"/>
              <w:bottom w:val="single" w:sz="6" w:space="0" w:color="221F20"/>
              <w:right w:val="single" w:sz="6" w:space="0" w:color="221F20"/>
            </w:tcBorders>
            <w:vAlign w:val="bottom"/>
          </w:tcPr>
          <w:p w14:paraId="069C6725" w14:textId="77777777" w:rsidR="00B01D46" w:rsidRDefault="0067013E">
            <w:pPr>
              <w:spacing w:line="240" w:lineRule="auto"/>
              <w:ind w:left="97" w:right="9" w:hanging="9"/>
              <w:rPr>
                <w:rFonts w:ascii="Times New Roman" w:hAnsi="Times New Roman" w:cs="Times New Roman"/>
                <w:sz w:val="24"/>
                <w:szCs w:val="24"/>
              </w:rPr>
            </w:pPr>
            <w:r>
              <w:rPr>
                <w:rFonts w:ascii="Times New Roman" w:hAnsi="Times New Roman" w:cs="Times New Roman"/>
                <w:color w:val="000000"/>
                <w:sz w:val="24"/>
                <w:szCs w:val="24"/>
              </w:rPr>
              <w:t>Knowledge and information skills</w:t>
            </w:r>
          </w:p>
        </w:tc>
        <w:tc>
          <w:tcPr>
            <w:tcW w:w="922" w:type="dxa"/>
            <w:tcBorders>
              <w:top w:val="single" w:sz="6" w:space="0" w:color="221F20"/>
              <w:left w:val="single" w:sz="6" w:space="0" w:color="221F20"/>
              <w:bottom w:val="single" w:sz="6" w:space="0" w:color="221F20"/>
              <w:right w:val="single" w:sz="6" w:space="0" w:color="221F20"/>
            </w:tcBorders>
          </w:tcPr>
          <w:p w14:paraId="392D99A9"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1</w:t>
            </w:r>
          </w:p>
        </w:tc>
        <w:tc>
          <w:tcPr>
            <w:tcW w:w="932" w:type="dxa"/>
            <w:tcBorders>
              <w:top w:val="single" w:sz="6" w:space="0" w:color="221F20"/>
              <w:left w:val="single" w:sz="6" w:space="0" w:color="221F20"/>
              <w:bottom w:val="single" w:sz="6" w:space="0" w:color="221F20"/>
              <w:right w:val="single" w:sz="6" w:space="0" w:color="221F20"/>
            </w:tcBorders>
          </w:tcPr>
          <w:p w14:paraId="256CAA1C"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2</w:t>
            </w:r>
          </w:p>
        </w:tc>
        <w:tc>
          <w:tcPr>
            <w:tcW w:w="842" w:type="dxa"/>
            <w:tcBorders>
              <w:top w:val="single" w:sz="6" w:space="0" w:color="221F20"/>
              <w:left w:val="single" w:sz="6" w:space="0" w:color="221F20"/>
              <w:bottom w:val="single" w:sz="6" w:space="0" w:color="221F20"/>
              <w:right w:val="single" w:sz="6" w:space="0" w:color="221F20"/>
            </w:tcBorders>
          </w:tcPr>
          <w:p w14:paraId="54C6B31C"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3</w:t>
            </w:r>
          </w:p>
        </w:tc>
        <w:tc>
          <w:tcPr>
            <w:tcW w:w="692" w:type="dxa"/>
            <w:tcBorders>
              <w:top w:val="single" w:sz="6" w:space="0" w:color="221F20"/>
              <w:left w:val="single" w:sz="6" w:space="0" w:color="221F20"/>
              <w:bottom w:val="single" w:sz="6" w:space="0" w:color="221F20"/>
              <w:right w:val="single" w:sz="6" w:space="0" w:color="221F20"/>
            </w:tcBorders>
          </w:tcPr>
          <w:p w14:paraId="65D22930"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4</w:t>
            </w:r>
          </w:p>
        </w:tc>
        <w:tc>
          <w:tcPr>
            <w:tcW w:w="922" w:type="dxa"/>
            <w:tcBorders>
              <w:top w:val="single" w:sz="6" w:space="0" w:color="221F20"/>
              <w:left w:val="single" w:sz="6" w:space="0" w:color="221F20"/>
              <w:bottom w:val="single" w:sz="6" w:space="0" w:color="221F20"/>
              <w:right w:val="single" w:sz="6" w:space="0" w:color="221F20"/>
            </w:tcBorders>
          </w:tcPr>
          <w:p w14:paraId="4A83057B"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49FFD9E2" w14:textId="77777777">
        <w:trPr>
          <w:trHeight w:val="262"/>
        </w:trPr>
        <w:tc>
          <w:tcPr>
            <w:tcW w:w="441" w:type="dxa"/>
            <w:tcBorders>
              <w:top w:val="single" w:sz="6" w:space="0" w:color="221F20"/>
              <w:left w:val="single" w:sz="6" w:space="0" w:color="221F20"/>
              <w:bottom w:val="single" w:sz="6" w:space="0" w:color="221F20"/>
              <w:right w:val="single" w:sz="6" w:space="0" w:color="221F20"/>
            </w:tcBorders>
          </w:tcPr>
          <w:p w14:paraId="11D7AEAE" w14:textId="77777777" w:rsidR="00B01D46" w:rsidRDefault="0067013E">
            <w:pPr>
              <w:spacing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81" w:type="dxa"/>
            <w:tcBorders>
              <w:top w:val="single" w:sz="6" w:space="0" w:color="221F20"/>
              <w:left w:val="single" w:sz="6" w:space="0" w:color="221F20"/>
              <w:bottom w:val="single" w:sz="6" w:space="0" w:color="221F20"/>
              <w:right w:val="single" w:sz="6" w:space="0" w:color="221F20"/>
            </w:tcBorders>
            <w:vAlign w:val="bottom"/>
          </w:tcPr>
          <w:p w14:paraId="1A550E5F" w14:textId="77777777" w:rsidR="00B01D46" w:rsidRDefault="0067013E">
            <w:pPr>
              <w:spacing w:line="240" w:lineRule="auto"/>
              <w:ind w:left="97" w:right="9" w:hanging="9"/>
              <w:rPr>
                <w:rFonts w:ascii="Times New Roman" w:hAnsi="Times New Roman" w:cs="Times New Roman"/>
                <w:sz w:val="24"/>
                <w:szCs w:val="24"/>
              </w:rPr>
            </w:pPr>
            <w:r>
              <w:rPr>
                <w:rFonts w:ascii="Times New Roman" w:hAnsi="Times New Roman" w:cs="Times New Roman"/>
                <w:color w:val="000000"/>
                <w:sz w:val="24"/>
                <w:szCs w:val="24"/>
              </w:rPr>
              <w:t>Problem-solving and critical thinking skills</w:t>
            </w:r>
          </w:p>
        </w:tc>
        <w:tc>
          <w:tcPr>
            <w:tcW w:w="922" w:type="dxa"/>
            <w:tcBorders>
              <w:top w:val="single" w:sz="6" w:space="0" w:color="221F20"/>
              <w:left w:val="single" w:sz="6" w:space="0" w:color="221F20"/>
              <w:bottom w:val="single" w:sz="6" w:space="0" w:color="221F20"/>
              <w:right w:val="single" w:sz="6" w:space="0" w:color="221F20"/>
            </w:tcBorders>
          </w:tcPr>
          <w:p w14:paraId="4C151F17"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1</w:t>
            </w:r>
          </w:p>
        </w:tc>
        <w:tc>
          <w:tcPr>
            <w:tcW w:w="932" w:type="dxa"/>
            <w:tcBorders>
              <w:top w:val="single" w:sz="6" w:space="0" w:color="221F20"/>
              <w:left w:val="single" w:sz="6" w:space="0" w:color="221F20"/>
              <w:bottom w:val="single" w:sz="6" w:space="0" w:color="221F20"/>
              <w:right w:val="single" w:sz="6" w:space="0" w:color="221F20"/>
            </w:tcBorders>
          </w:tcPr>
          <w:p w14:paraId="61568142"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2</w:t>
            </w:r>
          </w:p>
        </w:tc>
        <w:tc>
          <w:tcPr>
            <w:tcW w:w="842" w:type="dxa"/>
            <w:tcBorders>
              <w:top w:val="single" w:sz="6" w:space="0" w:color="221F20"/>
              <w:left w:val="single" w:sz="6" w:space="0" w:color="221F20"/>
              <w:bottom w:val="single" w:sz="6" w:space="0" w:color="221F20"/>
              <w:right w:val="single" w:sz="6" w:space="0" w:color="221F20"/>
            </w:tcBorders>
          </w:tcPr>
          <w:p w14:paraId="4EA99AE4"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3</w:t>
            </w:r>
          </w:p>
        </w:tc>
        <w:tc>
          <w:tcPr>
            <w:tcW w:w="692" w:type="dxa"/>
            <w:tcBorders>
              <w:top w:val="single" w:sz="6" w:space="0" w:color="221F20"/>
              <w:left w:val="single" w:sz="6" w:space="0" w:color="221F20"/>
              <w:bottom w:val="single" w:sz="6" w:space="0" w:color="221F20"/>
              <w:right w:val="single" w:sz="6" w:space="0" w:color="221F20"/>
            </w:tcBorders>
          </w:tcPr>
          <w:p w14:paraId="5BA7F578"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4</w:t>
            </w:r>
          </w:p>
        </w:tc>
        <w:tc>
          <w:tcPr>
            <w:tcW w:w="922" w:type="dxa"/>
            <w:tcBorders>
              <w:top w:val="single" w:sz="6" w:space="0" w:color="221F20"/>
              <w:left w:val="single" w:sz="6" w:space="0" w:color="221F20"/>
              <w:bottom w:val="single" w:sz="6" w:space="0" w:color="221F20"/>
              <w:right w:val="single" w:sz="6" w:space="0" w:color="221F20"/>
            </w:tcBorders>
          </w:tcPr>
          <w:p w14:paraId="5580D1DC"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6B647AC7" w14:textId="77777777">
        <w:trPr>
          <w:trHeight w:val="262"/>
        </w:trPr>
        <w:tc>
          <w:tcPr>
            <w:tcW w:w="441" w:type="dxa"/>
            <w:tcBorders>
              <w:top w:val="single" w:sz="6" w:space="0" w:color="221F20"/>
              <w:left w:val="single" w:sz="6" w:space="0" w:color="221F20"/>
              <w:bottom w:val="single" w:sz="6" w:space="0" w:color="221F20"/>
              <w:right w:val="single" w:sz="6" w:space="0" w:color="221F20"/>
            </w:tcBorders>
          </w:tcPr>
          <w:p w14:paraId="7756A1B1" w14:textId="77777777" w:rsidR="00B01D46" w:rsidRDefault="0067013E">
            <w:pPr>
              <w:spacing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81" w:type="dxa"/>
            <w:tcBorders>
              <w:top w:val="single" w:sz="6" w:space="0" w:color="221F20"/>
              <w:left w:val="single" w:sz="6" w:space="0" w:color="221F20"/>
              <w:bottom w:val="single" w:sz="6" w:space="0" w:color="221F20"/>
              <w:right w:val="single" w:sz="6" w:space="0" w:color="221F20"/>
            </w:tcBorders>
            <w:vAlign w:val="bottom"/>
          </w:tcPr>
          <w:p w14:paraId="51860766" w14:textId="77777777" w:rsidR="00B01D46" w:rsidRDefault="0067013E">
            <w:pPr>
              <w:spacing w:line="240" w:lineRule="auto"/>
              <w:ind w:left="97" w:right="9" w:hanging="9"/>
              <w:rPr>
                <w:rFonts w:ascii="Times New Roman" w:hAnsi="Times New Roman" w:cs="Times New Roman"/>
                <w:sz w:val="24"/>
                <w:szCs w:val="24"/>
              </w:rPr>
            </w:pPr>
            <w:r>
              <w:rPr>
                <w:rFonts w:ascii="Times New Roman" w:hAnsi="Times New Roman" w:cs="Times New Roman"/>
                <w:color w:val="000000"/>
                <w:sz w:val="24"/>
                <w:szCs w:val="24"/>
              </w:rPr>
              <w:t>Communication skills</w:t>
            </w:r>
          </w:p>
        </w:tc>
        <w:tc>
          <w:tcPr>
            <w:tcW w:w="922" w:type="dxa"/>
            <w:tcBorders>
              <w:top w:val="single" w:sz="6" w:space="0" w:color="221F20"/>
              <w:left w:val="single" w:sz="6" w:space="0" w:color="221F20"/>
              <w:bottom w:val="single" w:sz="6" w:space="0" w:color="221F20"/>
              <w:right w:val="single" w:sz="6" w:space="0" w:color="221F20"/>
            </w:tcBorders>
          </w:tcPr>
          <w:p w14:paraId="1DD6B6E3"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1</w:t>
            </w:r>
          </w:p>
        </w:tc>
        <w:tc>
          <w:tcPr>
            <w:tcW w:w="932" w:type="dxa"/>
            <w:tcBorders>
              <w:top w:val="single" w:sz="6" w:space="0" w:color="221F20"/>
              <w:left w:val="single" w:sz="6" w:space="0" w:color="221F20"/>
              <w:bottom w:val="single" w:sz="6" w:space="0" w:color="221F20"/>
              <w:right w:val="single" w:sz="6" w:space="0" w:color="221F20"/>
            </w:tcBorders>
          </w:tcPr>
          <w:p w14:paraId="5132EC58"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2</w:t>
            </w:r>
          </w:p>
        </w:tc>
        <w:tc>
          <w:tcPr>
            <w:tcW w:w="842" w:type="dxa"/>
            <w:tcBorders>
              <w:top w:val="single" w:sz="6" w:space="0" w:color="221F20"/>
              <w:left w:val="single" w:sz="6" w:space="0" w:color="221F20"/>
              <w:bottom w:val="single" w:sz="6" w:space="0" w:color="221F20"/>
              <w:right w:val="single" w:sz="6" w:space="0" w:color="221F20"/>
            </w:tcBorders>
          </w:tcPr>
          <w:p w14:paraId="29A1C98E"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3</w:t>
            </w:r>
          </w:p>
        </w:tc>
        <w:tc>
          <w:tcPr>
            <w:tcW w:w="692" w:type="dxa"/>
            <w:tcBorders>
              <w:top w:val="single" w:sz="6" w:space="0" w:color="221F20"/>
              <w:left w:val="single" w:sz="6" w:space="0" w:color="221F20"/>
              <w:bottom w:val="single" w:sz="6" w:space="0" w:color="221F20"/>
              <w:right w:val="single" w:sz="6" w:space="0" w:color="221F20"/>
            </w:tcBorders>
          </w:tcPr>
          <w:p w14:paraId="3EBE2168"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4</w:t>
            </w:r>
          </w:p>
        </w:tc>
        <w:tc>
          <w:tcPr>
            <w:tcW w:w="922" w:type="dxa"/>
            <w:tcBorders>
              <w:top w:val="single" w:sz="6" w:space="0" w:color="221F20"/>
              <w:left w:val="single" w:sz="6" w:space="0" w:color="221F20"/>
              <w:bottom w:val="single" w:sz="6" w:space="0" w:color="221F20"/>
              <w:right w:val="single" w:sz="6" w:space="0" w:color="221F20"/>
            </w:tcBorders>
          </w:tcPr>
          <w:p w14:paraId="1F145DF0"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0EC3497E" w14:textId="77777777">
        <w:trPr>
          <w:trHeight w:val="262"/>
        </w:trPr>
        <w:tc>
          <w:tcPr>
            <w:tcW w:w="441" w:type="dxa"/>
            <w:tcBorders>
              <w:top w:val="single" w:sz="6" w:space="0" w:color="221F20"/>
              <w:left w:val="single" w:sz="6" w:space="0" w:color="221F20"/>
              <w:bottom w:val="single" w:sz="6" w:space="0" w:color="221F20"/>
              <w:right w:val="single" w:sz="6" w:space="0" w:color="221F20"/>
            </w:tcBorders>
          </w:tcPr>
          <w:p w14:paraId="08C72626" w14:textId="77777777" w:rsidR="00B01D46" w:rsidRDefault="0067013E">
            <w:pPr>
              <w:spacing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81" w:type="dxa"/>
            <w:tcBorders>
              <w:top w:val="single" w:sz="6" w:space="0" w:color="221F20"/>
              <w:left w:val="single" w:sz="6" w:space="0" w:color="221F20"/>
              <w:bottom w:val="single" w:sz="6" w:space="0" w:color="221F20"/>
              <w:right w:val="single" w:sz="6" w:space="0" w:color="221F20"/>
            </w:tcBorders>
            <w:vAlign w:val="bottom"/>
          </w:tcPr>
          <w:p w14:paraId="5B0F2B09" w14:textId="77777777" w:rsidR="00B01D46" w:rsidRDefault="0067013E">
            <w:pPr>
              <w:spacing w:line="240" w:lineRule="auto"/>
              <w:ind w:left="97" w:right="9" w:hanging="9"/>
              <w:rPr>
                <w:rFonts w:ascii="Times New Roman" w:hAnsi="Times New Roman" w:cs="Times New Roman"/>
                <w:sz w:val="24"/>
                <w:szCs w:val="24"/>
              </w:rPr>
            </w:pPr>
            <w:r>
              <w:rPr>
                <w:rFonts w:ascii="Times New Roman" w:hAnsi="Times New Roman" w:cs="Times New Roman"/>
                <w:color w:val="000000"/>
                <w:sz w:val="24"/>
                <w:szCs w:val="24"/>
              </w:rPr>
              <w:t>Information technology skills</w:t>
            </w:r>
          </w:p>
        </w:tc>
        <w:tc>
          <w:tcPr>
            <w:tcW w:w="922" w:type="dxa"/>
            <w:tcBorders>
              <w:top w:val="single" w:sz="6" w:space="0" w:color="221F20"/>
              <w:left w:val="single" w:sz="6" w:space="0" w:color="221F20"/>
              <w:bottom w:val="single" w:sz="6" w:space="0" w:color="221F20"/>
              <w:right w:val="single" w:sz="6" w:space="0" w:color="221F20"/>
            </w:tcBorders>
          </w:tcPr>
          <w:p w14:paraId="6FF2F10D"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1</w:t>
            </w:r>
          </w:p>
        </w:tc>
        <w:tc>
          <w:tcPr>
            <w:tcW w:w="932" w:type="dxa"/>
            <w:tcBorders>
              <w:top w:val="single" w:sz="6" w:space="0" w:color="221F20"/>
              <w:left w:val="single" w:sz="6" w:space="0" w:color="221F20"/>
              <w:bottom w:val="single" w:sz="6" w:space="0" w:color="221F20"/>
              <w:right w:val="single" w:sz="6" w:space="0" w:color="221F20"/>
            </w:tcBorders>
          </w:tcPr>
          <w:p w14:paraId="5616786E"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2</w:t>
            </w:r>
          </w:p>
        </w:tc>
        <w:tc>
          <w:tcPr>
            <w:tcW w:w="842" w:type="dxa"/>
            <w:tcBorders>
              <w:top w:val="single" w:sz="6" w:space="0" w:color="221F20"/>
              <w:left w:val="single" w:sz="6" w:space="0" w:color="221F20"/>
              <w:bottom w:val="single" w:sz="6" w:space="0" w:color="221F20"/>
              <w:right w:val="single" w:sz="6" w:space="0" w:color="221F20"/>
            </w:tcBorders>
          </w:tcPr>
          <w:p w14:paraId="371705C7"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3</w:t>
            </w:r>
          </w:p>
        </w:tc>
        <w:tc>
          <w:tcPr>
            <w:tcW w:w="692" w:type="dxa"/>
            <w:tcBorders>
              <w:top w:val="single" w:sz="6" w:space="0" w:color="221F20"/>
              <w:left w:val="single" w:sz="6" w:space="0" w:color="221F20"/>
              <w:bottom w:val="single" w:sz="6" w:space="0" w:color="221F20"/>
              <w:right w:val="single" w:sz="6" w:space="0" w:color="221F20"/>
            </w:tcBorders>
          </w:tcPr>
          <w:p w14:paraId="094579C4"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4</w:t>
            </w:r>
          </w:p>
        </w:tc>
        <w:tc>
          <w:tcPr>
            <w:tcW w:w="922" w:type="dxa"/>
            <w:tcBorders>
              <w:top w:val="single" w:sz="6" w:space="0" w:color="221F20"/>
              <w:left w:val="single" w:sz="6" w:space="0" w:color="221F20"/>
              <w:bottom w:val="single" w:sz="6" w:space="0" w:color="221F20"/>
              <w:right w:val="single" w:sz="6" w:space="0" w:color="221F20"/>
            </w:tcBorders>
          </w:tcPr>
          <w:p w14:paraId="495CF8D8"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6F3130EF" w14:textId="77777777">
        <w:trPr>
          <w:trHeight w:val="262"/>
        </w:trPr>
        <w:tc>
          <w:tcPr>
            <w:tcW w:w="441" w:type="dxa"/>
            <w:tcBorders>
              <w:top w:val="single" w:sz="6" w:space="0" w:color="221F20"/>
              <w:left w:val="single" w:sz="6" w:space="0" w:color="221F20"/>
              <w:bottom w:val="single" w:sz="6" w:space="0" w:color="221F20"/>
              <w:right w:val="single" w:sz="6" w:space="0" w:color="221F20"/>
            </w:tcBorders>
          </w:tcPr>
          <w:p w14:paraId="74E72423" w14:textId="77777777" w:rsidR="00B01D46" w:rsidRDefault="0067013E">
            <w:pPr>
              <w:spacing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081" w:type="dxa"/>
            <w:tcBorders>
              <w:top w:val="single" w:sz="6" w:space="0" w:color="221F20"/>
              <w:left w:val="single" w:sz="6" w:space="0" w:color="221F20"/>
              <w:bottom w:val="single" w:sz="6" w:space="0" w:color="221F20"/>
              <w:right w:val="single" w:sz="6" w:space="0" w:color="221F20"/>
            </w:tcBorders>
            <w:vAlign w:val="bottom"/>
          </w:tcPr>
          <w:p w14:paraId="626249D9" w14:textId="77777777" w:rsidR="00B01D46" w:rsidRDefault="0067013E">
            <w:pPr>
              <w:spacing w:line="240" w:lineRule="auto"/>
              <w:ind w:left="97" w:right="9" w:hanging="9"/>
              <w:rPr>
                <w:rFonts w:ascii="Times New Roman" w:hAnsi="Times New Roman" w:cs="Times New Roman"/>
                <w:sz w:val="24"/>
                <w:szCs w:val="24"/>
              </w:rPr>
            </w:pPr>
            <w:r>
              <w:rPr>
                <w:rFonts w:ascii="Times New Roman" w:hAnsi="Times New Roman" w:cs="Times New Roman"/>
                <w:color w:val="000000"/>
                <w:sz w:val="24"/>
                <w:szCs w:val="24"/>
              </w:rPr>
              <w:t>Social Responsibility skills</w:t>
            </w:r>
          </w:p>
        </w:tc>
        <w:tc>
          <w:tcPr>
            <w:tcW w:w="922" w:type="dxa"/>
            <w:tcBorders>
              <w:top w:val="single" w:sz="6" w:space="0" w:color="221F20"/>
              <w:left w:val="single" w:sz="6" w:space="0" w:color="221F20"/>
              <w:bottom w:val="single" w:sz="6" w:space="0" w:color="221F20"/>
              <w:right w:val="single" w:sz="6" w:space="0" w:color="221F20"/>
            </w:tcBorders>
          </w:tcPr>
          <w:p w14:paraId="6FB802D7"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1</w:t>
            </w:r>
          </w:p>
        </w:tc>
        <w:tc>
          <w:tcPr>
            <w:tcW w:w="932" w:type="dxa"/>
            <w:tcBorders>
              <w:top w:val="single" w:sz="6" w:space="0" w:color="221F20"/>
              <w:left w:val="single" w:sz="6" w:space="0" w:color="221F20"/>
              <w:bottom w:val="single" w:sz="6" w:space="0" w:color="221F20"/>
              <w:right w:val="single" w:sz="6" w:space="0" w:color="221F20"/>
            </w:tcBorders>
          </w:tcPr>
          <w:p w14:paraId="0151D95C"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2</w:t>
            </w:r>
          </w:p>
        </w:tc>
        <w:tc>
          <w:tcPr>
            <w:tcW w:w="842" w:type="dxa"/>
            <w:tcBorders>
              <w:top w:val="single" w:sz="6" w:space="0" w:color="221F20"/>
              <w:left w:val="single" w:sz="6" w:space="0" w:color="221F20"/>
              <w:bottom w:val="single" w:sz="6" w:space="0" w:color="221F20"/>
              <w:right w:val="single" w:sz="6" w:space="0" w:color="221F20"/>
            </w:tcBorders>
          </w:tcPr>
          <w:p w14:paraId="3C0C5D96"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3</w:t>
            </w:r>
          </w:p>
        </w:tc>
        <w:tc>
          <w:tcPr>
            <w:tcW w:w="692" w:type="dxa"/>
            <w:tcBorders>
              <w:top w:val="single" w:sz="6" w:space="0" w:color="221F20"/>
              <w:left w:val="single" w:sz="6" w:space="0" w:color="221F20"/>
              <w:bottom w:val="single" w:sz="6" w:space="0" w:color="221F20"/>
              <w:right w:val="single" w:sz="6" w:space="0" w:color="221F20"/>
            </w:tcBorders>
          </w:tcPr>
          <w:p w14:paraId="416F220E"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4</w:t>
            </w:r>
          </w:p>
        </w:tc>
        <w:tc>
          <w:tcPr>
            <w:tcW w:w="922" w:type="dxa"/>
            <w:tcBorders>
              <w:top w:val="single" w:sz="6" w:space="0" w:color="221F20"/>
              <w:left w:val="single" w:sz="6" w:space="0" w:color="221F20"/>
              <w:bottom w:val="single" w:sz="6" w:space="0" w:color="221F20"/>
              <w:right w:val="single" w:sz="6" w:space="0" w:color="221F20"/>
            </w:tcBorders>
          </w:tcPr>
          <w:p w14:paraId="5F7A3ADE" w14:textId="77777777" w:rsidR="00B01D46" w:rsidRDefault="0067013E">
            <w:pPr>
              <w:spacing w:line="240" w:lineRule="auto"/>
              <w:ind w:left="97" w:right="9" w:hanging="9"/>
              <w:jc w:val="center"/>
              <w:rPr>
                <w:rFonts w:ascii="Times New Roman" w:hAnsi="Times New Roman" w:cs="Times New Roman"/>
                <w:sz w:val="24"/>
                <w:szCs w:val="24"/>
              </w:rPr>
            </w:pPr>
            <w:r>
              <w:rPr>
                <w:rFonts w:ascii="Times New Roman" w:hAnsi="Times New Roman" w:cs="Times New Roman"/>
                <w:sz w:val="24"/>
                <w:szCs w:val="24"/>
              </w:rPr>
              <w:t>5</w:t>
            </w:r>
          </w:p>
        </w:tc>
      </w:tr>
    </w:tbl>
    <w:p w14:paraId="4D2F3C4E" w14:textId="77777777" w:rsidR="00B01D46" w:rsidRDefault="00B01D46">
      <w:pPr>
        <w:spacing w:after="131" w:line="360" w:lineRule="auto"/>
        <w:ind w:left="682"/>
        <w:rPr>
          <w:rFonts w:ascii="Times New Roman" w:hAnsi="Times New Roman" w:cs="Times New Roman"/>
          <w:sz w:val="24"/>
          <w:szCs w:val="24"/>
        </w:rPr>
      </w:pPr>
    </w:p>
    <w:p w14:paraId="2829635D" w14:textId="77777777" w:rsidR="00B01D46" w:rsidRDefault="0067013E">
      <w:pPr>
        <w:spacing w:after="0" w:line="240" w:lineRule="auto"/>
        <w:rPr>
          <w:rFonts w:ascii="Times New Roman" w:eastAsia="Times New Roman" w:hAnsi="Times New Roman" w:cs="Times New Roman"/>
          <w:color w:val="000000"/>
          <w:sz w:val="24"/>
          <w:szCs w:val="24"/>
        </w:rPr>
      </w:pPr>
      <w:r>
        <w:rPr>
          <w:szCs w:val="24"/>
        </w:rPr>
        <w:br w:type="page"/>
      </w:r>
    </w:p>
    <w:p w14:paraId="56D5B742" w14:textId="77777777" w:rsidR="00B01D46" w:rsidRDefault="0067013E">
      <w:pPr>
        <w:pStyle w:val="ListParagraph"/>
        <w:numPr>
          <w:ilvl w:val="0"/>
          <w:numId w:val="19"/>
        </w:numPr>
        <w:spacing w:after="131" w:line="360" w:lineRule="auto"/>
        <w:rPr>
          <w:szCs w:val="24"/>
        </w:rPr>
      </w:pPr>
      <w:r>
        <w:rPr>
          <w:szCs w:val="24"/>
        </w:rPr>
        <w:lastRenderedPageBreak/>
        <w:t>What topics are covered by the ILS curriculum?</w:t>
      </w:r>
    </w:p>
    <w:tbl>
      <w:tblPr>
        <w:tblStyle w:val="TableGrid0"/>
        <w:tblpPr w:leftFromText="180" w:rightFromText="180" w:vertAnchor="text" w:horzAnchor="margin" w:tblpY="1557"/>
        <w:tblW w:w="8184" w:type="dxa"/>
        <w:tblInd w:w="0" w:type="dxa"/>
        <w:tblCellMar>
          <w:top w:w="80" w:type="dxa"/>
          <w:left w:w="80" w:type="dxa"/>
          <w:right w:w="115" w:type="dxa"/>
        </w:tblCellMar>
        <w:tblLook w:val="04A0" w:firstRow="1" w:lastRow="0" w:firstColumn="1" w:lastColumn="0" w:noHBand="0" w:noVBand="1"/>
      </w:tblPr>
      <w:tblGrid>
        <w:gridCol w:w="415"/>
        <w:gridCol w:w="2739"/>
        <w:gridCol w:w="1076"/>
        <w:gridCol w:w="1088"/>
        <w:gridCol w:w="982"/>
        <w:gridCol w:w="808"/>
        <w:gridCol w:w="1076"/>
      </w:tblGrid>
      <w:tr w:rsidR="00B01D46" w14:paraId="5743B452" w14:textId="77777777">
        <w:trPr>
          <w:trHeight w:val="251"/>
        </w:trPr>
        <w:tc>
          <w:tcPr>
            <w:tcW w:w="415" w:type="dxa"/>
            <w:tcBorders>
              <w:top w:val="single" w:sz="6" w:space="0" w:color="221F20"/>
              <w:left w:val="single" w:sz="6" w:space="0" w:color="221F20"/>
              <w:bottom w:val="single" w:sz="6" w:space="0" w:color="221F20"/>
              <w:right w:val="single" w:sz="6" w:space="0" w:color="221F20"/>
            </w:tcBorders>
          </w:tcPr>
          <w:p w14:paraId="5FE43BF6" w14:textId="77777777" w:rsidR="00B01D46" w:rsidRDefault="00B01D46">
            <w:pPr>
              <w:spacing w:after="0" w:line="360" w:lineRule="auto"/>
              <w:rPr>
                <w:rFonts w:ascii="Times New Roman" w:hAnsi="Times New Roman" w:cs="Times New Roman"/>
                <w:sz w:val="24"/>
                <w:szCs w:val="24"/>
              </w:rPr>
            </w:pPr>
          </w:p>
        </w:tc>
        <w:tc>
          <w:tcPr>
            <w:tcW w:w="2739" w:type="dxa"/>
            <w:tcBorders>
              <w:top w:val="single" w:sz="6" w:space="0" w:color="221F20"/>
              <w:left w:val="single" w:sz="6" w:space="0" w:color="221F20"/>
              <w:bottom w:val="single" w:sz="6" w:space="0" w:color="221F20"/>
              <w:right w:val="single" w:sz="6" w:space="0" w:color="221F20"/>
            </w:tcBorders>
          </w:tcPr>
          <w:p w14:paraId="51DD362A" w14:textId="77777777" w:rsidR="00B01D46" w:rsidRDefault="0067013E">
            <w:pPr>
              <w:spacing w:after="0" w:line="480" w:lineRule="auto"/>
              <w:ind w:left="311" w:right="8" w:hanging="9"/>
              <w:jc w:val="both"/>
              <w:rPr>
                <w:rFonts w:ascii="Times New Roman" w:eastAsia="Calibri" w:hAnsi="Times New Roman" w:cs="Times New Roman"/>
                <w:b/>
                <w:bCs/>
                <w:sz w:val="24"/>
                <w:szCs w:val="24"/>
              </w:rPr>
            </w:pPr>
            <w:r>
              <w:rPr>
                <w:rFonts w:ascii="Times New Roman" w:hAnsi="Times New Roman" w:cs="Times New Roman"/>
                <w:b/>
                <w:bCs/>
                <w:sz w:val="24"/>
                <w:szCs w:val="24"/>
              </w:rPr>
              <w:t>Topics are covered by the ILS curriculum</w:t>
            </w:r>
          </w:p>
        </w:tc>
        <w:tc>
          <w:tcPr>
            <w:tcW w:w="1076" w:type="dxa"/>
            <w:tcBorders>
              <w:top w:val="single" w:sz="6" w:space="0" w:color="221F20"/>
              <w:left w:val="single" w:sz="6" w:space="0" w:color="221F20"/>
              <w:bottom w:val="single" w:sz="6" w:space="0" w:color="221F20"/>
              <w:right w:val="single" w:sz="6" w:space="0" w:color="221F20"/>
            </w:tcBorders>
          </w:tcPr>
          <w:p w14:paraId="2E73D561"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Strongly disagree</w:t>
            </w:r>
          </w:p>
        </w:tc>
        <w:tc>
          <w:tcPr>
            <w:tcW w:w="1088" w:type="dxa"/>
            <w:tcBorders>
              <w:top w:val="single" w:sz="6" w:space="0" w:color="221F20"/>
              <w:left w:val="single" w:sz="6" w:space="0" w:color="221F20"/>
              <w:bottom w:val="single" w:sz="6" w:space="0" w:color="221F20"/>
              <w:right w:val="single" w:sz="6" w:space="0" w:color="221F20"/>
            </w:tcBorders>
          </w:tcPr>
          <w:p w14:paraId="2CCDC833"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Disagree </w:t>
            </w:r>
          </w:p>
        </w:tc>
        <w:tc>
          <w:tcPr>
            <w:tcW w:w="982" w:type="dxa"/>
            <w:tcBorders>
              <w:top w:val="single" w:sz="6" w:space="0" w:color="221F20"/>
              <w:left w:val="single" w:sz="6" w:space="0" w:color="221F20"/>
              <w:bottom w:val="single" w:sz="6" w:space="0" w:color="221F20"/>
              <w:right w:val="single" w:sz="6" w:space="0" w:color="221F20"/>
            </w:tcBorders>
          </w:tcPr>
          <w:p w14:paraId="6D861DD2"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Neutral </w:t>
            </w:r>
          </w:p>
        </w:tc>
        <w:tc>
          <w:tcPr>
            <w:tcW w:w="808" w:type="dxa"/>
            <w:tcBorders>
              <w:top w:val="single" w:sz="6" w:space="0" w:color="221F20"/>
              <w:left w:val="single" w:sz="6" w:space="0" w:color="221F20"/>
              <w:bottom w:val="single" w:sz="6" w:space="0" w:color="221F20"/>
              <w:right w:val="single" w:sz="6" w:space="0" w:color="221F20"/>
            </w:tcBorders>
          </w:tcPr>
          <w:p w14:paraId="4D330490"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Agree </w:t>
            </w:r>
          </w:p>
        </w:tc>
        <w:tc>
          <w:tcPr>
            <w:tcW w:w="1076" w:type="dxa"/>
            <w:tcBorders>
              <w:top w:val="single" w:sz="6" w:space="0" w:color="221F20"/>
              <w:left w:val="single" w:sz="6" w:space="0" w:color="221F20"/>
              <w:bottom w:val="single" w:sz="6" w:space="0" w:color="221F20"/>
              <w:right w:val="single" w:sz="6" w:space="0" w:color="221F20"/>
            </w:tcBorders>
          </w:tcPr>
          <w:p w14:paraId="3942EB2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33A39A23" w14:textId="77777777">
        <w:trPr>
          <w:trHeight w:val="251"/>
        </w:trPr>
        <w:tc>
          <w:tcPr>
            <w:tcW w:w="415" w:type="dxa"/>
            <w:tcBorders>
              <w:top w:val="single" w:sz="6" w:space="0" w:color="221F20"/>
              <w:left w:val="single" w:sz="6" w:space="0" w:color="221F20"/>
              <w:bottom w:val="single" w:sz="6" w:space="0" w:color="221F20"/>
              <w:right w:val="single" w:sz="6" w:space="0" w:color="221F20"/>
            </w:tcBorders>
          </w:tcPr>
          <w:p w14:paraId="5B698B6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39" w:type="dxa"/>
            <w:tcBorders>
              <w:top w:val="single" w:sz="6" w:space="0" w:color="221F20"/>
              <w:left w:val="single" w:sz="6" w:space="0" w:color="221F20"/>
              <w:bottom w:val="single" w:sz="6" w:space="0" w:color="221F20"/>
              <w:right w:val="single" w:sz="6" w:space="0" w:color="221F20"/>
            </w:tcBorders>
            <w:vAlign w:val="bottom"/>
          </w:tcPr>
          <w:p w14:paraId="7B14B6B1"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Problem-solving and critical thinking</w:t>
            </w:r>
          </w:p>
        </w:tc>
        <w:tc>
          <w:tcPr>
            <w:tcW w:w="1076" w:type="dxa"/>
            <w:tcBorders>
              <w:top w:val="single" w:sz="6" w:space="0" w:color="221F20"/>
              <w:left w:val="single" w:sz="6" w:space="0" w:color="221F20"/>
              <w:bottom w:val="single" w:sz="6" w:space="0" w:color="221F20"/>
              <w:right w:val="single" w:sz="6" w:space="0" w:color="221F20"/>
            </w:tcBorders>
          </w:tcPr>
          <w:p w14:paraId="64B195D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0BCD53F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5F1AC07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20563C4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2752EEE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A37350F" w14:textId="77777777">
        <w:trPr>
          <w:trHeight w:val="251"/>
        </w:trPr>
        <w:tc>
          <w:tcPr>
            <w:tcW w:w="415" w:type="dxa"/>
            <w:tcBorders>
              <w:top w:val="single" w:sz="6" w:space="0" w:color="221F20"/>
              <w:left w:val="single" w:sz="6" w:space="0" w:color="221F20"/>
              <w:bottom w:val="single" w:sz="6" w:space="0" w:color="221F20"/>
              <w:right w:val="single" w:sz="6" w:space="0" w:color="221F20"/>
            </w:tcBorders>
          </w:tcPr>
          <w:p w14:paraId="265D0D7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39" w:type="dxa"/>
            <w:tcBorders>
              <w:top w:val="single" w:sz="6" w:space="0" w:color="221F20"/>
              <w:left w:val="single" w:sz="6" w:space="0" w:color="221F20"/>
              <w:bottom w:val="single" w:sz="6" w:space="0" w:color="221F20"/>
              <w:right w:val="single" w:sz="6" w:space="0" w:color="221F20"/>
            </w:tcBorders>
            <w:vAlign w:val="bottom"/>
          </w:tcPr>
          <w:p w14:paraId="5ADAD636"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Information search and retrieval</w:t>
            </w:r>
          </w:p>
        </w:tc>
        <w:tc>
          <w:tcPr>
            <w:tcW w:w="1076" w:type="dxa"/>
            <w:tcBorders>
              <w:top w:val="single" w:sz="6" w:space="0" w:color="221F20"/>
              <w:left w:val="single" w:sz="6" w:space="0" w:color="221F20"/>
              <w:bottom w:val="single" w:sz="6" w:space="0" w:color="221F20"/>
              <w:right w:val="single" w:sz="6" w:space="0" w:color="221F20"/>
            </w:tcBorders>
          </w:tcPr>
          <w:p w14:paraId="1858CE1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21E7984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4CC9DE0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775733D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676BB62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52EACFA4" w14:textId="77777777">
        <w:trPr>
          <w:trHeight w:val="251"/>
        </w:trPr>
        <w:tc>
          <w:tcPr>
            <w:tcW w:w="415" w:type="dxa"/>
            <w:tcBorders>
              <w:top w:val="single" w:sz="6" w:space="0" w:color="221F20"/>
              <w:left w:val="single" w:sz="6" w:space="0" w:color="221F20"/>
              <w:bottom w:val="single" w:sz="6" w:space="0" w:color="221F20"/>
              <w:right w:val="single" w:sz="6" w:space="0" w:color="221F20"/>
            </w:tcBorders>
          </w:tcPr>
          <w:p w14:paraId="22FB39D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39" w:type="dxa"/>
            <w:tcBorders>
              <w:top w:val="single" w:sz="6" w:space="0" w:color="221F20"/>
              <w:left w:val="single" w:sz="6" w:space="0" w:color="221F20"/>
              <w:bottom w:val="single" w:sz="6" w:space="0" w:color="221F20"/>
              <w:right w:val="single" w:sz="6" w:space="0" w:color="221F20"/>
            </w:tcBorders>
            <w:vAlign w:val="bottom"/>
          </w:tcPr>
          <w:p w14:paraId="1AE6F28E"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 xml:space="preserve">Legal Issues in information use </w:t>
            </w:r>
          </w:p>
        </w:tc>
        <w:tc>
          <w:tcPr>
            <w:tcW w:w="1076" w:type="dxa"/>
            <w:tcBorders>
              <w:top w:val="single" w:sz="6" w:space="0" w:color="221F20"/>
              <w:left w:val="single" w:sz="6" w:space="0" w:color="221F20"/>
              <w:bottom w:val="single" w:sz="6" w:space="0" w:color="221F20"/>
              <w:right w:val="single" w:sz="6" w:space="0" w:color="221F20"/>
            </w:tcBorders>
          </w:tcPr>
          <w:p w14:paraId="28F3F85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328A274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7910845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09B1B90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0213F6A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214F1FF" w14:textId="77777777">
        <w:trPr>
          <w:trHeight w:val="251"/>
        </w:trPr>
        <w:tc>
          <w:tcPr>
            <w:tcW w:w="415" w:type="dxa"/>
            <w:tcBorders>
              <w:top w:val="single" w:sz="6" w:space="0" w:color="221F20"/>
              <w:left w:val="single" w:sz="6" w:space="0" w:color="221F20"/>
              <w:bottom w:val="single" w:sz="6" w:space="0" w:color="221F20"/>
              <w:right w:val="single" w:sz="6" w:space="0" w:color="221F20"/>
            </w:tcBorders>
          </w:tcPr>
          <w:p w14:paraId="152CB86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39" w:type="dxa"/>
            <w:tcBorders>
              <w:top w:val="single" w:sz="6" w:space="0" w:color="221F20"/>
              <w:left w:val="single" w:sz="6" w:space="0" w:color="221F20"/>
              <w:bottom w:val="single" w:sz="6" w:space="0" w:color="221F20"/>
              <w:right w:val="single" w:sz="6" w:space="0" w:color="221F20"/>
            </w:tcBorders>
            <w:vAlign w:val="bottom"/>
          </w:tcPr>
          <w:p w14:paraId="6FAAE829"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Computer literacy skills in information use</w:t>
            </w:r>
          </w:p>
        </w:tc>
        <w:tc>
          <w:tcPr>
            <w:tcW w:w="1076" w:type="dxa"/>
            <w:tcBorders>
              <w:top w:val="single" w:sz="6" w:space="0" w:color="221F20"/>
              <w:left w:val="single" w:sz="6" w:space="0" w:color="221F20"/>
              <w:bottom w:val="single" w:sz="6" w:space="0" w:color="221F20"/>
              <w:right w:val="single" w:sz="6" w:space="0" w:color="221F20"/>
            </w:tcBorders>
          </w:tcPr>
          <w:p w14:paraId="0A99553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3766330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66BFB76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63EAF46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47AF106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126AF8DF" w14:textId="77777777">
        <w:trPr>
          <w:trHeight w:val="251"/>
        </w:trPr>
        <w:tc>
          <w:tcPr>
            <w:tcW w:w="415" w:type="dxa"/>
            <w:tcBorders>
              <w:top w:val="single" w:sz="6" w:space="0" w:color="221F20"/>
              <w:left w:val="single" w:sz="6" w:space="0" w:color="221F20"/>
              <w:bottom w:val="single" w:sz="6" w:space="0" w:color="221F20"/>
              <w:right w:val="single" w:sz="6" w:space="0" w:color="221F20"/>
            </w:tcBorders>
          </w:tcPr>
          <w:p w14:paraId="18948E6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739" w:type="dxa"/>
            <w:tcBorders>
              <w:top w:val="single" w:sz="6" w:space="0" w:color="221F20"/>
              <w:left w:val="single" w:sz="6" w:space="0" w:color="221F20"/>
              <w:bottom w:val="single" w:sz="6" w:space="0" w:color="221F20"/>
              <w:right w:val="single" w:sz="6" w:space="0" w:color="221F20"/>
            </w:tcBorders>
            <w:vAlign w:val="bottom"/>
          </w:tcPr>
          <w:p w14:paraId="16285CFD"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Socialization and effective communication skills</w:t>
            </w:r>
          </w:p>
        </w:tc>
        <w:tc>
          <w:tcPr>
            <w:tcW w:w="1076" w:type="dxa"/>
            <w:tcBorders>
              <w:top w:val="single" w:sz="6" w:space="0" w:color="221F20"/>
              <w:left w:val="single" w:sz="6" w:space="0" w:color="221F20"/>
              <w:bottom w:val="single" w:sz="6" w:space="0" w:color="221F20"/>
              <w:right w:val="single" w:sz="6" w:space="0" w:color="221F20"/>
            </w:tcBorders>
          </w:tcPr>
          <w:p w14:paraId="25841FA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58BEA63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24FBDC2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6D38CEC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3760AA1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7E380AC2" w14:textId="77777777">
        <w:trPr>
          <w:trHeight w:val="251"/>
        </w:trPr>
        <w:tc>
          <w:tcPr>
            <w:tcW w:w="415" w:type="dxa"/>
            <w:tcBorders>
              <w:top w:val="single" w:sz="6" w:space="0" w:color="221F20"/>
              <w:left w:val="single" w:sz="6" w:space="0" w:color="221F20"/>
              <w:bottom w:val="single" w:sz="6" w:space="0" w:color="221F20"/>
              <w:right w:val="single" w:sz="6" w:space="0" w:color="221F20"/>
            </w:tcBorders>
          </w:tcPr>
          <w:p w14:paraId="2CDA50C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739" w:type="dxa"/>
            <w:tcBorders>
              <w:top w:val="single" w:sz="6" w:space="0" w:color="221F20"/>
              <w:left w:val="single" w:sz="6" w:space="0" w:color="221F20"/>
              <w:bottom w:val="single" w:sz="6" w:space="0" w:color="221F20"/>
              <w:right w:val="single" w:sz="6" w:space="0" w:color="221F20"/>
            </w:tcBorders>
            <w:vAlign w:val="bottom"/>
          </w:tcPr>
          <w:p w14:paraId="4E5A1DB0" w14:textId="77777777" w:rsidR="00B01D46" w:rsidRDefault="0067013E">
            <w:p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Integration of information </w:t>
            </w:r>
          </w:p>
        </w:tc>
        <w:tc>
          <w:tcPr>
            <w:tcW w:w="1076" w:type="dxa"/>
            <w:tcBorders>
              <w:top w:val="single" w:sz="6" w:space="0" w:color="221F20"/>
              <w:left w:val="single" w:sz="6" w:space="0" w:color="221F20"/>
              <w:bottom w:val="single" w:sz="6" w:space="0" w:color="221F20"/>
              <w:right w:val="single" w:sz="6" w:space="0" w:color="221F20"/>
            </w:tcBorders>
          </w:tcPr>
          <w:p w14:paraId="7231CDA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7BAAEB3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670E605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2D92CED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7415AA6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73AED08C" w14:textId="77777777">
        <w:trPr>
          <w:trHeight w:val="251"/>
        </w:trPr>
        <w:tc>
          <w:tcPr>
            <w:tcW w:w="415" w:type="dxa"/>
            <w:tcBorders>
              <w:top w:val="single" w:sz="6" w:space="0" w:color="221F20"/>
              <w:left w:val="single" w:sz="6" w:space="0" w:color="221F20"/>
              <w:bottom w:val="single" w:sz="6" w:space="0" w:color="221F20"/>
              <w:right w:val="single" w:sz="6" w:space="0" w:color="221F20"/>
            </w:tcBorders>
          </w:tcPr>
          <w:p w14:paraId="4701BBB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739" w:type="dxa"/>
            <w:tcBorders>
              <w:top w:val="single" w:sz="6" w:space="0" w:color="221F20"/>
              <w:left w:val="single" w:sz="6" w:space="0" w:color="221F20"/>
              <w:bottom w:val="single" w:sz="6" w:space="0" w:color="221F20"/>
              <w:right w:val="single" w:sz="6" w:space="0" w:color="221F20"/>
            </w:tcBorders>
            <w:vAlign w:val="bottom"/>
          </w:tcPr>
          <w:p w14:paraId="288B7CCE" w14:textId="77777777" w:rsidR="00B01D46" w:rsidRDefault="0067013E">
            <w:p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Basic library guidelines on how to access library materials </w:t>
            </w:r>
          </w:p>
        </w:tc>
        <w:tc>
          <w:tcPr>
            <w:tcW w:w="1076" w:type="dxa"/>
            <w:tcBorders>
              <w:top w:val="single" w:sz="6" w:space="0" w:color="221F20"/>
              <w:left w:val="single" w:sz="6" w:space="0" w:color="221F20"/>
              <w:bottom w:val="single" w:sz="6" w:space="0" w:color="221F20"/>
              <w:right w:val="single" w:sz="6" w:space="0" w:color="221F20"/>
            </w:tcBorders>
          </w:tcPr>
          <w:p w14:paraId="0A3FA11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46138FF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778637A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73116AA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7E35DEB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BCE3D43" w14:textId="77777777">
        <w:trPr>
          <w:trHeight w:val="251"/>
        </w:trPr>
        <w:tc>
          <w:tcPr>
            <w:tcW w:w="415" w:type="dxa"/>
            <w:tcBorders>
              <w:top w:val="single" w:sz="6" w:space="0" w:color="221F20"/>
              <w:left w:val="single" w:sz="6" w:space="0" w:color="221F20"/>
              <w:bottom w:val="single" w:sz="6" w:space="0" w:color="221F20"/>
              <w:right w:val="single" w:sz="6" w:space="0" w:color="221F20"/>
            </w:tcBorders>
          </w:tcPr>
          <w:p w14:paraId="14838D9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739" w:type="dxa"/>
            <w:tcBorders>
              <w:top w:val="single" w:sz="6" w:space="0" w:color="221F20"/>
              <w:left w:val="single" w:sz="6" w:space="0" w:color="221F20"/>
              <w:bottom w:val="single" w:sz="6" w:space="0" w:color="221F20"/>
              <w:right w:val="single" w:sz="6" w:space="0" w:color="221F20"/>
            </w:tcBorders>
            <w:vAlign w:val="bottom"/>
          </w:tcPr>
          <w:p w14:paraId="15DC722A" w14:textId="77777777" w:rsidR="00B01D46" w:rsidRDefault="0067013E">
            <w:p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Research skills</w:t>
            </w:r>
          </w:p>
        </w:tc>
        <w:tc>
          <w:tcPr>
            <w:tcW w:w="1076" w:type="dxa"/>
            <w:tcBorders>
              <w:top w:val="single" w:sz="6" w:space="0" w:color="221F20"/>
              <w:left w:val="single" w:sz="6" w:space="0" w:color="221F20"/>
              <w:bottom w:val="single" w:sz="6" w:space="0" w:color="221F20"/>
              <w:right w:val="single" w:sz="6" w:space="0" w:color="221F20"/>
            </w:tcBorders>
          </w:tcPr>
          <w:p w14:paraId="45147C9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3DFC83B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1B55318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2E592D0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2E2064F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2210EB8A" w14:textId="77777777" w:rsidR="00B01D46" w:rsidRDefault="0067013E">
      <w:pPr>
        <w:pStyle w:val="NormalWeb"/>
        <w:shd w:val="clear" w:color="auto" w:fill="FFFFFF"/>
        <w:tabs>
          <w:tab w:val="left" w:pos="360"/>
        </w:tabs>
        <w:autoSpaceDE w:val="0"/>
        <w:autoSpaceDN w:val="0"/>
        <w:adjustRightInd w:val="0"/>
        <w:spacing w:before="120" w:after="0" w:line="360" w:lineRule="auto"/>
        <w:jc w:val="both"/>
        <w:rPr>
          <w:b/>
        </w:rPr>
      </w:pPr>
      <w:r>
        <w:rPr>
          <w:b/>
        </w:rPr>
        <w:t>(</w:t>
      </w:r>
      <w:r>
        <w:rPr>
          <w:i/>
        </w:rPr>
        <w:t xml:space="preserve">Please </w:t>
      </w:r>
      <w:r>
        <w:rPr>
          <w:b/>
          <w:i/>
        </w:rPr>
        <w:t>CIRCLE</w:t>
      </w:r>
      <w:r>
        <w:rPr>
          <w:i/>
        </w:rPr>
        <w:t xml:space="preserve"> the number beside each statement that </w:t>
      </w:r>
      <w:r>
        <w:rPr>
          <w:b/>
          <w:i/>
        </w:rPr>
        <w:t>most accurately</w:t>
      </w:r>
      <w:r>
        <w:rPr>
          <w:i/>
        </w:rPr>
        <w:t xml:space="preserve"> reflects the extent to which you agree or disagree- meaning:  1 is </w:t>
      </w:r>
      <w:r>
        <w:rPr>
          <w:b/>
          <w:i/>
          <w:u w:val="single" w:color="000000"/>
        </w:rPr>
        <w:t>strongly DISAGREE</w:t>
      </w:r>
      <w:r>
        <w:rPr>
          <w:i/>
        </w:rPr>
        <w:t xml:space="preserve"> and 5 means you </w:t>
      </w:r>
      <w:r>
        <w:rPr>
          <w:b/>
          <w:i/>
          <w:u w:val="single" w:color="000000"/>
        </w:rPr>
        <w:t>Strongly AGREE</w:t>
      </w:r>
      <w:r>
        <w:rPr>
          <w:i/>
        </w:rPr>
        <w:t xml:space="preserve"> with the statement)</w:t>
      </w:r>
    </w:p>
    <w:p w14:paraId="7E28C972" w14:textId="77777777" w:rsidR="00B01D46" w:rsidRDefault="0067013E">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7DC52314" w14:textId="77777777" w:rsidR="00B01D46" w:rsidRDefault="0067013E">
      <w:pPr>
        <w:pStyle w:val="ListParagraph"/>
        <w:numPr>
          <w:ilvl w:val="0"/>
          <w:numId w:val="19"/>
        </w:numPr>
        <w:spacing w:after="106" w:line="276" w:lineRule="auto"/>
        <w:ind w:right="-15"/>
        <w:rPr>
          <w:szCs w:val="24"/>
        </w:rPr>
      </w:pPr>
      <w:r>
        <w:rPr>
          <w:szCs w:val="24"/>
        </w:rPr>
        <w:lastRenderedPageBreak/>
        <w:t>Which method(s) are used to deliver ILS programme to medical undergraduate students?</w:t>
      </w:r>
    </w:p>
    <w:p w14:paraId="0EDFC276" w14:textId="77777777" w:rsidR="00B01D46" w:rsidRDefault="0067013E">
      <w:pPr>
        <w:pStyle w:val="NormalWeb"/>
        <w:shd w:val="clear" w:color="auto" w:fill="FFFFFF"/>
        <w:tabs>
          <w:tab w:val="left" w:pos="360"/>
        </w:tabs>
        <w:autoSpaceDE w:val="0"/>
        <w:autoSpaceDN w:val="0"/>
        <w:adjustRightInd w:val="0"/>
        <w:spacing w:before="120" w:after="0" w:line="360" w:lineRule="auto"/>
        <w:jc w:val="both"/>
        <w:rPr>
          <w:b/>
        </w:rPr>
      </w:pPr>
      <w:bookmarkStart w:id="2512" w:name="_Hlk154898891"/>
      <w:r>
        <w:rPr>
          <w:b/>
        </w:rPr>
        <w:t>(</w:t>
      </w:r>
      <w:r>
        <w:rPr>
          <w:i/>
        </w:rPr>
        <w:t xml:space="preserve">Please </w:t>
      </w:r>
      <w:r>
        <w:rPr>
          <w:b/>
          <w:i/>
        </w:rPr>
        <w:t>CIRCLE</w:t>
      </w:r>
      <w:r>
        <w:rPr>
          <w:i/>
        </w:rPr>
        <w:t xml:space="preserve"> the number beside each statement that </w:t>
      </w:r>
      <w:r>
        <w:rPr>
          <w:b/>
          <w:i/>
        </w:rPr>
        <w:t>most accurately</w:t>
      </w:r>
      <w:r>
        <w:rPr>
          <w:i/>
        </w:rPr>
        <w:t xml:space="preserve"> reflects the extent to which you agree or disagree- meaning:  1 is </w:t>
      </w:r>
      <w:r>
        <w:rPr>
          <w:b/>
          <w:i/>
          <w:u w:val="single" w:color="000000"/>
        </w:rPr>
        <w:t>strongly DISAGREE</w:t>
      </w:r>
      <w:r>
        <w:rPr>
          <w:i/>
        </w:rPr>
        <w:t xml:space="preserve"> and 5 means you </w:t>
      </w:r>
      <w:r>
        <w:rPr>
          <w:b/>
          <w:i/>
          <w:u w:val="single" w:color="000000"/>
        </w:rPr>
        <w:t>Strongly AGREE</w:t>
      </w:r>
      <w:r>
        <w:rPr>
          <w:i/>
        </w:rPr>
        <w:t xml:space="preserve"> with the statement)</w:t>
      </w:r>
    </w:p>
    <w:tbl>
      <w:tblPr>
        <w:tblStyle w:val="TableGrid0"/>
        <w:tblW w:w="8184" w:type="dxa"/>
        <w:tblInd w:w="0" w:type="dxa"/>
        <w:tblCellMar>
          <w:top w:w="80" w:type="dxa"/>
          <w:left w:w="80" w:type="dxa"/>
          <w:right w:w="115" w:type="dxa"/>
        </w:tblCellMar>
        <w:tblLook w:val="04A0" w:firstRow="1" w:lastRow="0" w:firstColumn="1" w:lastColumn="0" w:noHBand="0" w:noVBand="1"/>
      </w:tblPr>
      <w:tblGrid>
        <w:gridCol w:w="385"/>
        <w:gridCol w:w="2769"/>
        <w:gridCol w:w="1076"/>
        <w:gridCol w:w="1088"/>
        <w:gridCol w:w="982"/>
        <w:gridCol w:w="808"/>
        <w:gridCol w:w="1076"/>
      </w:tblGrid>
      <w:tr w:rsidR="00B01D46" w14:paraId="07891279" w14:textId="77777777">
        <w:trPr>
          <w:trHeight w:val="263"/>
        </w:trPr>
        <w:tc>
          <w:tcPr>
            <w:tcW w:w="461" w:type="dxa"/>
            <w:tcBorders>
              <w:top w:val="single" w:sz="6" w:space="0" w:color="221F20"/>
              <w:left w:val="single" w:sz="6" w:space="0" w:color="221F20"/>
              <w:bottom w:val="single" w:sz="6" w:space="0" w:color="221F20"/>
              <w:right w:val="single" w:sz="6" w:space="0" w:color="221F20"/>
            </w:tcBorders>
          </w:tcPr>
          <w:p w14:paraId="3933D6A6" w14:textId="77777777" w:rsidR="00B01D46" w:rsidRDefault="00B01D46">
            <w:pPr>
              <w:spacing w:line="360" w:lineRule="auto"/>
              <w:rPr>
                <w:rFonts w:ascii="Times New Roman" w:hAnsi="Times New Roman" w:cs="Times New Roman"/>
                <w:sz w:val="24"/>
                <w:szCs w:val="24"/>
              </w:rPr>
            </w:pPr>
          </w:p>
        </w:tc>
        <w:tc>
          <w:tcPr>
            <w:tcW w:w="3219" w:type="dxa"/>
            <w:tcBorders>
              <w:top w:val="single" w:sz="6" w:space="0" w:color="221F20"/>
              <w:left w:val="single" w:sz="6" w:space="0" w:color="221F20"/>
              <w:bottom w:val="single" w:sz="6" w:space="0" w:color="221F20"/>
              <w:right w:val="single" w:sz="6" w:space="0" w:color="221F20"/>
            </w:tcBorders>
          </w:tcPr>
          <w:p w14:paraId="14BE7779" w14:textId="77777777" w:rsidR="00B01D46" w:rsidRDefault="0067013E">
            <w:pPr>
              <w:spacing w:after="140" w:line="480" w:lineRule="auto"/>
              <w:ind w:left="311" w:right="8" w:hanging="9"/>
              <w:jc w:val="both"/>
              <w:rPr>
                <w:rFonts w:ascii="Times New Roman" w:eastAsia="Calibri" w:hAnsi="Times New Roman" w:cs="Times New Roman"/>
                <w:b/>
                <w:bCs/>
                <w:sz w:val="24"/>
                <w:szCs w:val="24"/>
              </w:rPr>
            </w:pPr>
            <w:r>
              <w:rPr>
                <w:rFonts w:ascii="Times New Roman" w:hAnsi="Times New Roman" w:cs="Times New Roman"/>
                <w:b/>
                <w:bCs/>
                <w:sz w:val="24"/>
                <w:szCs w:val="24"/>
              </w:rPr>
              <w:t>Method(s) used to deliver ILS curriculum</w:t>
            </w:r>
          </w:p>
        </w:tc>
        <w:tc>
          <w:tcPr>
            <w:tcW w:w="964" w:type="dxa"/>
            <w:tcBorders>
              <w:top w:val="single" w:sz="6" w:space="0" w:color="221F20"/>
              <w:left w:val="single" w:sz="6" w:space="0" w:color="221F20"/>
              <w:bottom w:val="single" w:sz="6" w:space="0" w:color="221F20"/>
              <w:right w:val="single" w:sz="6" w:space="0" w:color="221F20"/>
            </w:tcBorders>
          </w:tcPr>
          <w:p w14:paraId="69FA1646"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Strongly disagree</w:t>
            </w:r>
          </w:p>
        </w:tc>
        <w:tc>
          <w:tcPr>
            <w:tcW w:w="974" w:type="dxa"/>
            <w:tcBorders>
              <w:top w:val="single" w:sz="6" w:space="0" w:color="221F20"/>
              <w:left w:val="single" w:sz="6" w:space="0" w:color="221F20"/>
              <w:bottom w:val="single" w:sz="6" w:space="0" w:color="221F20"/>
              <w:right w:val="single" w:sz="6" w:space="0" w:color="221F20"/>
            </w:tcBorders>
          </w:tcPr>
          <w:p w14:paraId="3A3579E9"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Disagree </w:t>
            </w:r>
          </w:p>
        </w:tc>
        <w:tc>
          <w:tcPr>
            <w:tcW w:w="879" w:type="dxa"/>
            <w:tcBorders>
              <w:top w:val="single" w:sz="6" w:space="0" w:color="221F20"/>
              <w:left w:val="single" w:sz="6" w:space="0" w:color="221F20"/>
              <w:bottom w:val="single" w:sz="6" w:space="0" w:color="221F20"/>
              <w:right w:val="single" w:sz="6" w:space="0" w:color="221F20"/>
            </w:tcBorders>
          </w:tcPr>
          <w:p w14:paraId="3092AA80"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Neutral </w:t>
            </w:r>
          </w:p>
        </w:tc>
        <w:tc>
          <w:tcPr>
            <w:tcW w:w="723" w:type="dxa"/>
            <w:tcBorders>
              <w:top w:val="single" w:sz="6" w:space="0" w:color="221F20"/>
              <w:left w:val="single" w:sz="6" w:space="0" w:color="221F20"/>
              <w:bottom w:val="single" w:sz="6" w:space="0" w:color="221F20"/>
              <w:right w:val="single" w:sz="6" w:space="0" w:color="221F20"/>
            </w:tcBorders>
          </w:tcPr>
          <w:p w14:paraId="05A3B596"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Agree </w:t>
            </w:r>
          </w:p>
        </w:tc>
        <w:tc>
          <w:tcPr>
            <w:tcW w:w="964" w:type="dxa"/>
            <w:tcBorders>
              <w:top w:val="single" w:sz="6" w:space="0" w:color="221F20"/>
              <w:left w:val="single" w:sz="6" w:space="0" w:color="221F20"/>
              <w:bottom w:val="single" w:sz="6" w:space="0" w:color="221F20"/>
              <w:right w:val="single" w:sz="6" w:space="0" w:color="221F20"/>
            </w:tcBorders>
          </w:tcPr>
          <w:p w14:paraId="747A0119"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0FFA8ED2" w14:textId="77777777">
        <w:trPr>
          <w:trHeight w:val="263"/>
        </w:trPr>
        <w:tc>
          <w:tcPr>
            <w:tcW w:w="461" w:type="dxa"/>
            <w:tcBorders>
              <w:top w:val="single" w:sz="6" w:space="0" w:color="221F20"/>
              <w:left w:val="single" w:sz="6" w:space="0" w:color="221F20"/>
              <w:bottom w:val="single" w:sz="6" w:space="0" w:color="221F20"/>
              <w:right w:val="single" w:sz="6" w:space="0" w:color="221F20"/>
            </w:tcBorders>
          </w:tcPr>
          <w:p w14:paraId="30965F22" w14:textId="77777777" w:rsidR="00B01D46" w:rsidRDefault="00B01D46">
            <w:pPr>
              <w:spacing w:line="360" w:lineRule="auto"/>
              <w:jc w:val="center"/>
              <w:rPr>
                <w:rFonts w:ascii="Times New Roman" w:hAnsi="Times New Roman" w:cs="Times New Roman"/>
                <w:sz w:val="24"/>
                <w:szCs w:val="24"/>
              </w:rPr>
            </w:pPr>
          </w:p>
        </w:tc>
        <w:tc>
          <w:tcPr>
            <w:tcW w:w="3219" w:type="dxa"/>
            <w:tcBorders>
              <w:top w:val="single" w:sz="6" w:space="0" w:color="221F20"/>
              <w:left w:val="single" w:sz="6" w:space="0" w:color="221F20"/>
              <w:bottom w:val="single" w:sz="6" w:space="0" w:color="221F20"/>
              <w:right w:val="single" w:sz="6" w:space="0" w:color="221F20"/>
            </w:tcBorders>
            <w:vAlign w:val="bottom"/>
          </w:tcPr>
          <w:p w14:paraId="13CC7784" w14:textId="77777777" w:rsidR="00B01D46" w:rsidRDefault="0067013E">
            <w:pPr>
              <w:spacing w:line="360" w:lineRule="auto"/>
              <w:rPr>
                <w:rFonts w:ascii="Times New Roman" w:hAnsi="Times New Roman" w:cs="Times New Roman"/>
                <w:sz w:val="24"/>
                <w:szCs w:val="24"/>
              </w:rPr>
            </w:pPr>
            <w:r>
              <w:rPr>
                <w:rFonts w:ascii="Times New Roman" w:hAnsi="Times New Roman" w:cs="Times New Roman"/>
                <w:color w:val="000000"/>
                <w:sz w:val="24"/>
                <w:szCs w:val="24"/>
              </w:rPr>
              <w:t xml:space="preserve">Computers </w:t>
            </w:r>
          </w:p>
        </w:tc>
        <w:tc>
          <w:tcPr>
            <w:tcW w:w="964" w:type="dxa"/>
            <w:tcBorders>
              <w:top w:val="single" w:sz="6" w:space="0" w:color="221F20"/>
              <w:left w:val="single" w:sz="6" w:space="0" w:color="221F20"/>
              <w:bottom w:val="single" w:sz="6" w:space="0" w:color="221F20"/>
              <w:right w:val="single" w:sz="6" w:space="0" w:color="221F20"/>
            </w:tcBorders>
          </w:tcPr>
          <w:p w14:paraId="2611C677"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4" w:type="dxa"/>
            <w:tcBorders>
              <w:top w:val="single" w:sz="6" w:space="0" w:color="221F20"/>
              <w:left w:val="single" w:sz="6" w:space="0" w:color="221F20"/>
              <w:bottom w:val="single" w:sz="6" w:space="0" w:color="221F20"/>
              <w:right w:val="single" w:sz="6" w:space="0" w:color="221F20"/>
            </w:tcBorders>
          </w:tcPr>
          <w:p w14:paraId="12F78FF6"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6" w:space="0" w:color="221F20"/>
              <w:left w:val="single" w:sz="6" w:space="0" w:color="221F20"/>
              <w:bottom w:val="single" w:sz="6" w:space="0" w:color="221F20"/>
              <w:right w:val="single" w:sz="6" w:space="0" w:color="221F20"/>
            </w:tcBorders>
          </w:tcPr>
          <w:p w14:paraId="3E5A83D8"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3" w:type="dxa"/>
            <w:tcBorders>
              <w:top w:val="single" w:sz="6" w:space="0" w:color="221F20"/>
              <w:left w:val="single" w:sz="6" w:space="0" w:color="221F20"/>
              <w:bottom w:val="single" w:sz="6" w:space="0" w:color="221F20"/>
              <w:right w:val="single" w:sz="6" w:space="0" w:color="221F20"/>
            </w:tcBorders>
          </w:tcPr>
          <w:p w14:paraId="3180C724"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64" w:type="dxa"/>
            <w:tcBorders>
              <w:top w:val="single" w:sz="6" w:space="0" w:color="221F20"/>
              <w:left w:val="single" w:sz="6" w:space="0" w:color="221F20"/>
              <w:bottom w:val="single" w:sz="6" w:space="0" w:color="221F20"/>
              <w:right w:val="single" w:sz="6" w:space="0" w:color="221F20"/>
            </w:tcBorders>
          </w:tcPr>
          <w:p w14:paraId="34648978"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4E4B8091" w14:textId="77777777">
        <w:trPr>
          <w:trHeight w:val="263"/>
        </w:trPr>
        <w:tc>
          <w:tcPr>
            <w:tcW w:w="461" w:type="dxa"/>
            <w:tcBorders>
              <w:top w:val="single" w:sz="6" w:space="0" w:color="221F20"/>
              <w:left w:val="single" w:sz="6" w:space="0" w:color="221F20"/>
              <w:bottom w:val="single" w:sz="6" w:space="0" w:color="221F20"/>
              <w:right w:val="single" w:sz="6" w:space="0" w:color="221F20"/>
            </w:tcBorders>
          </w:tcPr>
          <w:p w14:paraId="1A45DA0B" w14:textId="77777777" w:rsidR="00B01D46" w:rsidRDefault="00B01D46">
            <w:pPr>
              <w:pStyle w:val="ListParagraph"/>
              <w:spacing w:after="0" w:line="360" w:lineRule="auto"/>
              <w:ind w:left="360" w:firstLine="0"/>
              <w:rPr>
                <w:rFonts w:eastAsiaTheme="minorEastAsia"/>
                <w:szCs w:val="24"/>
              </w:rPr>
            </w:pPr>
          </w:p>
        </w:tc>
        <w:tc>
          <w:tcPr>
            <w:tcW w:w="3219" w:type="dxa"/>
            <w:tcBorders>
              <w:top w:val="single" w:sz="6" w:space="0" w:color="221F20"/>
              <w:left w:val="single" w:sz="6" w:space="0" w:color="221F20"/>
              <w:bottom w:val="single" w:sz="6" w:space="0" w:color="221F20"/>
              <w:right w:val="single" w:sz="6" w:space="0" w:color="221F20"/>
            </w:tcBorders>
            <w:vAlign w:val="bottom"/>
          </w:tcPr>
          <w:p w14:paraId="04CAA3FA" w14:textId="77777777" w:rsidR="00B01D46" w:rsidRDefault="0067013E">
            <w:pPr>
              <w:spacing w:line="360" w:lineRule="auto"/>
              <w:rPr>
                <w:rFonts w:ascii="Times New Roman" w:hAnsi="Times New Roman" w:cs="Times New Roman"/>
                <w:sz w:val="24"/>
                <w:szCs w:val="24"/>
              </w:rPr>
            </w:pPr>
            <w:r>
              <w:rPr>
                <w:rFonts w:ascii="Times New Roman" w:hAnsi="Times New Roman" w:cs="Times New Roman"/>
                <w:color w:val="000000"/>
                <w:sz w:val="24"/>
                <w:szCs w:val="24"/>
              </w:rPr>
              <w:t>Face to face teaching</w:t>
            </w:r>
          </w:p>
        </w:tc>
        <w:tc>
          <w:tcPr>
            <w:tcW w:w="964" w:type="dxa"/>
            <w:tcBorders>
              <w:top w:val="single" w:sz="6" w:space="0" w:color="221F20"/>
              <w:left w:val="single" w:sz="6" w:space="0" w:color="221F20"/>
              <w:bottom w:val="single" w:sz="6" w:space="0" w:color="221F20"/>
              <w:right w:val="single" w:sz="6" w:space="0" w:color="221F20"/>
            </w:tcBorders>
          </w:tcPr>
          <w:p w14:paraId="6D016856"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4" w:type="dxa"/>
            <w:tcBorders>
              <w:top w:val="single" w:sz="6" w:space="0" w:color="221F20"/>
              <w:left w:val="single" w:sz="6" w:space="0" w:color="221F20"/>
              <w:bottom w:val="single" w:sz="6" w:space="0" w:color="221F20"/>
              <w:right w:val="single" w:sz="6" w:space="0" w:color="221F20"/>
            </w:tcBorders>
          </w:tcPr>
          <w:p w14:paraId="6A0CA61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6" w:space="0" w:color="221F20"/>
              <w:left w:val="single" w:sz="6" w:space="0" w:color="221F20"/>
              <w:bottom w:val="single" w:sz="6" w:space="0" w:color="221F20"/>
              <w:right w:val="single" w:sz="6" w:space="0" w:color="221F20"/>
            </w:tcBorders>
          </w:tcPr>
          <w:p w14:paraId="024DEF46"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3" w:type="dxa"/>
            <w:tcBorders>
              <w:top w:val="single" w:sz="6" w:space="0" w:color="221F20"/>
              <w:left w:val="single" w:sz="6" w:space="0" w:color="221F20"/>
              <w:bottom w:val="single" w:sz="6" w:space="0" w:color="221F20"/>
              <w:right w:val="single" w:sz="6" w:space="0" w:color="221F20"/>
            </w:tcBorders>
          </w:tcPr>
          <w:p w14:paraId="02E0F526"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64" w:type="dxa"/>
            <w:tcBorders>
              <w:top w:val="single" w:sz="6" w:space="0" w:color="221F20"/>
              <w:left w:val="single" w:sz="6" w:space="0" w:color="221F20"/>
              <w:bottom w:val="single" w:sz="6" w:space="0" w:color="221F20"/>
              <w:right w:val="single" w:sz="6" w:space="0" w:color="221F20"/>
            </w:tcBorders>
          </w:tcPr>
          <w:p w14:paraId="0B296670"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4B2EEDE" w14:textId="77777777">
        <w:trPr>
          <w:trHeight w:val="263"/>
        </w:trPr>
        <w:tc>
          <w:tcPr>
            <w:tcW w:w="461" w:type="dxa"/>
            <w:tcBorders>
              <w:top w:val="single" w:sz="6" w:space="0" w:color="221F20"/>
              <w:left w:val="single" w:sz="6" w:space="0" w:color="221F20"/>
              <w:bottom w:val="single" w:sz="6" w:space="0" w:color="221F20"/>
              <w:right w:val="single" w:sz="6" w:space="0" w:color="221F20"/>
            </w:tcBorders>
          </w:tcPr>
          <w:p w14:paraId="4190217F" w14:textId="77777777" w:rsidR="00B01D46" w:rsidRDefault="00B01D46">
            <w:pPr>
              <w:pStyle w:val="ListParagraph"/>
              <w:spacing w:after="0" w:line="360" w:lineRule="auto"/>
              <w:ind w:left="360" w:firstLine="0"/>
              <w:rPr>
                <w:rFonts w:eastAsiaTheme="minorEastAsia"/>
                <w:szCs w:val="24"/>
              </w:rPr>
            </w:pPr>
          </w:p>
        </w:tc>
        <w:tc>
          <w:tcPr>
            <w:tcW w:w="3219" w:type="dxa"/>
            <w:tcBorders>
              <w:top w:val="single" w:sz="6" w:space="0" w:color="221F20"/>
              <w:left w:val="single" w:sz="6" w:space="0" w:color="221F20"/>
              <w:bottom w:val="single" w:sz="6" w:space="0" w:color="221F20"/>
              <w:right w:val="single" w:sz="6" w:space="0" w:color="221F20"/>
            </w:tcBorders>
            <w:vAlign w:val="bottom"/>
          </w:tcPr>
          <w:p w14:paraId="5161DF33" w14:textId="77777777" w:rsidR="00B01D46" w:rsidRDefault="0067013E">
            <w:pPr>
              <w:spacing w:line="360" w:lineRule="auto"/>
              <w:rPr>
                <w:rFonts w:ascii="Times New Roman" w:hAnsi="Times New Roman" w:cs="Times New Roman"/>
                <w:sz w:val="24"/>
                <w:szCs w:val="24"/>
              </w:rPr>
            </w:pPr>
            <w:r>
              <w:rPr>
                <w:rFonts w:ascii="Times New Roman" w:hAnsi="Times New Roman" w:cs="Times New Roman"/>
                <w:color w:val="000000"/>
                <w:sz w:val="24"/>
                <w:szCs w:val="24"/>
              </w:rPr>
              <w:t>Online materials</w:t>
            </w:r>
          </w:p>
        </w:tc>
        <w:tc>
          <w:tcPr>
            <w:tcW w:w="964" w:type="dxa"/>
            <w:tcBorders>
              <w:top w:val="single" w:sz="6" w:space="0" w:color="221F20"/>
              <w:left w:val="single" w:sz="6" w:space="0" w:color="221F20"/>
              <w:bottom w:val="single" w:sz="6" w:space="0" w:color="221F20"/>
              <w:right w:val="single" w:sz="6" w:space="0" w:color="221F20"/>
            </w:tcBorders>
          </w:tcPr>
          <w:p w14:paraId="32BC8E1B"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4" w:type="dxa"/>
            <w:tcBorders>
              <w:top w:val="single" w:sz="6" w:space="0" w:color="221F20"/>
              <w:left w:val="single" w:sz="6" w:space="0" w:color="221F20"/>
              <w:bottom w:val="single" w:sz="6" w:space="0" w:color="221F20"/>
              <w:right w:val="single" w:sz="6" w:space="0" w:color="221F20"/>
            </w:tcBorders>
          </w:tcPr>
          <w:p w14:paraId="06A46ED7"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6" w:space="0" w:color="221F20"/>
              <w:left w:val="single" w:sz="6" w:space="0" w:color="221F20"/>
              <w:bottom w:val="single" w:sz="6" w:space="0" w:color="221F20"/>
              <w:right w:val="single" w:sz="6" w:space="0" w:color="221F20"/>
            </w:tcBorders>
          </w:tcPr>
          <w:p w14:paraId="6D3CD717"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3" w:type="dxa"/>
            <w:tcBorders>
              <w:top w:val="single" w:sz="6" w:space="0" w:color="221F20"/>
              <w:left w:val="single" w:sz="6" w:space="0" w:color="221F20"/>
              <w:bottom w:val="single" w:sz="6" w:space="0" w:color="221F20"/>
              <w:right w:val="single" w:sz="6" w:space="0" w:color="221F20"/>
            </w:tcBorders>
          </w:tcPr>
          <w:p w14:paraId="521474E8"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64" w:type="dxa"/>
            <w:tcBorders>
              <w:top w:val="single" w:sz="6" w:space="0" w:color="221F20"/>
              <w:left w:val="single" w:sz="6" w:space="0" w:color="221F20"/>
              <w:bottom w:val="single" w:sz="6" w:space="0" w:color="221F20"/>
              <w:right w:val="single" w:sz="6" w:space="0" w:color="221F20"/>
            </w:tcBorders>
          </w:tcPr>
          <w:p w14:paraId="75D5C351"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5CFE2D14" w14:textId="77777777">
        <w:trPr>
          <w:trHeight w:val="263"/>
        </w:trPr>
        <w:tc>
          <w:tcPr>
            <w:tcW w:w="461" w:type="dxa"/>
            <w:tcBorders>
              <w:top w:val="single" w:sz="6" w:space="0" w:color="221F20"/>
              <w:left w:val="single" w:sz="6" w:space="0" w:color="221F20"/>
              <w:bottom w:val="single" w:sz="6" w:space="0" w:color="221F20"/>
              <w:right w:val="single" w:sz="6" w:space="0" w:color="221F20"/>
            </w:tcBorders>
          </w:tcPr>
          <w:p w14:paraId="7F82789C" w14:textId="77777777" w:rsidR="00B01D46" w:rsidRDefault="00B01D46">
            <w:pPr>
              <w:pStyle w:val="ListParagraph"/>
              <w:spacing w:after="0" w:line="360" w:lineRule="auto"/>
              <w:ind w:left="360" w:firstLine="0"/>
              <w:rPr>
                <w:rFonts w:eastAsiaTheme="minorEastAsia"/>
                <w:szCs w:val="24"/>
              </w:rPr>
            </w:pPr>
          </w:p>
        </w:tc>
        <w:tc>
          <w:tcPr>
            <w:tcW w:w="3219" w:type="dxa"/>
            <w:tcBorders>
              <w:top w:val="single" w:sz="6" w:space="0" w:color="221F20"/>
              <w:left w:val="single" w:sz="6" w:space="0" w:color="221F20"/>
              <w:bottom w:val="single" w:sz="6" w:space="0" w:color="221F20"/>
              <w:right w:val="single" w:sz="6" w:space="0" w:color="221F20"/>
            </w:tcBorders>
            <w:vAlign w:val="bottom"/>
          </w:tcPr>
          <w:p w14:paraId="4B5A0131" w14:textId="77777777" w:rsidR="00B01D46" w:rsidRDefault="0067013E">
            <w:pPr>
              <w:spacing w:line="360" w:lineRule="auto"/>
              <w:rPr>
                <w:rFonts w:ascii="Times New Roman" w:hAnsi="Times New Roman" w:cs="Times New Roman"/>
                <w:sz w:val="24"/>
                <w:szCs w:val="24"/>
              </w:rPr>
            </w:pPr>
            <w:r>
              <w:rPr>
                <w:rFonts w:ascii="Times New Roman" w:hAnsi="Times New Roman" w:cs="Times New Roman"/>
                <w:color w:val="000000"/>
                <w:sz w:val="24"/>
                <w:szCs w:val="24"/>
              </w:rPr>
              <w:t>Handouts</w:t>
            </w:r>
          </w:p>
        </w:tc>
        <w:tc>
          <w:tcPr>
            <w:tcW w:w="964" w:type="dxa"/>
            <w:tcBorders>
              <w:top w:val="single" w:sz="6" w:space="0" w:color="221F20"/>
              <w:left w:val="single" w:sz="6" w:space="0" w:color="221F20"/>
              <w:bottom w:val="single" w:sz="6" w:space="0" w:color="221F20"/>
              <w:right w:val="single" w:sz="6" w:space="0" w:color="221F20"/>
            </w:tcBorders>
          </w:tcPr>
          <w:p w14:paraId="56EC8CD7"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4" w:type="dxa"/>
            <w:tcBorders>
              <w:top w:val="single" w:sz="6" w:space="0" w:color="221F20"/>
              <w:left w:val="single" w:sz="6" w:space="0" w:color="221F20"/>
              <w:bottom w:val="single" w:sz="6" w:space="0" w:color="221F20"/>
              <w:right w:val="single" w:sz="6" w:space="0" w:color="221F20"/>
            </w:tcBorders>
          </w:tcPr>
          <w:p w14:paraId="4BE3FE5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6" w:space="0" w:color="221F20"/>
              <w:left w:val="single" w:sz="6" w:space="0" w:color="221F20"/>
              <w:bottom w:val="single" w:sz="6" w:space="0" w:color="221F20"/>
              <w:right w:val="single" w:sz="6" w:space="0" w:color="221F20"/>
            </w:tcBorders>
          </w:tcPr>
          <w:p w14:paraId="04A1B244"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3" w:type="dxa"/>
            <w:tcBorders>
              <w:top w:val="single" w:sz="6" w:space="0" w:color="221F20"/>
              <w:left w:val="single" w:sz="6" w:space="0" w:color="221F20"/>
              <w:bottom w:val="single" w:sz="6" w:space="0" w:color="221F20"/>
              <w:right w:val="single" w:sz="6" w:space="0" w:color="221F20"/>
            </w:tcBorders>
          </w:tcPr>
          <w:p w14:paraId="4A409FF0"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64" w:type="dxa"/>
            <w:tcBorders>
              <w:top w:val="single" w:sz="6" w:space="0" w:color="221F20"/>
              <w:left w:val="single" w:sz="6" w:space="0" w:color="221F20"/>
              <w:bottom w:val="single" w:sz="6" w:space="0" w:color="221F20"/>
              <w:right w:val="single" w:sz="6" w:space="0" w:color="221F20"/>
            </w:tcBorders>
          </w:tcPr>
          <w:p w14:paraId="2C448DB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FECAC29" w14:textId="77777777">
        <w:trPr>
          <w:trHeight w:val="263"/>
        </w:trPr>
        <w:tc>
          <w:tcPr>
            <w:tcW w:w="461" w:type="dxa"/>
            <w:tcBorders>
              <w:top w:val="single" w:sz="6" w:space="0" w:color="221F20"/>
              <w:left w:val="single" w:sz="6" w:space="0" w:color="221F20"/>
              <w:bottom w:val="single" w:sz="6" w:space="0" w:color="221F20"/>
              <w:right w:val="single" w:sz="6" w:space="0" w:color="221F20"/>
            </w:tcBorders>
          </w:tcPr>
          <w:p w14:paraId="1E14328E" w14:textId="77777777" w:rsidR="00B01D46" w:rsidRDefault="00B01D46">
            <w:pPr>
              <w:pStyle w:val="ListParagraph"/>
              <w:spacing w:after="0" w:line="360" w:lineRule="auto"/>
              <w:ind w:left="360" w:firstLine="0"/>
              <w:rPr>
                <w:rFonts w:eastAsiaTheme="minorEastAsia"/>
                <w:szCs w:val="24"/>
              </w:rPr>
            </w:pPr>
          </w:p>
        </w:tc>
        <w:tc>
          <w:tcPr>
            <w:tcW w:w="3219" w:type="dxa"/>
            <w:tcBorders>
              <w:top w:val="single" w:sz="6" w:space="0" w:color="221F20"/>
              <w:left w:val="single" w:sz="6" w:space="0" w:color="221F20"/>
              <w:bottom w:val="single" w:sz="6" w:space="0" w:color="221F20"/>
              <w:right w:val="single" w:sz="6" w:space="0" w:color="221F20"/>
            </w:tcBorders>
            <w:vAlign w:val="bottom"/>
          </w:tcPr>
          <w:p w14:paraId="07E446B5" w14:textId="77777777" w:rsidR="00B01D46" w:rsidRDefault="0067013E">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Library orientation </w:t>
            </w:r>
          </w:p>
        </w:tc>
        <w:tc>
          <w:tcPr>
            <w:tcW w:w="964" w:type="dxa"/>
            <w:tcBorders>
              <w:top w:val="single" w:sz="6" w:space="0" w:color="221F20"/>
              <w:left w:val="single" w:sz="6" w:space="0" w:color="221F20"/>
              <w:bottom w:val="single" w:sz="6" w:space="0" w:color="221F20"/>
              <w:right w:val="single" w:sz="6" w:space="0" w:color="221F20"/>
            </w:tcBorders>
          </w:tcPr>
          <w:p w14:paraId="5B794E6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4" w:type="dxa"/>
            <w:tcBorders>
              <w:top w:val="single" w:sz="6" w:space="0" w:color="221F20"/>
              <w:left w:val="single" w:sz="6" w:space="0" w:color="221F20"/>
              <w:bottom w:val="single" w:sz="6" w:space="0" w:color="221F20"/>
              <w:right w:val="single" w:sz="6" w:space="0" w:color="221F20"/>
            </w:tcBorders>
          </w:tcPr>
          <w:p w14:paraId="57C22F58"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6" w:space="0" w:color="221F20"/>
              <w:left w:val="single" w:sz="6" w:space="0" w:color="221F20"/>
              <w:bottom w:val="single" w:sz="6" w:space="0" w:color="221F20"/>
              <w:right w:val="single" w:sz="6" w:space="0" w:color="221F20"/>
            </w:tcBorders>
          </w:tcPr>
          <w:p w14:paraId="4F9F1FF4"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3" w:type="dxa"/>
            <w:tcBorders>
              <w:top w:val="single" w:sz="6" w:space="0" w:color="221F20"/>
              <w:left w:val="single" w:sz="6" w:space="0" w:color="221F20"/>
              <w:bottom w:val="single" w:sz="6" w:space="0" w:color="221F20"/>
              <w:right w:val="single" w:sz="6" w:space="0" w:color="221F20"/>
            </w:tcBorders>
          </w:tcPr>
          <w:p w14:paraId="2699BD71"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64" w:type="dxa"/>
            <w:tcBorders>
              <w:top w:val="single" w:sz="6" w:space="0" w:color="221F20"/>
              <w:left w:val="single" w:sz="6" w:space="0" w:color="221F20"/>
              <w:bottom w:val="single" w:sz="6" w:space="0" w:color="221F20"/>
              <w:right w:val="single" w:sz="6" w:space="0" w:color="221F20"/>
            </w:tcBorders>
          </w:tcPr>
          <w:p w14:paraId="73055DCE"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39D872CF" w14:textId="77777777">
        <w:trPr>
          <w:trHeight w:val="263"/>
        </w:trPr>
        <w:tc>
          <w:tcPr>
            <w:tcW w:w="461" w:type="dxa"/>
            <w:tcBorders>
              <w:top w:val="single" w:sz="6" w:space="0" w:color="221F20"/>
              <w:left w:val="single" w:sz="6" w:space="0" w:color="221F20"/>
              <w:bottom w:val="single" w:sz="6" w:space="0" w:color="221F20"/>
              <w:right w:val="single" w:sz="6" w:space="0" w:color="221F20"/>
            </w:tcBorders>
          </w:tcPr>
          <w:p w14:paraId="25957258" w14:textId="77777777" w:rsidR="00B01D46" w:rsidRDefault="00B01D46">
            <w:pPr>
              <w:pStyle w:val="ListParagraph"/>
              <w:spacing w:after="0" w:line="360" w:lineRule="auto"/>
              <w:ind w:left="360" w:firstLine="0"/>
              <w:rPr>
                <w:rFonts w:eastAsiaTheme="minorEastAsia"/>
                <w:szCs w:val="24"/>
              </w:rPr>
            </w:pPr>
          </w:p>
        </w:tc>
        <w:tc>
          <w:tcPr>
            <w:tcW w:w="3219" w:type="dxa"/>
            <w:tcBorders>
              <w:top w:val="single" w:sz="6" w:space="0" w:color="221F20"/>
              <w:left w:val="single" w:sz="6" w:space="0" w:color="221F20"/>
              <w:bottom w:val="single" w:sz="6" w:space="0" w:color="221F20"/>
              <w:right w:val="single" w:sz="6" w:space="0" w:color="221F20"/>
            </w:tcBorders>
            <w:vAlign w:val="bottom"/>
          </w:tcPr>
          <w:p w14:paraId="71505E73" w14:textId="77777777" w:rsidR="00B01D46" w:rsidRDefault="0067013E">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WhatsApp group engagements</w:t>
            </w:r>
          </w:p>
        </w:tc>
        <w:tc>
          <w:tcPr>
            <w:tcW w:w="964" w:type="dxa"/>
            <w:tcBorders>
              <w:top w:val="single" w:sz="6" w:space="0" w:color="221F20"/>
              <w:left w:val="single" w:sz="6" w:space="0" w:color="221F20"/>
              <w:bottom w:val="single" w:sz="6" w:space="0" w:color="221F20"/>
              <w:right w:val="single" w:sz="6" w:space="0" w:color="221F20"/>
            </w:tcBorders>
          </w:tcPr>
          <w:p w14:paraId="334462BB"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4" w:type="dxa"/>
            <w:tcBorders>
              <w:top w:val="single" w:sz="6" w:space="0" w:color="221F20"/>
              <w:left w:val="single" w:sz="6" w:space="0" w:color="221F20"/>
              <w:bottom w:val="single" w:sz="6" w:space="0" w:color="221F20"/>
              <w:right w:val="single" w:sz="6" w:space="0" w:color="221F20"/>
            </w:tcBorders>
          </w:tcPr>
          <w:p w14:paraId="618C6AA3"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6" w:space="0" w:color="221F20"/>
              <w:left w:val="single" w:sz="6" w:space="0" w:color="221F20"/>
              <w:bottom w:val="single" w:sz="6" w:space="0" w:color="221F20"/>
              <w:right w:val="single" w:sz="6" w:space="0" w:color="221F20"/>
            </w:tcBorders>
          </w:tcPr>
          <w:p w14:paraId="62E3CCB9"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3" w:type="dxa"/>
            <w:tcBorders>
              <w:top w:val="single" w:sz="6" w:space="0" w:color="221F20"/>
              <w:left w:val="single" w:sz="6" w:space="0" w:color="221F20"/>
              <w:bottom w:val="single" w:sz="6" w:space="0" w:color="221F20"/>
              <w:right w:val="single" w:sz="6" w:space="0" w:color="221F20"/>
            </w:tcBorders>
          </w:tcPr>
          <w:p w14:paraId="5831C96B"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64" w:type="dxa"/>
            <w:tcBorders>
              <w:top w:val="single" w:sz="6" w:space="0" w:color="221F20"/>
              <w:left w:val="single" w:sz="6" w:space="0" w:color="221F20"/>
              <w:bottom w:val="single" w:sz="6" w:space="0" w:color="221F20"/>
              <w:right w:val="single" w:sz="6" w:space="0" w:color="221F20"/>
            </w:tcBorders>
          </w:tcPr>
          <w:p w14:paraId="09090383"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1BE6DCEC" w14:textId="77777777">
        <w:trPr>
          <w:trHeight w:val="263"/>
        </w:trPr>
        <w:tc>
          <w:tcPr>
            <w:tcW w:w="461" w:type="dxa"/>
            <w:tcBorders>
              <w:top w:val="single" w:sz="6" w:space="0" w:color="221F20"/>
              <w:left w:val="single" w:sz="6" w:space="0" w:color="221F20"/>
              <w:bottom w:val="single" w:sz="6" w:space="0" w:color="221F20"/>
              <w:right w:val="single" w:sz="6" w:space="0" w:color="221F20"/>
            </w:tcBorders>
          </w:tcPr>
          <w:p w14:paraId="3FB94E35" w14:textId="77777777" w:rsidR="00B01D46" w:rsidRDefault="00B01D46">
            <w:pPr>
              <w:pStyle w:val="ListParagraph"/>
              <w:spacing w:after="0" w:line="360" w:lineRule="auto"/>
              <w:ind w:left="360" w:firstLine="0"/>
              <w:rPr>
                <w:rFonts w:eastAsiaTheme="minorEastAsia"/>
                <w:szCs w:val="24"/>
              </w:rPr>
            </w:pPr>
          </w:p>
        </w:tc>
        <w:tc>
          <w:tcPr>
            <w:tcW w:w="3219" w:type="dxa"/>
            <w:tcBorders>
              <w:top w:val="single" w:sz="6" w:space="0" w:color="221F20"/>
              <w:left w:val="single" w:sz="6" w:space="0" w:color="221F20"/>
              <w:bottom w:val="single" w:sz="6" w:space="0" w:color="221F20"/>
              <w:right w:val="single" w:sz="6" w:space="0" w:color="221F20"/>
            </w:tcBorders>
            <w:vAlign w:val="bottom"/>
          </w:tcPr>
          <w:p w14:paraId="42FA2D62" w14:textId="77777777" w:rsidR="00B01D46" w:rsidRDefault="0067013E">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Peer training </w:t>
            </w:r>
          </w:p>
        </w:tc>
        <w:tc>
          <w:tcPr>
            <w:tcW w:w="964" w:type="dxa"/>
            <w:tcBorders>
              <w:top w:val="single" w:sz="6" w:space="0" w:color="221F20"/>
              <w:left w:val="single" w:sz="6" w:space="0" w:color="221F20"/>
              <w:bottom w:val="single" w:sz="6" w:space="0" w:color="221F20"/>
              <w:right w:val="single" w:sz="6" w:space="0" w:color="221F20"/>
            </w:tcBorders>
          </w:tcPr>
          <w:p w14:paraId="12ABD22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4" w:type="dxa"/>
            <w:tcBorders>
              <w:top w:val="single" w:sz="6" w:space="0" w:color="221F20"/>
              <w:left w:val="single" w:sz="6" w:space="0" w:color="221F20"/>
              <w:bottom w:val="single" w:sz="6" w:space="0" w:color="221F20"/>
              <w:right w:val="single" w:sz="6" w:space="0" w:color="221F20"/>
            </w:tcBorders>
          </w:tcPr>
          <w:p w14:paraId="64AB16C9"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6" w:space="0" w:color="221F20"/>
              <w:left w:val="single" w:sz="6" w:space="0" w:color="221F20"/>
              <w:bottom w:val="single" w:sz="6" w:space="0" w:color="221F20"/>
              <w:right w:val="single" w:sz="6" w:space="0" w:color="221F20"/>
            </w:tcBorders>
          </w:tcPr>
          <w:p w14:paraId="12960253"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3" w:type="dxa"/>
            <w:tcBorders>
              <w:top w:val="single" w:sz="6" w:space="0" w:color="221F20"/>
              <w:left w:val="single" w:sz="6" w:space="0" w:color="221F20"/>
              <w:bottom w:val="single" w:sz="6" w:space="0" w:color="221F20"/>
              <w:right w:val="single" w:sz="6" w:space="0" w:color="221F20"/>
            </w:tcBorders>
          </w:tcPr>
          <w:p w14:paraId="1FE3F3C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64" w:type="dxa"/>
            <w:tcBorders>
              <w:top w:val="single" w:sz="6" w:space="0" w:color="221F20"/>
              <w:left w:val="single" w:sz="6" w:space="0" w:color="221F20"/>
              <w:bottom w:val="single" w:sz="6" w:space="0" w:color="221F20"/>
              <w:right w:val="single" w:sz="6" w:space="0" w:color="221F20"/>
            </w:tcBorders>
          </w:tcPr>
          <w:p w14:paraId="070D14E2"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315234F9" w14:textId="77777777">
        <w:trPr>
          <w:trHeight w:val="263"/>
        </w:trPr>
        <w:tc>
          <w:tcPr>
            <w:tcW w:w="461" w:type="dxa"/>
            <w:tcBorders>
              <w:top w:val="single" w:sz="6" w:space="0" w:color="221F20"/>
              <w:left w:val="single" w:sz="6" w:space="0" w:color="221F20"/>
              <w:bottom w:val="single" w:sz="6" w:space="0" w:color="221F20"/>
              <w:right w:val="single" w:sz="6" w:space="0" w:color="221F20"/>
            </w:tcBorders>
          </w:tcPr>
          <w:p w14:paraId="02B613C5" w14:textId="77777777" w:rsidR="00B01D46" w:rsidRDefault="00B01D46">
            <w:pPr>
              <w:pStyle w:val="ListParagraph"/>
              <w:spacing w:after="0" w:line="360" w:lineRule="auto"/>
              <w:ind w:left="360" w:firstLine="0"/>
              <w:rPr>
                <w:rFonts w:eastAsiaTheme="minorEastAsia"/>
                <w:szCs w:val="24"/>
              </w:rPr>
            </w:pPr>
          </w:p>
        </w:tc>
        <w:tc>
          <w:tcPr>
            <w:tcW w:w="3219" w:type="dxa"/>
            <w:tcBorders>
              <w:top w:val="single" w:sz="6" w:space="0" w:color="221F20"/>
              <w:left w:val="single" w:sz="6" w:space="0" w:color="221F20"/>
              <w:bottom w:val="single" w:sz="6" w:space="0" w:color="221F20"/>
              <w:right w:val="single" w:sz="6" w:space="0" w:color="221F20"/>
            </w:tcBorders>
            <w:vAlign w:val="bottom"/>
          </w:tcPr>
          <w:p w14:paraId="1E210B5D" w14:textId="77777777" w:rsidR="00B01D46" w:rsidRDefault="0067013E">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Pre-recorded audio-video clips</w:t>
            </w:r>
          </w:p>
        </w:tc>
        <w:tc>
          <w:tcPr>
            <w:tcW w:w="964" w:type="dxa"/>
            <w:tcBorders>
              <w:top w:val="single" w:sz="6" w:space="0" w:color="221F20"/>
              <w:left w:val="single" w:sz="6" w:space="0" w:color="221F20"/>
              <w:bottom w:val="single" w:sz="6" w:space="0" w:color="221F20"/>
              <w:right w:val="single" w:sz="6" w:space="0" w:color="221F20"/>
            </w:tcBorders>
          </w:tcPr>
          <w:p w14:paraId="74BDBB5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4" w:type="dxa"/>
            <w:tcBorders>
              <w:top w:val="single" w:sz="6" w:space="0" w:color="221F20"/>
              <w:left w:val="single" w:sz="6" w:space="0" w:color="221F20"/>
              <w:bottom w:val="single" w:sz="6" w:space="0" w:color="221F20"/>
              <w:right w:val="single" w:sz="6" w:space="0" w:color="221F20"/>
            </w:tcBorders>
          </w:tcPr>
          <w:p w14:paraId="2DC9C1B1"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6" w:space="0" w:color="221F20"/>
              <w:left w:val="single" w:sz="6" w:space="0" w:color="221F20"/>
              <w:bottom w:val="single" w:sz="6" w:space="0" w:color="221F20"/>
              <w:right w:val="single" w:sz="6" w:space="0" w:color="221F20"/>
            </w:tcBorders>
          </w:tcPr>
          <w:p w14:paraId="30187426"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3" w:type="dxa"/>
            <w:tcBorders>
              <w:top w:val="single" w:sz="6" w:space="0" w:color="221F20"/>
              <w:left w:val="single" w:sz="6" w:space="0" w:color="221F20"/>
              <w:bottom w:val="single" w:sz="6" w:space="0" w:color="221F20"/>
              <w:right w:val="single" w:sz="6" w:space="0" w:color="221F20"/>
            </w:tcBorders>
          </w:tcPr>
          <w:p w14:paraId="352CAF45"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64" w:type="dxa"/>
            <w:tcBorders>
              <w:top w:val="single" w:sz="6" w:space="0" w:color="221F20"/>
              <w:left w:val="single" w:sz="6" w:space="0" w:color="221F20"/>
              <w:bottom w:val="single" w:sz="6" w:space="0" w:color="221F20"/>
              <w:right w:val="single" w:sz="6" w:space="0" w:color="221F20"/>
            </w:tcBorders>
          </w:tcPr>
          <w:p w14:paraId="0E4CBF43"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bookmarkEnd w:id="2512"/>
    </w:tbl>
    <w:p w14:paraId="39C700CF" w14:textId="77777777" w:rsidR="00B01D46" w:rsidRDefault="00B01D46">
      <w:pPr>
        <w:spacing w:after="131" w:line="360" w:lineRule="auto"/>
        <w:ind w:left="682"/>
        <w:rPr>
          <w:rFonts w:ascii="Times New Roman" w:hAnsi="Times New Roman" w:cs="Times New Roman"/>
          <w:sz w:val="24"/>
          <w:szCs w:val="24"/>
        </w:rPr>
      </w:pPr>
    </w:p>
    <w:p w14:paraId="2276E290" w14:textId="77777777" w:rsidR="00B01D46" w:rsidRDefault="0067013E">
      <w:pPr>
        <w:pStyle w:val="ListParagraph"/>
        <w:numPr>
          <w:ilvl w:val="0"/>
          <w:numId w:val="19"/>
        </w:numPr>
        <w:spacing w:after="106" w:line="276" w:lineRule="auto"/>
        <w:ind w:right="-15"/>
        <w:rPr>
          <w:szCs w:val="24"/>
        </w:rPr>
      </w:pPr>
      <w:r>
        <w:rPr>
          <w:szCs w:val="24"/>
        </w:rPr>
        <w:t>Who teaches you ILS?</w:t>
      </w:r>
    </w:p>
    <w:p w14:paraId="45DE6E3A" w14:textId="77777777" w:rsidR="00B01D46" w:rsidRDefault="0067013E">
      <w:pPr>
        <w:pStyle w:val="ListParagraph"/>
        <w:autoSpaceDE w:val="0"/>
        <w:autoSpaceDN w:val="0"/>
        <w:adjustRightInd w:val="0"/>
        <w:spacing w:after="167" w:line="240" w:lineRule="auto"/>
        <w:ind w:left="677" w:firstLine="0"/>
        <w:jc w:val="left"/>
        <w:rPr>
          <w:szCs w:val="24"/>
        </w:rPr>
      </w:pPr>
      <w:r>
        <w:rPr>
          <w:szCs w:val="24"/>
        </w:rPr>
        <w:t>………………………………………………………………………………………………………………………………………………………………………………………………………………………………………………………</w:t>
      </w:r>
    </w:p>
    <w:p w14:paraId="01377E97" w14:textId="77777777" w:rsidR="00B01D46" w:rsidRDefault="00B01D46">
      <w:pPr>
        <w:pStyle w:val="ListParagraph"/>
        <w:autoSpaceDE w:val="0"/>
        <w:autoSpaceDN w:val="0"/>
        <w:adjustRightInd w:val="0"/>
        <w:spacing w:after="167" w:line="240" w:lineRule="auto"/>
        <w:ind w:left="677" w:firstLine="0"/>
        <w:jc w:val="left"/>
        <w:rPr>
          <w:szCs w:val="24"/>
        </w:rPr>
      </w:pPr>
    </w:p>
    <w:p w14:paraId="49002053" w14:textId="77777777" w:rsidR="00B01D46" w:rsidRDefault="0067013E">
      <w:pPr>
        <w:numPr>
          <w:ilvl w:val="0"/>
          <w:numId w:val="19"/>
        </w:numPr>
        <w:spacing w:after="131" w:line="241" w:lineRule="auto"/>
        <w:jc w:val="both"/>
        <w:rPr>
          <w:rFonts w:ascii="Times New Roman" w:hAnsi="Times New Roman" w:cs="Times New Roman"/>
          <w:sz w:val="24"/>
          <w:szCs w:val="24"/>
        </w:rPr>
      </w:pPr>
      <w:r>
        <w:rPr>
          <w:rFonts w:ascii="Times New Roman" w:hAnsi="Times New Roman" w:cs="Times New Roman"/>
          <w:sz w:val="24"/>
          <w:szCs w:val="24"/>
        </w:rPr>
        <w:t>What assessment techniques do instructors use to measure ILS programmes effectiveness?</w:t>
      </w:r>
    </w:p>
    <w:p w14:paraId="24E4F635" w14:textId="77777777" w:rsidR="00B01D46" w:rsidRDefault="00B01D46">
      <w:pPr>
        <w:pStyle w:val="ListParagraph"/>
        <w:autoSpaceDE w:val="0"/>
        <w:autoSpaceDN w:val="0"/>
        <w:adjustRightInd w:val="0"/>
        <w:spacing w:after="167" w:line="240" w:lineRule="auto"/>
        <w:ind w:left="677" w:firstLine="0"/>
        <w:jc w:val="left"/>
        <w:rPr>
          <w:szCs w:val="24"/>
        </w:rPr>
      </w:pPr>
    </w:p>
    <w:p w14:paraId="7EC61D53" w14:textId="77777777" w:rsidR="00B01D46" w:rsidRDefault="0067013E">
      <w:pPr>
        <w:pStyle w:val="NormalWeb"/>
        <w:shd w:val="clear" w:color="auto" w:fill="FFFFFF"/>
        <w:tabs>
          <w:tab w:val="left" w:pos="360"/>
        </w:tabs>
        <w:autoSpaceDE w:val="0"/>
        <w:autoSpaceDN w:val="0"/>
        <w:adjustRightInd w:val="0"/>
        <w:spacing w:before="120" w:after="0" w:line="360" w:lineRule="auto"/>
        <w:jc w:val="both"/>
        <w:rPr>
          <w:b/>
        </w:rPr>
      </w:pPr>
      <w:r>
        <w:rPr>
          <w:rFonts w:eastAsia="Calibri"/>
          <w:b/>
        </w:rPr>
        <w:lastRenderedPageBreak/>
        <w:t>E. ILS understanding among f undergraduate medical students</w:t>
      </w:r>
      <w:r>
        <w:rPr>
          <w:b/>
        </w:rPr>
        <w:t xml:space="preserve"> </w:t>
      </w:r>
    </w:p>
    <w:p w14:paraId="116003B3" w14:textId="77777777" w:rsidR="00B01D46" w:rsidRDefault="0067013E">
      <w:pPr>
        <w:pStyle w:val="ListParagraph"/>
        <w:numPr>
          <w:ilvl w:val="0"/>
          <w:numId w:val="20"/>
        </w:numPr>
        <w:spacing w:after="2" w:line="239" w:lineRule="auto"/>
        <w:ind w:right="-15"/>
        <w:rPr>
          <w:szCs w:val="24"/>
        </w:rPr>
      </w:pPr>
      <w:r>
        <w:rPr>
          <w:szCs w:val="24"/>
        </w:rPr>
        <w:t>How do you view ILS</w:t>
      </w:r>
    </w:p>
    <w:p w14:paraId="2B7A97F6" w14:textId="77777777" w:rsidR="00B01D46" w:rsidRDefault="0067013E">
      <w:pPr>
        <w:pStyle w:val="ListParagraph"/>
        <w:spacing w:after="2" w:line="239" w:lineRule="auto"/>
        <w:ind w:right="-15" w:firstLine="0"/>
        <w:rPr>
          <w:szCs w:val="24"/>
        </w:rPr>
      </w:pPr>
      <w:r>
        <w:rPr>
          <w:szCs w:val="24"/>
        </w:rPr>
        <w:t>………………………………………………………………………………………………………………………………………………………………………………………………………………………………………………………………………</w:t>
      </w:r>
    </w:p>
    <w:p w14:paraId="1924791C" w14:textId="77777777" w:rsidR="00B01D46" w:rsidRDefault="0067013E">
      <w:pPr>
        <w:pStyle w:val="ListParagraph"/>
        <w:numPr>
          <w:ilvl w:val="0"/>
          <w:numId w:val="20"/>
        </w:numPr>
        <w:spacing w:after="2" w:line="239" w:lineRule="auto"/>
        <w:ind w:right="-15"/>
        <w:rPr>
          <w:i/>
          <w:szCs w:val="24"/>
        </w:rPr>
      </w:pPr>
      <w:r>
        <w:rPr>
          <w:szCs w:val="24"/>
        </w:rPr>
        <w:t>What is your explanation for your views stated above</w:t>
      </w:r>
    </w:p>
    <w:p w14:paraId="2746D840" w14:textId="77777777" w:rsidR="00B01D46" w:rsidRDefault="0067013E">
      <w:pPr>
        <w:pStyle w:val="ListParagraph"/>
        <w:spacing w:after="2" w:line="239" w:lineRule="auto"/>
        <w:ind w:right="-15" w:firstLine="0"/>
        <w:rPr>
          <w:i/>
          <w:szCs w:val="24"/>
        </w:rPr>
      </w:pPr>
      <w:r>
        <w:rPr>
          <w:szCs w:val="24"/>
        </w:rPr>
        <w:t>……………………………………………………………………………………………………………………………………………………………………………………………………………………………………………………………………..</w:t>
      </w:r>
    </w:p>
    <w:p w14:paraId="63E2E81D" w14:textId="77777777" w:rsidR="00B01D46" w:rsidRDefault="00B01D46">
      <w:pPr>
        <w:pStyle w:val="ListParagraph"/>
        <w:spacing w:after="2" w:line="239" w:lineRule="auto"/>
        <w:ind w:right="-15" w:firstLine="0"/>
        <w:rPr>
          <w:i/>
          <w:szCs w:val="24"/>
        </w:rPr>
      </w:pPr>
    </w:p>
    <w:p w14:paraId="12EF8AB6" w14:textId="77777777" w:rsidR="00B01D46" w:rsidRDefault="0067013E">
      <w:pPr>
        <w:pStyle w:val="ListParagraph"/>
        <w:numPr>
          <w:ilvl w:val="0"/>
          <w:numId w:val="20"/>
        </w:numPr>
        <w:spacing w:after="2" w:line="239" w:lineRule="auto"/>
        <w:ind w:right="-15"/>
        <w:rPr>
          <w:i/>
          <w:szCs w:val="24"/>
        </w:rPr>
      </w:pPr>
      <w:r>
        <w:rPr>
          <w:rFonts w:eastAsia="Calibri"/>
          <w:szCs w:val="24"/>
        </w:rPr>
        <w:t xml:space="preserve"> Describe your library experience after ILS learning. </w:t>
      </w:r>
      <w:r>
        <w:rPr>
          <w:b/>
          <w:szCs w:val="24"/>
        </w:rPr>
        <w:t>(</w:t>
      </w:r>
      <w:r>
        <w:rPr>
          <w:i/>
          <w:szCs w:val="24"/>
        </w:rPr>
        <w:t xml:space="preserve">Please </w:t>
      </w:r>
      <w:r>
        <w:rPr>
          <w:b/>
          <w:i/>
          <w:szCs w:val="24"/>
        </w:rPr>
        <w:t>CIRCLE</w:t>
      </w:r>
      <w:r>
        <w:rPr>
          <w:i/>
          <w:szCs w:val="24"/>
        </w:rPr>
        <w:t xml:space="preserve"> the number beside each statement that </w:t>
      </w:r>
      <w:r>
        <w:rPr>
          <w:b/>
          <w:i/>
          <w:szCs w:val="24"/>
        </w:rPr>
        <w:t>most accurately</w:t>
      </w:r>
      <w:r>
        <w:rPr>
          <w:i/>
          <w:szCs w:val="24"/>
        </w:rPr>
        <w:t xml:space="preserve"> reflects the extent to which you agree or disagree- meaning:  1 is </w:t>
      </w:r>
      <w:r>
        <w:rPr>
          <w:b/>
          <w:i/>
          <w:szCs w:val="24"/>
          <w:u w:val="single" w:color="000000"/>
        </w:rPr>
        <w:t>strongly DISAGREE</w:t>
      </w:r>
      <w:r>
        <w:rPr>
          <w:i/>
          <w:szCs w:val="24"/>
        </w:rPr>
        <w:t xml:space="preserve"> and 5 means you </w:t>
      </w:r>
      <w:r>
        <w:rPr>
          <w:b/>
          <w:i/>
          <w:szCs w:val="24"/>
          <w:u w:val="single" w:color="000000"/>
        </w:rPr>
        <w:t>Strongly AGREE</w:t>
      </w:r>
      <w:r>
        <w:rPr>
          <w:i/>
          <w:szCs w:val="24"/>
        </w:rPr>
        <w:t xml:space="preserve"> with the statement)</w:t>
      </w:r>
    </w:p>
    <w:p w14:paraId="0AA92A5B" w14:textId="77777777" w:rsidR="00B01D46" w:rsidRDefault="00B01D46">
      <w:pPr>
        <w:spacing w:after="106" w:line="276" w:lineRule="auto"/>
        <w:ind w:right="-15"/>
        <w:rPr>
          <w:rFonts w:ascii="Times New Roman" w:hAnsi="Times New Roman" w:cs="Times New Roman"/>
          <w:sz w:val="24"/>
          <w:szCs w:val="24"/>
        </w:rPr>
      </w:pPr>
    </w:p>
    <w:tbl>
      <w:tblPr>
        <w:tblStyle w:val="TableGrid0"/>
        <w:tblW w:w="8166" w:type="dxa"/>
        <w:tblInd w:w="85" w:type="dxa"/>
        <w:tblCellMar>
          <w:left w:w="96" w:type="dxa"/>
          <w:right w:w="54" w:type="dxa"/>
        </w:tblCellMar>
        <w:tblLook w:val="04A0" w:firstRow="1" w:lastRow="0" w:firstColumn="1" w:lastColumn="0" w:noHBand="0" w:noVBand="1"/>
      </w:tblPr>
      <w:tblGrid>
        <w:gridCol w:w="533"/>
        <w:gridCol w:w="3054"/>
        <w:gridCol w:w="977"/>
        <w:gridCol w:w="1008"/>
        <w:gridCol w:w="870"/>
        <w:gridCol w:w="742"/>
        <w:gridCol w:w="982"/>
      </w:tblGrid>
      <w:tr w:rsidR="00B01D46" w14:paraId="536C1459" w14:textId="77777777">
        <w:trPr>
          <w:trHeight w:val="519"/>
        </w:trPr>
        <w:tc>
          <w:tcPr>
            <w:tcW w:w="578" w:type="dxa"/>
            <w:tcBorders>
              <w:top w:val="single" w:sz="4" w:space="0" w:color="000000"/>
              <w:left w:val="single" w:sz="4" w:space="0" w:color="000000"/>
              <w:bottom w:val="single" w:sz="4" w:space="0" w:color="000000"/>
              <w:right w:val="single" w:sz="4" w:space="0" w:color="000000"/>
            </w:tcBorders>
          </w:tcPr>
          <w:p w14:paraId="16CAAE6B" w14:textId="77777777" w:rsidR="00B01D46" w:rsidRDefault="00B01D46">
            <w:pPr>
              <w:spacing w:line="276" w:lineRule="auto"/>
              <w:ind w:left="10"/>
              <w:rPr>
                <w:rFonts w:ascii="Times New Roman" w:hAnsi="Times New Roman" w:cs="Times New Roman"/>
                <w:sz w:val="24"/>
                <w:szCs w:val="24"/>
              </w:rPr>
            </w:pPr>
          </w:p>
        </w:tc>
        <w:tc>
          <w:tcPr>
            <w:tcW w:w="3365" w:type="dxa"/>
            <w:tcBorders>
              <w:top w:val="single" w:sz="4" w:space="0" w:color="000000"/>
              <w:left w:val="single" w:sz="4" w:space="0" w:color="000000"/>
              <w:bottom w:val="single" w:sz="4" w:space="0" w:color="000000"/>
              <w:right w:val="single" w:sz="4" w:space="0" w:color="000000"/>
            </w:tcBorders>
          </w:tcPr>
          <w:p w14:paraId="7891EBAD" w14:textId="77777777" w:rsidR="00B01D46" w:rsidRDefault="00B01D46">
            <w:pPr>
              <w:ind w:left="5"/>
              <w:rPr>
                <w:rFonts w:ascii="Times New Roman" w:hAnsi="Times New Roman" w:cs="Times New Roman"/>
                <w:sz w:val="24"/>
                <w:szCs w:val="24"/>
              </w:rPr>
            </w:pPr>
          </w:p>
          <w:p w14:paraId="110B3D84" w14:textId="77777777" w:rsidR="00B01D46" w:rsidRDefault="0067013E">
            <w:pPr>
              <w:spacing w:line="276" w:lineRule="auto"/>
              <w:ind w:left="5"/>
              <w:rPr>
                <w:rFonts w:ascii="Times New Roman" w:hAnsi="Times New Roman" w:cs="Times New Roman"/>
                <w:b/>
                <w:bCs/>
                <w:sz w:val="24"/>
                <w:szCs w:val="24"/>
              </w:rPr>
            </w:pPr>
            <w:r>
              <w:rPr>
                <w:rFonts w:ascii="Times New Roman" w:hAnsi="Times New Roman" w:cs="Times New Roman"/>
                <w:b/>
                <w:bCs/>
                <w:sz w:val="24"/>
                <w:szCs w:val="24"/>
              </w:rPr>
              <w:t xml:space="preserve">Type of library experience </w:t>
            </w:r>
          </w:p>
        </w:tc>
        <w:tc>
          <w:tcPr>
            <w:tcW w:w="907" w:type="dxa"/>
            <w:tcBorders>
              <w:top w:val="single" w:sz="4" w:space="0" w:color="000000"/>
              <w:left w:val="single" w:sz="4" w:space="0" w:color="000000"/>
              <w:bottom w:val="single" w:sz="4" w:space="0" w:color="000000"/>
              <w:right w:val="single" w:sz="4" w:space="0" w:color="000000"/>
            </w:tcBorders>
          </w:tcPr>
          <w:p w14:paraId="7743B98E"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sz w:val="24"/>
                <w:szCs w:val="24"/>
              </w:rPr>
              <w:t xml:space="preserve">Strongly disagree </w:t>
            </w:r>
          </w:p>
        </w:tc>
        <w:tc>
          <w:tcPr>
            <w:tcW w:w="911" w:type="dxa"/>
            <w:tcBorders>
              <w:top w:val="single" w:sz="4" w:space="0" w:color="000000"/>
              <w:left w:val="single" w:sz="4" w:space="0" w:color="000000"/>
              <w:bottom w:val="single" w:sz="4" w:space="0" w:color="000000"/>
              <w:right w:val="single" w:sz="4" w:space="0" w:color="000000"/>
            </w:tcBorders>
          </w:tcPr>
          <w:p w14:paraId="7C327D29"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Disagree </w:t>
            </w:r>
          </w:p>
        </w:tc>
        <w:tc>
          <w:tcPr>
            <w:tcW w:w="829" w:type="dxa"/>
            <w:tcBorders>
              <w:top w:val="single" w:sz="4" w:space="0" w:color="000000"/>
              <w:left w:val="single" w:sz="4" w:space="0" w:color="000000"/>
              <w:bottom w:val="single" w:sz="4" w:space="0" w:color="000000"/>
              <w:right w:val="single" w:sz="4" w:space="0" w:color="000000"/>
            </w:tcBorders>
          </w:tcPr>
          <w:p w14:paraId="37F88269"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sz w:val="24"/>
                <w:szCs w:val="24"/>
              </w:rPr>
              <w:t xml:space="preserve">Neutral </w:t>
            </w:r>
          </w:p>
        </w:tc>
        <w:tc>
          <w:tcPr>
            <w:tcW w:w="683" w:type="dxa"/>
            <w:tcBorders>
              <w:top w:val="single" w:sz="4" w:space="0" w:color="000000"/>
              <w:left w:val="single" w:sz="4" w:space="0" w:color="000000"/>
              <w:bottom w:val="single" w:sz="4" w:space="0" w:color="000000"/>
              <w:right w:val="single" w:sz="4" w:space="0" w:color="000000"/>
            </w:tcBorders>
          </w:tcPr>
          <w:p w14:paraId="53AFBB01"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Agree </w:t>
            </w:r>
          </w:p>
        </w:tc>
        <w:tc>
          <w:tcPr>
            <w:tcW w:w="893" w:type="dxa"/>
            <w:tcBorders>
              <w:top w:val="single" w:sz="4" w:space="0" w:color="000000"/>
              <w:left w:val="single" w:sz="4" w:space="0" w:color="000000"/>
              <w:bottom w:val="single" w:sz="4" w:space="0" w:color="000000"/>
              <w:right w:val="single" w:sz="4" w:space="0" w:color="000000"/>
            </w:tcBorders>
          </w:tcPr>
          <w:p w14:paraId="17A5EC6F"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Strongly agree </w:t>
            </w:r>
          </w:p>
        </w:tc>
      </w:tr>
      <w:tr w:rsidR="00B01D46" w14:paraId="0A4F2047" w14:textId="77777777">
        <w:trPr>
          <w:trHeight w:val="519"/>
        </w:trPr>
        <w:tc>
          <w:tcPr>
            <w:tcW w:w="578" w:type="dxa"/>
            <w:tcBorders>
              <w:top w:val="single" w:sz="4" w:space="0" w:color="000000"/>
              <w:left w:val="single" w:sz="4" w:space="0" w:color="000000"/>
              <w:bottom w:val="single" w:sz="4" w:space="0" w:color="000000"/>
              <w:right w:val="single" w:sz="4" w:space="0" w:color="000000"/>
            </w:tcBorders>
          </w:tcPr>
          <w:p w14:paraId="745572BF" w14:textId="77777777" w:rsidR="00B01D46" w:rsidRDefault="0067013E">
            <w:pPr>
              <w:spacing w:line="276" w:lineRule="auto"/>
              <w:ind w:left="10"/>
              <w:rPr>
                <w:rFonts w:ascii="Times New Roman" w:hAnsi="Times New Roman" w:cs="Times New Roman"/>
                <w:sz w:val="24"/>
                <w:szCs w:val="24"/>
              </w:rPr>
            </w:pPr>
            <w:r>
              <w:rPr>
                <w:rFonts w:ascii="Times New Roman" w:hAnsi="Times New Roman" w:cs="Times New Roman"/>
                <w:sz w:val="24"/>
                <w:szCs w:val="24"/>
              </w:rPr>
              <w:t xml:space="preserve">1 </w:t>
            </w:r>
          </w:p>
        </w:tc>
        <w:tc>
          <w:tcPr>
            <w:tcW w:w="3365" w:type="dxa"/>
            <w:tcBorders>
              <w:top w:val="single" w:sz="4" w:space="0" w:color="000000"/>
              <w:left w:val="single" w:sz="4" w:space="0" w:color="000000"/>
              <w:bottom w:val="single" w:sz="4" w:space="0" w:color="000000"/>
              <w:right w:val="single" w:sz="4" w:space="0" w:color="000000"/>
            </w:tcBorders>
          </w:tcPr>
          <w:p w14:paraId="0D1FF01E"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I use the library resources for my term papers and general information needs </w:t>
            </w:r>
          </w:p>
        </w:tc>
        <w:tc>
          <w:tcPr>
            <w:tcW w:w="907" w:type="dxa"/>
            <w:tcBorders>
              <w:top w:val="single" w:sz="4" w:space="0" w:color="000000"/>
              <w:left w:val="single" w:sz="4" w:space="0" w:color="000000"/>
              <w:bottom w:val="single" w:sz="4" w:space="0" w:color="000000"/>
              <w:right w:val="single" w:sz="4" w:space="0" w:color="000000"/>
            </w:tcBorders>
          </w:tcPr>
          <w:p w14:paraId="1D4B6393"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11" w:type="dxa"/>
            <w:tcBorders>
              <w:top w:val="single" w:sz="4" w:space="0" w:color="000000"/>
              <w:left w:val="single" w:sz="4" w:space="0" w:color="000000"/>
              <w:bottom w:val="single" w:sz="4" w:space="0" w:color="000000"/>
              <w:right w:val="single" w:sz="4" w:space="0" w:color="000000"/>
            </w:tcBorders>
          </w:tcPr>
          <w:p w14:paraId="7037CC7A"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29" w:type="dxa"/>
            <w:tcBorders>
              <w:top w:val="single" w:sz="4" w:space="0" w:color="000000"/>
              <w:left w:val="single" w:sz="4" w:space="0" w:color="000000"/>
              <w:bottom w:val="single" w:sz="4" w:space="0" w:color="000000"/>
              <w:right w:val="single" w:sz="4" w:space="0" w:color="000000"/>
            </w:tcBorders>
          </w:tcPr>
          <w:p w14:paraId="27AC4880"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83" w:type="dxa"/>
            <w:tcBorders>
              <w:top w:val="single" w:sz="4" w:space="0" w:color="000000"/>
              <w:left w:val="single" w:sz="4" w:space="0" w:color="000000"/>
              <w:bottom w:val="single" w:sz="4" w:space="0" w:color="000000"/>
              <w:right w:val="single" w:sz="4" w:space="0" w:color="000000"/>
            </w:tcBorders>
          </w:tcPr>
          <w:p w14:paraId="17662ACC"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893" w:type="dxa"/>
            <w:tcBorders>
              <w:top w:val="single" w:sz="4" w:space="0" w:color="000000"/>
              <w:left w:val="single" w:sz="4" w:space="0" w:color="000000"/>
              <w:bottom w:val="single" w:sz="4" w:space="0" w:color="000000"/>
              <w:right w:val="single" w:sz="4" w:space="0" w:color="000000"/>
            </w:tcBorders>
          </w:tcPr>
          <w:p w14:paraId="458494D9"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r w:rsidR="00B01D46" w14:paraId="053FF912" w14:textId="77777777">
        <w:trPr>
          <w:trHeight w:val="519"/>
        </w:trPr>
        <w:tc>
          <w:tcPr>
            <w:tcW w:w="578" w:type="dxa"/>
            <w:tcBorders>
              <w:top w:val="single" w:sz="4" w:space="0" w:color="000000"/>
              <w:left w:val="single" w:sz="4" w:space="0" w:color="000000"/>
              <w:bottom w:val="single" w:sz="4" w:space="0" w:color="000000"/>
              <w:right w:val="single" w:sz="4" w:space="0" w:color="000000"/>
            </w:tcBorders>
          </w:tcPr>
          <w:p w14:paraId="1895F64C" w14:textId="77777777" w:rsidR="00B01D46" w:rsidRDefault="0067013E">
            <w:pPr>
              <w:spacing w:line="276" w:lineRule="auto"/>
              <w:ind w:left="10"/>
              <w:rPr>
                <w:rFonts w:ascii="Times New Roman" w:hAnsi="Times New Roman" w:cs="Times New Roman"/>
                <w:sz w:val="24"/>
                <w:szCs w:val="24"/>
              </w:rPr>
            </w:pPr>
            <w:r>
              <w:rPr>
                <w:rFonts w:ascii="Times New Roman" w:hAnsi="Times New Roman" w:cs="Times New Roman"/>
                <w:sz w:val="24"/>
                <w:szCs w:val="24"/>
              </w:rPr>
              <w:t xml:space="preserve">2 </w:t>
            </w:r>
          </w:p>
        </w:tc>
        <w:tc>
          <w:tcPr>
            <w:tcW w:w="3365" w:type="dxa"/>
            <w:tcBorders>
              <w:top w:val="single" w:sz="4" w:space="0" w:color="000000"/>
              <w:left w:val="single" w:sz="4" w:space="0" w:color="000000"/>
              <w:bottom w:val="single" w:sz="4" w:space="0" w:color="000000"/>
              <w:right w:val="single" w:sz="4" w:space="0" w:color="000000"/>
            </w:tcBorders>
          </w:tcPr>
          <w:p w14:paraId="4C16856B"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I know how to get specific titles easily using online library catalogues </w:t>
            </w:r>
          </w:p>
        </w:tc>
        <w:tc>
          <w:tcPr>
            <w:tcW w:w="907" w:type="dxa"/>
            <w:tcBorders>
              <w:top w:val="single" w:sz="4" w:space="0" w:color="000000"/>
              <w:left w:val="single" w:sz="4" w:space="0" w:color="000000"/>
              <w:bottom w:val="single" w:sz="4" w:space="0" w:color="000000"/>
              <w:right w:val="single" w:sz="4" w:space="0" w:color="000000"/>
            </w:tcBorders>
          </w:tcPr>
          <w:p w14:paraId="17094279"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11" w:type="dxa"/>
            <w:tcBorders>
              <w:top w:val="single" w:sz="4" w:space="0" w:color="000000"/>
              <w:left w:val="single" w:sz="4" w:space="0" w:color="000000"/>
              <w:bottom w:val="single" w:sz="4" w:space="0" w:color="000000"/>
              <w:right w:val="single" w:sz="4" w:space="0" w:color="000000"/>
            </w:tcBorders>
          </w:tcPr>
          <w:p w14:paraId="5947E550"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29" w:type="dxa"/>
            <w:tcBorders>
              <w:top w:val="single" w:sz="4" w:space="0" w:color="000000"/>
              <w:left w:val="single" w:sz="4" w:space="0" w:color="000000"/>
              <w:bottom w:val="single" w:sz="4" w:space="0" w:color="000000"/>
              <w:right w:val="single" w:sz="4" w:space="0" w:color="000000"/>
            </w:tcBorders>
          </w:tcPr>
          <w:p w14:paraId="3635013C"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83" w:type="dxa"/>
            <w:tcBorders>
              <w:top w:val="single" w:sz="4" w:space="0" w:color="000000"/>
              <w:left w:val="single" w:sz="4" w:space="0" w:color="000000"/>
              <w:bottom w:val="single" w:sz="4" w:space="0" w:color="000000"/>
              <w:right w:val="single" w:sz="4" w:space="0" w:color="000000"/>
            </w:tcBorders>
          </w:tcPr>
          <w:p w14:paraId="2A7D261A"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893" w:type="dxa"/>
            <w:tcBorders>
              <w:top w:val="single" w:sz="4" w:space="0" w:color="000000"/>
              <w:left w:val="single" w:sz="4" w:space="0" w:color="000000"/>
              <w:bottom w:val="single" w:sz="4" w:space="0" w:color="000000"/>
              <w:right w:val="single" w:sz="4" w:space="0" w:color="000000"/>
            </w:tcBorders>
          </w:tcPr>
          <w:p w14:paraId="1E2B7BFA"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r w:rsidR="00B01D46" w14:paraId="2D4E0E30" w14:textId="77777777">
        <w:trPr>
          <w:trHeight w:val="519"/>
        </w:trPr>
        <w:tc>
          <w:tcPr>
            <w:tcW w:w="578" w:type="dxa"/>
            <w:tcBorders>
              <w:top w:val="single" w:sz="4" w:space="0" w:color="000000"/>
              <w:left w:val="single" w:sz="4" w:space="0" w:color="000000"/>
              <w:bottom w:val="single" w:sz="4" w:space="0" w:color="000000"/>
              <w:right w:val="single" w:sz="4" w:space="0" w:color="000000"/>
            </w:tcBorders>
          </w:tcPr>
          <w:p w14:paraId="0242D373" w14:textId="77777777" w:rsidR="00B01D46" w:rsidRDefault="0067013E">
            <w:pPr>
              <w:spacing w:line="276" w:lineRule="auto"/>
              <w:ind w:left="10"/>
              <w:rPr>
                <w:rFonts w:ascii="Times New Roman" w:hAnsi="Times New Roman" w:cs="Times New Roman"/>
                <w:sz w:val="24"/>
                <w:szCs w:val="24"/>
              </w:rPr>
            </w:pPr>
            <w:r>
              <w:rPr>
                <w:rFonts w:ascii="Times New Roman" w:hAnsi="Times New Roman" w:cs="Times New Roman"/>
                <w:sz w:val="24"/>
                <w:szCs w:val="24"/>
              </w:rPr>
              <w:t xml:space="preserve">3 </w:t>
            </w:r>
          </w:p>
        </w:tc>
        <w:tc>
          <w:tcPr>
            <w:tcW w:w="3365" w:type="dxa"/>
            <w:tcBorders>
              <w:top w:val="single" w:sz="4" w:space="0" w:color="000000"/>
              <w:left w:val="single" w:sz="4" w:space="0" w:color="000000"/>
              <w:bottom w:val="single" w:sz="4" w:space="0" w:color="000000"/>
              <w:right w:val="single" w:sz="4" w:space="0" w:color="000000"/>
            </w:tcBorders>
          </w:tcPr>
          <w:p w14:paraId="58B6A730"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I can find and use various library resources like books, journals, videos </w:t>
            </w:r>
          </w:p>
        </w:tc>
        <w:tc>
          <w:tcPr>
            <w:tcW w:w="907" w:type="dxa"/>
            <w:tcBorders>
              <w:top w:val="single" w:sz="4" w:space="0" w:color="000000"/>
              <w:left w:val="single" w:sz="4" w:space="0" w:color="000000"/>
              <w:bottom w:val="single" w:sz="4" w:space="0" w:color="000000"/>
              <w:right w:val="single" w:sz="4" w:space="0" w:color="000000"/>
            </w:tcBorders>
          </w:tcPr>
          <w:p w14:paraId="7238B00F"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11" w:type="dxa"/>
            <w:tcBorders>
              <w:top w:val="single" w:sz="4" w:space="0" w:color="000000"/>
              <w:left w:val="single" w:sz="4" w:space="0" w:color="000000"/>
              <w:bottom w:val="single" w:sz="4" w:space="0" w:color="000000"/>
              <w:right w:val="single" w:sz="4" w:space="0" w:color="000000"/>
            </w:tcBorders>
          </w:tcPr>
          <w:p w14:paraId="03C71535"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29" w:type="dxa"/>
            <w:tcBorders>
              <w:top w:val="single" w:sz="4" w:space="0" w:color="000000"/>
              <w:left w:val="single" w:sz="4" w:space="0" w:color="000000"/>
              <w:bottom w:val="single" w:sz="4" w:space="0" w:color="000000"/>
              <w:right w:val="single" w:sz="4" w:space="0" w:color="000000"/>
            </w:tcBorders>
          </w:tcPr>
          <w:p w14:paraId="07853925"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83" w:type="dxa"/>
            <w:tcBorders>
              <w:top w:val="single" w:sz="4" w:space="0" w:color="000000"/>
              <w:left w:val="single" w:sz="4" w:space="0" w:color="000000"/>
              <w:bottom w:val="single" w:sz="4" w:space="0" w:color="000000"/>
              <w:right w:val="single" w:sz="4" w:space="0" w:color="000000"/>
            </w:tcBorders>
          </w:tcPr>
          <w:p w14:paraId="1CEDFE56"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893" w:type="dxa"/>
            <w:tcBorders>
              <w:top w:val="single" w:sz="4" w:space="0" w:color="000000"/>
              <w:left w:val="single" w:sz="4" w:space="0" w:color="000000"/>
              <w:bottom w:val="single" w:sz="4" w:space="0" w:color="000000"/>
              <w:right w:val="single" w:sz="4" w:space="0" w:color="000000"/>
            </w:tcBorders>
          </w:tcPr>
          <w:p w14:paraId="7142DE10"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r w:rsidR="00B01D46" w14:paraId="322DD215" w14:textId="77777777">
        <w:trPr>
          <w:trHeight w:val="519"/>
        </w:trPr>
        <w:tc>
          <w:tcPr>
            <w:tcW w:w="578" w:type="dxa"/>
            <w:tcBorders>
              <w:top w:val="single" w:sz="4" w:space="0" w:color="000000"/>
              <w:left w:val="single" w:sz="4" w:space="0" w:color="000000"/>
              <w:bottom w:val="single" w:sz="4" w:space="0" w:color="000000"/>
              <w:right w:val="single" w:sz="4" w:space="0" w:color="000000"/>
            </w:tcBorders>
          </w:tcPr>
          <w:p w14:paraId="26832360" w14:textId="77777777" w:rsidR="00B01D46" w:rsidRDefault="0067013E">
            <w:pPr>
              <w:spacing w:line="276" w:lineRule="auto"/>
              <w:ind w:left="10"/>
              <w:rPr>
                <w:rFonts w:ascii="Times New Roman" w:hAnsi="Times New Roman" w:cs="Times New Roman"/>
                <w:sz w:val="24"/>
                <w:szCs w:val="24"/>
              </w:rPr>
            </w:pPr>
            <w:r>
              <w:rPr>
                <w:rFonts w:ascii="Times New Roman" w:hAnsi="Times New Roman" w:cs="Times New Roman"/>
                <w:sz w:val="24"/>
                <w:szCs w:val="24"/>
              </w:rPr>
              <w:t xml:space="preserve">4 </w:t>
            </w:r>
          </w:p>
        </w:tc>
        <w:tc>
          <w:tcPr>
            <w:tcW w:w="3365" w:type="dxa"/>
            <w:tcBorders>
              <w:top w:val="single" w:sz="4" w:space="0" w:color="000000"/>
              <w:left w:val="single" w:sz="4" w:space="0" w:color="000000"/>
              <w:bottom w:val="single" w:sz="4" w:space="0" w:color="000000"/>
              <w:right w:val="single" w:sz="4" w:space="0" w:color="000000"/>
            </w:tcBorders>
          </w:tcPr>
          <w:p w14:paraId="0FF0EED9"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Our library resources are appropriate for my information needs </w:t>
            </w:r>
          </w:p>
        </w:tc>
        <w:tc>
          <w:tcPr>
            <w:tcW w:w="907" w:type="dxa"/>
            <w:tcBorders>
              <w:top w:val="single" w:sz="4" w:space="0" w:color="000000"/>
              <w:left w:val="single" w:sz="4" w:space="0" w:color="000000"/>
              <w:bottom w:val="single" w:sz="4" w:space="0" w:color="000000"/>
              <w:right w:val="single" w:sz="4" w:space="0" w:color="000000"/>
            </w:tcBorders>
          </w:tcPr>
          <w:p w14:paraId="2907AD8F"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sz w:val="24"/>
                <w:szCs w:val="24"/>
              </w:rPr>
              <w:t xml:space="preserve">       1 </w:t>
            </w:r>
          </w:p>
        </w:tc>
        <w:tc>
          <w:tcPr>
            <w:tcW w:w="911" w:type="dxa"/>
            <w:tcBorders>
              <w:top w:val="single" w:sz="4" w:space="0" w:color="000000"/>
              <w:left w:val="single" w:sz="4" w:space="0" w:color="000000"/>
              <w:bottom w:val="single" w:sz="4" w:space="0" w:color="000000"/>
              <w:right w:val="single" w:sz="4" w:space="0" w:color="000000"/>
            </w:tcBorders>
          </w:tcPr>
          <w:p w14:paraId="269A1FAB"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29" w:type="dxa"/>
            <w:tcBorders>
              <w:top w:val="single" w:sz="4" w:space="0" w:color="000000"/>
              <w:left w:val="single" w:sz="4" w:space="0" w:color="000000"/>
              <w:bottom w:val="single" w:sz="4" w:space="0" w:color="000000"/>
              <w:right w:val="single" w:sz="4" w:space="0" w:color="000000"/>
            </w:tcBorders>
          </w:tcPr>
          <w:p w14:paraId="01BD9900"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83" w:type="dxa"/>
            <w:tcBorders>
              <w:top w:val="single" w:sz="4" w:space="0" w:color="000000"/>
              <w:left w:val="single" w:sz="4" w:space="0" w:color="000000"/>
              <w:bottom w:val="single" w:sz="4" w:space="0" w:color="000000"/>
              <w:right w:val="single" w:sz="4" w:space="0" w:color="000000"/>
            </w:tcBorders>
          </w:tcPr>
          <w:p w14:paraId="61A3391D"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893" w:type="dxa"/>
            <w:tcBorders>
              <w:top w:val="single" w:sz="4" w:space="0" w:color="000000"/>
              <w:left w:val="single" w:sz="4" w:space="0" w:color="000000"/>
              <w:bottom w:val="single" w:sz="4" w:space="0" w:color="000000"/>
              <w:right w:val="single" w:sz="4" w:space="0" w:color="000000"/>
            </w:tcBorders>
          </w:tcPr>
          <w:p w14:paraId="4DD2FC81"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r w:rsidR="00B01D46" w14:paraId="7821208C" w14:textId="77777777">
        <w:trPr>
          <w:trHeight w:val="519"/>
        </w:trPr>
        <w:tc>
          <w:tcPr>
            <w:tcW w:w="578" w:type="dxa"/>
            <w:tcBorders>
              <w:top w:val="single" w:sz="4" w:space="0" w:color="000000"/>
              <w:left w:val="single" w:sz="4" w:space="0" w:color="000000"/>
              <w:bottom w:val="single" w:sz="4" w:space="0" w:color="000000"/>
              <w:right w:val="single" w:sz="4" w:space="0" w:color="000000"/>
            </w:tcBorders>
          </w:tcPr>
          <w:p w14:paraId="22E134B7" w14:textId="77777777" w:rsidR="00B01D46" w:rsidRDefault="0067013E">
            <w:pPr>
              <w:spacing w:line="276" w:lineRule="auto"/>
              <w:ind w:left="10"/>
              <w:rPr>
                <w:rFonts w:ascii="Times New Roman" w:hAnsi="Times New Roman" w:cs="Times New Roman"/>
                <w:sz w:val="24"/>
                <w:szCs w:val="24"/>
              </w:rPr>
            </w:pPr>
            <w:r>
              <w:rPr>
                <w:rFonts w:ascii="Times New Roman" w:hAnsi="Times New Roman" w:cs="Times New Roman"/>
                <w:sz w:val="24"/>
                <w:szCs w:val="24"/>
              </w:rPr>
              <w:t xml:space="preserve">5 </w:t>
            </w:r>
          </w:p>
        </w:tc>
        <w:tc>
          <w:tcPr>
            <w:tcW w:w="3365" w:type="dxa"/>
            <w:tcBorders>
              <w:top w:val="single" w:sz="4" w:space="0" w:color="000000"/>
              <w:left w:val="single" w:sz="4" w:space="0" w:color="000000"/>
              <w:bottom w:val="single" w:sz="4" w:space="0" w:color="000000"/>
              <w:right w:val="single" w:sz="4" w:space="0" w:color="000000"/>
            </w:tcBorders>
          </w:tcPr>
          <w:p w14:paraId="34B01617"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There is need for more student librarian interaction </w:t>
            </w:r>
          </w:p>
        </w:tc>
        <w:tc>
          <w:tcPr>
            <w:tcW w:w="907" w:type="dxa"/>
            <w:tcBorders>
              <w:top w:val="single" w:sz="4" w:space="0" w:color="000000"/>
              <w:left w:val="single" w:sz="4" w:space="0" w:color="000000"/>
              <w:bottom w:val="single" w:sz="4" w:space="0" w:color="000000"/>
              <w:right w:val="single" w:sz="4" w:space="0" w:color="000000"/>
            </w:tcBorders>
          </w:tcPr>
          <w:p w14:paraId="624C4061"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sz w:val="24"/>
                <w:szCs w:val="24"/>
              </w:rPr>
              <w:t xml:space="preserve">       1 </w:t>
            </w:r>
          </w:p>
        </w:tc>
        <w:tc>
          <w:tcPr>
            <w:tcW w:w="911" w:type="dxa"/>
            <w:tcBorders>
              <w:top w:val="single" w:sz="4" w:space="0" w:color="000000"/>
              <w:left w:val="single" w:sz="4" w:space="0" w:color="000000"/>
              <w:bottom w:val="single" w:sz="4" w:space="0" w:color="000000"/>
              <w:right w:val="single" w:sz="4" w:space="0" w:color="000000"/>
            </w:tcBorders>
          </w:tcPr>
          <w:p w14:paraId="224EA2C8"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29" w:type="dxa"/>
            <w:tcBorders>
              <w:top w:val="single" w:sz="4" w:space="0" w:color="000000"/>
              <w:left w:val="single" w:sz="4" w:space="0" w:color="000000"/>
              <w:bottom w:val="single" w:sz="4" w:space="0" w:color="000000"/>
              <w:right w:val="single" w:sz="4" w:space="0" w:color="000000"/>
            </w:tcBorders>
          </w:tcPr>
          <w:p w14:paraId="3DC78875"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83" w:type="dxa"/>
            <w:tcBorders>
              <w:top w:val="single" w:sz="4" w:space="0" w:color="000000"/>
              <w:left w:val="single" w:sz="4" w:space="0" w:color="000000"/>
              <w:bottom w:val="single" w:sz="4" w:space="0" w:color="000000"/>
              <w:right w:val="single" w:sz="4" w:space="0" w:color="000000"/>
            </w:tcBorders>
          </w:tcPr>
          <w:p w14:paraId="2ACAB404"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893" w:type="dxa"/>
            <w:tcBorders>
              <w:top w:val="single" w:sz="4" w:space="0" w:color="000000"/>
              <w:left w:val="single" w:sz="4" w:space="0" w:color="000000"/>
              <w:bottom w:val="single" w:sz="4" w:space="0" w:color="000000"/>
              <w:right w:val="single" w:sz="4" w:space="0" w:color="000000"/>
            </w:tcBorders>
          </w:tcPr>
          <w:p w14:paraId="3D68CA2E"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bl>
    <w:p w14:paraId="29EA92E5" w14:textId="77777777" w:rsidR="00B01D46" w:rsidRDefault="00B01D46">
      <w:pPr>
        <w:spacing w:after="50" w:line="240" w:lineRule="auto"/>
        <w:rPr>
          <w:rFonts w:ascii="Times New Roman" w:hAnsi="Times New Roman" w:cs="Times New Roman"/>
          <w:sz w:val="24"/>
          <w:szCs w:val="24"/>
        </w:rPr>
      </w:pPr>
    </w:p>
    <w:p w14:paraId="271234BC" w14:textId="77777777" w:rsidR="00B01D46" w:rsidRDefault="0067013E">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007DC619" w14:textId="77777777" w:rsidR="00B01D46" w:rsidRDefault="0067013E">
      <w:pPr>
        <w:autoSpaceDE w:val="0"/>
        <w:autoSpaceDN w:val="0"/>
        <w:adjustRightInd w:val="0"/>
        <w:spacing w:after="167"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F. K</w:t>
      </w:r>
      <w:r>
        <w:rPr>
          <w:rFonts w:ascii="Times New Roman" w:eastAsia="Calibri" w:hAnsi="Times New Roman" w:cs="Times New Roman"/>
          <w:b/>
          <w:sz w:val="24"/>
          <w:szCs w:val="24"/>
        </w:rPr>
        <w:t xml:space="preserve">nowledge and skills possessed by staff in facilitating ILS among </w:t>
      </w:r>
      <w:r>
        <w:rPr>
          <w:rFonts w:ascii="Times New Roman" w:hAnsi="Times New Roman" w:cs="Times New Roman"/>
          <w:b/>
          <w:sz w:val="24"/>
          <w:szCs w:val="24"/>
        </w:rPr>
        <w:t>medical undergraduate students</w:t>
      </w:r>
    </w:p>
    <w:p w14:paraId="74257097" w14:textId="77777777" w:rsidR="00B01D46" w:rsidRDefault="00B01D46">
      <w:pPr>
        <w:pStyle w:val="NoSpacing"/>
        <w:rPr>
          <w:rFonts w:ascii="Times New Roman" w:hAnsi="Times New Roman" w:cs="Times New Roman"/>
          <w:sz w:val="24"/>
          <w:szCs w:val="24"/>
        </w:rPr>
      </w:pPr>
    </w:p>
    <w:p w14:paraId="5B5D43F2" w14:textId="77777777" w:rsidR="00B01D46" w:rsidRDefault="0067013E">
      <w:pPr>
        <w:pStyle w:val="NoSpacing"/>
        <w:numPr>
          <w:ilvl w:val="0"/>
          <w:numId w:val="21"/>
        </w:numPr>
        <w:ind w:left="426" w:right="8" w:hanging="426"/>
        <w:rPr>
          <w:rFonts w:ascii="Times New Roman" w:hAnsi="Times New Roman" w:cs="Times New Roman"/>
          <w:sz w:val="24"/>
          <w:szCs w:val="24"/>
        </w:rPr>
      </w:pPr>
      <w:r>
        <w:rPr>
          <w:rFonts w:ascii="Times New Roman" w:hAnsi="Times New Roman" w:cs="Times New Roman"/>
          <w:sz w:val="24"/>
          <w:szCs w:val="24"/>
        </w:rPr>
        <w:t xml:space="preserve">What kind of ILS skills does your institution’s librarians possess in facilitating you to retrieve information resources in the library? </w:t>
      </w:r>
    </w:p>
    <w:tbl>
      <w:tblPr>
        <w:tblStyle w:val="TableGrid0"/>
        <w:tblpPr w:leftFromText="180" w:rightFromText="180" w:vertAnchor="text" w:horzAnchor="margin" w:tblpX="222" w:tblpY="1847"/>
        <w:tblW w:w="7962" w:type="dxa"/>
        <w:tblInd w:w="0" w:type="dxa"/>
        <w:tblCellMar>
          <w:top w:w="80" w:type="dxa"/>
          <w:left w:w="80" w:type="dxa"/>
          <w:right w:w="115" w:type="dxa"/>
        </w:tblCellMar>
        <w:tblLook w:val="04A0" w:firstRow="1" w:lastRow="0" w:firstColumn="1" w:lastColumn="0" w:noHBand="0" w:noVBand="1"/>
      </w:tblPr>
      <w:tblGrid>
        <w:gridCol w:w="395"/>
        <w:gridCol w:w="2537"/>
        <w:gridCol w:w="1076"/>
        <w:gridCol w:w="1088"/>
        <w:gridCol w:w="982"/>
        <w:gridCol w:w="808"/>
        <w:gridCol w:w="1076"/>
      </w:tblGrid>
      <w:tr w:rsidR="00B01D46" w14:paraId="1F435666" w14:textId="77777777">
        <w:trPr>
          <w:trHeight w:val="20"/>
        </w:trPr>
        <w:tc>
          <w:tcPr>
            <w:tcW w:w="448" w:type="dxa"/>
            <w:tcBorders>
              <w:top w:val="single" w:sz="6" w:space="0" w:color="221F20"/>
              <w:left w:val="single" w:sz="6" w:space="0" w:color="221F20"/>
              <w:bottom w:val="single" w:sz="6" w:space="0" w:color="221F20"/>
              <w:right w:val="single" w:sz="6" w:space="0" w:color="221F20"/>
            </w:tcBorders>
          </w:tcPr>
          <w:p w14:paraId="2404804B" w14:textId="77777777" w:rsidR="00B01D46" w:rsidRDefault="00B01D46">
            <w:pPr>
              <w:spacing w:after="0" w:line="360" w:lineRule="auto"/>
              <w:rPr>
                <w:rFonts w:ascii="Times New Roman" w:hAnsi="Times New Roman" w:cs="Times New Roman"/>
                <w:sz w:val="24"/>
                <w:szCs w:val="24"/>
              </w:rPr>
            </w:pPr>
          </w:p>
        </w:tc>
        <w:tc>
          <w:tcPr>
            <w:tcW w:w="3132" w:type="dxa"/>
            <w:tcBorders>
              <w:top w:val="single" w:sz="6" w:space="0" w:color="221F20"/>
              <w:left w:val="single" w:sz="6" w:space="0" w:color="221F20"/>
              <w:bottom w:val="single" w:sz="6" w:space="0" w:color="221F20"/>
              <w:right w:val="single" w:sz="6" w:space="0" w:color="221F20"/>
            </w:tcBorders>
          </w:tcPr>
          <w:p w14:paraId="5BBA8DDE" w14:textId="77777777" w:rsidR="00B01D46" w:rsidRDefault="0067013E">
            <w:pPr>
              <w:spacing w:after="0" w:line="480" w:lineRule="auto"/>
              <w:ind w:left="311" w:right="8" w:hanging="9"/>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Knowledge and skills possessed by librarians</w:t>
            </w:r>
          </w:p>
        </w:tc>
        <w:tc>
          <w:tcPr>
            <w:tcW w:w="937" w:type="dxa"/>
            <w:tcBorders>
              <w:top w:val="single" w:sz="6" w:space="0" w:color="221F20"/>
              <w:left w:val="single" w:sz="6" w:space="0" w:color="221F20"/>
              <w:bottom w:val="single" w:sz="6" w:space="0" w:color="221F20"/>
              <w:right w:val="single" w:sz="6" w:space="0" w:color="221F20"/>
            </w:tcBorders>
          </w:tcPr>
          <w:p w14:paraId="1EE16893"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Strongly disagree</w:t>
            </w:r>
          </w:p>
        </w:tc>
        <w:tc>
          <w:tcPr>
            <w:tcW w:w="948" w:type="dxa"/>
            <w:tcBorders>
              <w:top w:val="single" w:sz="6" w:space="0" w:color="221F20"/>
              <w:left w:val="single" w:sz="6" w:space="0" w:color="221F20"/>
              <w:bottom w:val="single" w:sz="6" w:space="0" w:color="221F20"/>
              <w:right w:val="single" w:sz="6" w:space="0" w:color="221F20"/>
            </w:tcBorders>
          </w:tcPr>
          <w:p w14:paraId="48758A98"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Disagree </w:t>
            </w:r>
          </w:p>
        </w:tc>
        <w:tc>
          <w:tcPr>
            <w:tcW w:w="856" w:type="dxa"/>
            <w:tcBorders>
              <w:top w:val="single" w:sz="6" w:space="0" w:color="221F20"/>
              <w:left w:val="single" w:sz="6" w:space="0" w:color="221F20"/>
              <w:bottom w:val="single" w:sz="6" w:space="0" w:color="221F20"/>
              <w:right w:val="single" w:sz="6" w:space="0" w:color="221F20"/>
            </w:tcBorders>
          </w:tcPr>
          <w:p w14:paraId="6052D617"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Neutral </w:t>
            </w:r>
          </w:p>
        </w:tc>
        <w:tc>
          <w:tcPr>
            <w:tcW w:w="704" w:type="dxa"/>
            <w:tcBorders>
              <w:top w:val="single" w:sz="6" w:space="0" w:color="221F20"/>
              <w:left w:val="single" w:sz="6" w:space="0" w:color="221F20"/>
              <w:bottom w:val="single" w:sz="6" w:space="0" w:color="221F20"/>
              <w:right w:val="single" w:sz="6" w:space="0" w:color="221F20"/>
            </w:tcBorders>
          </w:tcPr>
          <w:p w14:paraId="64EC0745"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Agree </w:t>
            </w:r>
          </w:p>
        </w:tc>
        <w:tc>
          <w:tcPr>
            <w:tcW w:w="937" w:type="dxa"/>
            <w:tcBorders>
              <w:top w:val="single" w:sz="6" w:space="0" w:color="221F20"/>
              <w:left w:val="single" w:sz="6" w:space="0" w:color="221F20"/>
              <w:bottom w:val="single" w:sz="6" w:space="0" w:color="221F20"/>
              <w:right w:val="single" w:sz="6" w:space="0" w:color="221F20"/>
            </w:tcBorders>
          </w:tcPr>
          <w:p w14:paraId="4DDFD6E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21FE602F" w14:textId="77777777">
        <w:trPr>
          <w:trHeight w:val="20"/>
        </w:trPr>
        <w:tc>
          <w:tcPr>
            <w:tcW w:w="448" w:type="dxa"/>
            <w:tcBorders>
              <w:top w:val="single" w:sz="6" w:space="0" w:color="221F20"/>
              <w:left w:val="single" w:sz="6" w:space="0" w:color="221F20"/>
              <w:bottom w:val="single" w:sz="6" w:space="0" w:color="221F20"/>
              <w:right w:val="single" w:sz="6" w:space="0" w:color="221F20"/>
            </w:tcBorders>
          </w:tcPr>
          <w:p w14:paraId="755646A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132" w:type="dxa"/>
            <w:tcBorders>
              <w:top w:val="single" w:sz="6" w:space="0" w:color="221F20"/>
              <w:left w:val="single" w:sz="6" w:space="0" w:color="221F20"/>
              <w:bottom w:val="single" w:sz="6" w:space="0" w:color="221F20"/>
              <w:right w:val="single" w:sz="6" w:space="0" w:color="221F20"/>
            </w:tcBorders>
            <w:vAlign w:val="bottom"/>
          </w:tcPr>
          <w:p w14:paraId="09E1F022"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The capacity to select information that is most relevant to the indicated information demands</w:t>
            </w:r>
          </w:p>
        </w:tc>
        <w:tc>
          <w:tcPr>
            <w:tcW w:w="937" w:type="dxa"/>
            <w:tcBorders>
              <w:top w:val="single" w:sz="6" w:space="0" w:color="221F20"/>
              <w:left w:val="single" w:sz="6" w:space="0" w:color="221F20"/>
              <w:bottom w:val="single" w:sz="6" w:space="0" w:color="221F20"/>
              <w:right w:val="single" w:sz="6" w:space="0" w:color="221F20"/>
            </w:tcBorders>
          </w:tcPr>
          <w:p w14:paraId="3BC5EBF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48" w:type="dxa"/>
            <w:tcBorders>
              <w:top w:val="single" w:sz="6" w:space="0" w:color="221F20"/>
              <w:left w:val="single" w:sz="6" w:space="0" w:color="221F20"/>
              <w:bottom w:val="single" w:sz="6" w:space="0" w:color="221F20"/>
              <w:right w:val="single" w:sz="6" w:space="0" w:color="221F20"/>
            </w:tcBorders>
          </w:tcPr>
          <w:p w14:paraId="32F9611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6" w:type="dxa"/>
            <w:tcBorders>
              <w:top w:val="single" w:sz="6" w:space="0" w:color="221F20"/>
              <w:left w:val="single" w:sz="6" w:space="0" w:color="221F20"/>
              <w:bottom w:val="single" w:sz="6" w:space="0" w:color="221F20"/>
              <w:right w:val="single" w:sz="6" w:space="0" w:color="221F20"/>
            </w:tcBorders>
          </w:tcPr>
          <w:p w14:paraId="240F198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tcBorders>
              <w:top w:val="single" w:sz="6" w:space="0" w:color="221F20"/>
              <w:left w:val="single" w:sz="6" w:space="0" w:color="221F20"/>
              <w:bottom w:val="single" w:sz="6" w:space="0" w:color="221F20"/>
              <w:right w:val="single" w:sz="6" w:space="0" w:color="221F20"/>
            </w:tcBorders>
          </w:tcPr>
          <w:p w14:paraId="72525BC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37" w:type="dxa"/>
            <w:tcBorders>
              <w:top w:val="single" w:sz="6" w:space="0" w:color="221F20"/>
              <w:left w:val="single" w:sz="6" w:space="0" w:color="221F20"/>
              <w:bottom w:val="single" w:sz="6" w:space="0" w:color="221F20"/>
              <w:right w:val="single" w:sz="6" w:space="0" w:color="221F20"/>
            </w:tcBorders>
          </w:tcPr>
          <w:p w14:paraId="5C96D88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75446C6E" w14:textId="77777777">
        <w:trPr>
          <w:trHeight w:val="20"/>
        </w:trPr>
        <w:tc>
          <w:tcPr>
            <w:tcW w:w="448" w:type="dxa"/>
            <w:tcBorders>
              <w:top w:val="single" w:sz="6" w:space="0" w:color="221F20"/>
              <w:left w:val="single" w:sz="6" w:space="0" w:color="221F20"/>
              <w:bottom w:val="single" w:sz="6" w:space="0" w:color="221F20"/>
              <w:right w:val="single" w:sz="6" w:space="0" w:color="221F20"/>
            </w:tcBorders>
          </w:tcPr>
          <w:p w14:paraId="36BC9F1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132" w:type="dxa"/>
            <w:tcBorders>
              <w:top w:val="single" w:sz="6" w:space="0" w:color="221F20"/>
              <w:left w:val="single" w:sz="6" w:space="0" w:color="221F20"/>
              <w:bottom w:val="single" w:sz="6" w:space="0" w:color="221F20"/>
              <w:right w:val="single" w:sz="6" w:space="0" w:color="221F20"/>
            </w:tcBorders>
            <w:vAlign w:val="bottom"/>
          </w:tcPr>
          <w:p w14:paraId="7D2F77FC"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Ability to discern potential information sources</w:t>
            </w:r>
          </w:p>
        </w:tc>
        <w:tc>
          <w:tcPr>
            <w:tcW w:w="937" w:type="dxa"/>
            <w:tcBorders>
              <w:top w:val="single" w:sz="6" w:space="0" w:color="221F20"/>
              <w:left w:val="single" w:sz="6" w:space="0" w:color="221F20"/>
              <w:bottom w:val="single" w:sz="6" w:space="0" w:color="221F20"/>
              <w:right w:val="single" w:sz="6" w:space="0" w:color="221F20"/>
            </w:tcBorders>
          </w:tcPr>
          <w:p w14:paraId="211B07D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48" w:type="dxa"/>
            <w:tcBorders>
              <w:top w:val="single" w:sz="6" w:space="0" w:color="221F20"/>
              <w:left w:val="single" w:sz="6" w:space="0" w:color="221F20"/>
              <w:bottom w:val="single" w:sz="6" w:space="0" w:color="221F20"/>
              <w:right w:val="single" w:sz="6" w:space="0" w:color="221F20"/>
            </w:tcBorders>
          </w:tcPr>
          <w:p w14:paraId="2507ADC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6" w:type="dxa"/>
            <w:tcBorders>
              <w:top w:val="single" w:sz="6" w:space="0" w:color="221F20"/>
              <w:left w:val="single" w:sz="6" w:space="0" w:color="221F20"/>
              <w:bottom w:val="single" w:sz="6" w:space="0" w:color="221F20"/>
              <w:right w:val="single" w:sz="6" w:space="0" w:color="221F20"/>
            </w:tcBorders>
          </w:tcPr>
          <w:p w14:paraId="32A25E6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tcBorders>
              <w:top w:val="single" w:sz="6" w:space="0" w:color="221F20"/>
              <w:left w:val="single" w:sz="6" w:space="0" w:color="221F20"/>
              <w:bottom w:val="single" w:sz="6" w:space="0" w:color="221F20"/>
              <w:right w:val="single" w:sz="6" w:space="0" w:color="221F20"/>
            </w:tcBorders>
          </w:tcPr>
          <w:p w14:paraId="1A0C1DE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37" w:type="dxa"/>
            <w:tcBorders>
              <w:top w:val="single" w:sz="6" w:space="0" w:color="221F20"/>
              <w:left w:val="single" w:sz="6" w:space="0" w:color="221F20"/>
              <w:bottom w:val="single" w:sz="6" w:space="0" w:color="221F20"/>
              <w:right w:val="single" w:sz="6" w:space="0" w:color="221F20"/>
            </w:tcBorders>
          </w:tcPr>
          <w:p w14:paraId="5DE3551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3A1AA57A" w14:textId="77777777">
        <w:trPr>
          <w:trHeight w:val="20"/>
        </w:trPr>
        <w:tc>
          <w:tcPr>
            <w:tcW w:w="448" w:type="dxa"/>
            <w:tcBorders>
              <w:top w:val="single" w:sz="6" w:space="0" w:color="221F20"/>
              <w:left w:val="single" w:sz="6" w:space="0" w:color="221F20"/>
              <w:bottom w:val="single" w:sz="6" w:space="0" w:color="221F20"/>
              <w:right w:val="single" w:sz="6" w:space="0" w:color="221F20"/>
            </w:tcBorders>
          </w:tcPr>
          <w:p w14:paraId="5D00BBA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132" w:type="dxa"/>
            <w:tcBorders>
              <w:top w:val="single" w:sz="6" w:space="0" w:color="221F20"/>
              <w:left w:val="single" w:sz="6" w:space="0" w:color="221F20"/>
              <w:bottom w:val="single" w:sz="6" w:space="0" w:color="221F20"/>
              <w:right w:val="single" w:sz="6" w:space="0" w:color="221F20"/>
            </w:tcBorders>
            <w:vAlign w:val="bottom"/>
          </w:tcPr>
          <w:p w14:paraId="002D0F01"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 xml:space="preserve">Aptitude to create tactics for finding information </w:t>
            </w:r>
          </w:p>
        </w:tc>
        <w:tc>
          <w:tcPr>
            <w:tcW w:w="937" w:type="dxa"/>
            <w:tcBorders>
              <w:top w:val="single" w:sz="6" w:space="0" w:color="221F20"/>
              <w:left w:val="single" w:sz="6" w:space="0" w:color="221F20"/>
              <w:bottom w:val="single" w:sz="6" w:space="0" w:color="221F20"/>
              <w:right w:val="single" w:sz="6" w:space="0" w:color="221F20"/>
            </w:tcBorders>
          </w:tcPr>
          <w:p w14:paraId="5BA5587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48" w:type="dxa"/>
            <w:tcBorders>
              <w:top w:val="single" w:sz="6" w:space="0" w:color="221F20"/>
              <w:left w:val="single" w:sz="6" w:space="0" w:color="221F20"/>
              <w:bottom w:val="single" w:sz="6" w:space="0" w:color="221F20"/>
              <w:right w:val="single" w:sz="6" w:space="0" w:color="221F20"/>
            </w:tcBorders>
          </w:tcPr>
          <w:p w14:paraId="713F31B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6" w:type="dxa"/>
            <w:tcBorders>
              <w:top w:val="single" w:sz="6" w:space="0" w:color="221F20"/>
              <w:left w:val="single" w:sz="6" w:space="0" w:color="221F20"/>
              <w:bottom w:val="single" w:sz="6" w:space="0" w:color="221F20"/>
              <w:right w:val="single" w:sz="6" w:space="0" w:color="221F20"/>
            </w:tcBorders>
          </w:tcPr>
          <w:p w14:paraId="2063C82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tcBorders>
              <w:top w:val="single" w:sz="6" w:space="0" w:color="221F20"/>
              <w:left w:val="single" w:sz="6" w:space="0" w:color="221F20"/>
              <w:bottom w:val="single" w:sz="6" w:space="0" w:color="221F20"/>
              <w:right w:val="single" w:sz="6" w:space="0" w:color="221F20"/>
            </w:tcBorders>
          </w:tcPr>
          <w:p w14:paraId="2F012A6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37" w:type="dxa"/>
            <w:tcBorders>
              <w:top w:val="single" w:sz="6" w:space="0" w:color="221F20"/>
              <w:left w:val="single" w:sz="6" w:space="0" w:color="221F20"/>
              <w:bottom w:val="single" w:sz="6" w:space="0" w:color="221F20"/>
              <w:right w:val="single" w:sz="6" w:space="0" w:color="221F20"/>
            </w:tcBorders>
          </w:tcPr>
          <w:p w14:paraId="5AC45C6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53BEFD82" w14:textId="77777777">
        <w:trPr>
          <w:trHeight w:val="20"/>
        </w:trPr>
        <w:tc>
          <w:tcPr>
            <w:tcW w:w="448" w:type="dxa"/>
            <w:tcBorders>
              <w:top w:val="single" w:sz="6" w:space="0" w:color="221F20"/>
              <w:left w:val="single" w:sz="6" w:space="0" w:color="221F20"/>
              <w:bottom w:val="single" w:sz="6" w:space="0" w:color="221F20"/>
              <w:right w:val="single" w:sz="6" w:space="0" w:color="221F20"/>
            </w:tcBorders>
          </w:tcPr>
          <w:p w14:paraId="2B4B180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132" w:type="dxa"/>
            <w:tcBorders>
              <w:top w:val="single" w:sz="6" w:space="0" w:color="221F20"/>
              <w:left w:val="single" w:sz="6" w:space="0" w:color="221F20"/>
              <w:bottom w:val="single" w:sz="6" w:space="0" w:color="221F20"/>
              <w:right w:val="single" w:sz="6" w:space="0" w:color="221F20"/>
            </w:tcBorders>
            <w:vAlign w:val="bottom"/>
          </w:tcPr>
          <w:p w14:paraId="7AE5B528"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Aptitude to contrast and analyze information obtained from different sources</w:t>
            </w:r>
          </w:p>
        </w:tc>
        <w:tc>
          <w:tcPr>
            <w:tcW w:w="937" w:type="dxa"/>
            <w:tcBorders>
              <w:top w:val="single" w:sz="6" w:space="0" w:color="221F20"/>
              <w:left w:val="single" w:sz="6" w:space="0" w:color="221F20"/>
              <w:bottom w:val="single" w:sz="6" w:space="0" w:color="221F20"/>
              <w:right w:val="single" w:sz="6" w:space="0" w:color="221F20"/>
            </w:tcBorders>
          </w:tcPr>
          <w:p w14:paraId="5963BFF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48" w:type="dxa"/>
            <w:tcBorders>
              <w:top w:val="single" w:sz="6" w:space="0" w:color="221F20"/>
              <w:left w:val="single" w:sz="6" w:space="0" w:color="221F20"/>
              <w:bottom w:val="single" w:sz="6" w:space="0" w:color="221F20"/>
              <w:right w:val="single" w:sz="6" w:space="0" w:color="221F20"/>
            </w:tcBorders>
          </w:tcPr>
          <w:p w14:paraId="62C800B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6" w:type="dxa"/>
            <w:tcBorders>
              <w:top w:val="single" w:sz="6" w:space="0" w:color="221F20"/>
              <w:left w:val="single" w:sz="6" w:space="0" w:color="221F20"/>
              <w:bottom w:val="single" w:sz="6" w:space="0" w:color="221F20"/>
              <w:right w:val="single" w:sz="6" w:space="0" w:color="221F20"/>
            </w:tcBorders>
          </w:tcPr>
          <w:p w14:paraId="2DD0E0E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tcBorders>
              <w:top w:val="single" w:sz="6" w:space="0" w:color="221F20"/>
              <w:left w:val="single" w:sz="6" w:space="0" w:color="221F20"/>
              <w:bottom w:val="single" w:sz="6" w:space="0" w:color="221F20"/>
              <w:right w:val="single" w:sz="6" w:space="0" w:color="221F20"/>
            </w:tcBorders>
          </w:tcPr>
          <w:p w14:paraId="41509EA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37" w:type="dxa"/>
            <w:tcBorders>
              <w:top w:val="single" w:sz="6" w:space="0" w:color="221F20"/>
              <w:left w:val="single" w:sz="6" w:space="0" w:color="221F20"/>
              <w:bottom w:val="single" w:sz="6" w:space="0" w:color="221F20"/>
              <w:right w:val="single" w:sz="6" w:space="0" w:color="221F20"/>
            </w:tcBorders>
          </w:tcPr>
          <w:p w14:paraId="4CE3A1B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7DF200B9" w14:textId="77777777">
        <w:trPr>
          <w:trHeight w:val="20"/>
        </w:trPr>
        <w:tc>
          <w:tcPr>
            <w:tcW w:w="448" w:type="dxa"/>
            <w:tcBorders>
              <w:top w:val="single" w:sz="6" w:space="0" w:color="221F20"/>
              <w:left w:val="single" w:sz="6" w:space="0" w:color="221F20"/>
              <w:bottom w:val="single" w:sz="6" w:space="0" w:color="221F20"/>
              <w:right w:val="single" w:sz="6" w:space="0" w:color="221F20"/>
            </w:tcBorders>
          </w:tcPr>
          <w:p w14:paraId="611047E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132" w:type="dxa"/>
            <w:tcBorders>
              <w:top w:val="single" w:sz="6" w:space="0" w:color="221F20"/>
              <w:left w:val="single" w:sz="6" w:space="0" w:color="221F20"/>
              <w:bottom w:val="single" w:sz="6" w:space="0" w:color="221F20"/>
              <w:right w:val="single" w:sz="6" w:space="0" w:color="221F20"/>
            </w:tcBorders>
            <w:vAlign w:val="bottom"/>
          </w:tcPr>
          <w:p w14:paraId="48A272E8"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Aptitude to arrange, use, and pass on information</w:t>
            </w:r>
          </w:p>
        </w:tc>
        <w:tc>
          <w:tcPr>
            <w:tcW w:w="937" w:type="dxa"/>
            <w:tcBorders>
              <w:top w:val="single" w:sz="6" w:space="0" w:color="221F20"/>
              <w:left w:val="single" w:sz="6" w:space="0" w:color="221F20"/>
              <w:bottom w:val="single" w:sz="6" w:space="0" w:color="221F20"/>
              <w:right w:val="single" w:sz="6" w:space="0" w:color="221F20"/>
            </w:tcBorders>
          </w:tcPr>
          <w:p w14:paraId="1B1F04E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48" w:type="dxa"/>
            <w:tcBorders>
              <w:top w:val="single" w:sz="6" w:space="0" w:color="221F20"/>
              <w:left w:val="single" w:sz="6" w:space="0" w:color="221F20"/>
              <w:bottom w:val="single" w:sz="6" w:space="0" w:color="221F20"/>
              <w:right w:val="single" w:sz="6" w:space="0" w:color="221F20"/>
            </w:tcBorders>
          </w:tcPr>
          <w:p w14:paraId="100BC47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6" w:type="dxa"/>
            <w:tcBorders>
              <w:top w:val="single" w:sz="6" w:space="0" w:color="221F20"/>
              <w:left w:val="single" w:sz="6" w:space="0" w:color="221F20"/>
              <w:bottom w:val="single" w:sz="6" w:space="0" w:color="221F20"/>
              <w:right w:val="single" w:sz="6" w:space="0" w:color="221F20"/>
            </w:tcBorders>
          </w:tcPr>
          <w:p w14:paraId="2E7E06E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tcBorders>
              <w:top w:val="single" w:sz="6" w:space="0" w:color="221F20"/>
              <w:left w:val="single" w:sz="6" w:space="0" w:color="221F20"/>
              <w:bottom w:val="single" w:sz="6" w:space="0" w:color="221F20"/>
              <w:right w:val="single" w:sz="6" w:space="0" w:color="221F20"/>
            </w:tcBorders>
          </w:tcPr>
          <w:p w14:paraId="33DC237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37" w:type="dxa"/>
            <w:tcBorders>
              <w:top w:val="single" w:sz="6" w:space="0" w:color="221F20"/>
              <w:left w:val="single" w:sz="6" w:space="0" w:color="221F20"/>
              <w:bottom w:val="single" w:sz="6" w:space="0" w:color="221F20"/>
              <w:right w:val="single" w:sz="6" w:space="0" w:color="221F20"/>
            </w:tcBorders>
          </w:tcPr>
          <w:p w14:paraId="1F4A3C2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1FC5606" w14:textId="77777777">
        <w:trPr>
          <w:trHeight w:val="20"/>
        </w:trPr>
        <w:tc>
          <w:tcPr>
            <w:tcW w:w="448" w:type="dxa"/>
            <w:tcBorders>
              <w:top w:val="single" w:sz="6" w:space="0" w:color="221F20"/>
              <w:left w:val="single" w:sz="6" w:space="0" w:color="221F20"/>
              <w:bottom w:val="single" w:sz="6" w:space="0" w:color="221F20"/>
              <w:right w:val="single" w:sz="6" w:space="0" w:color="221F20"/>
            </w:tcBorders>
          </w:tcPr>
          <w:p w14:paraId="4812BCA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132" w:type="dxa"/>
            <w:tcBorders>
              <w:top w:val="single" w:sz="6" w:space="0" w:color="221F20"/>
              <w:left w:val="single" w:sz="6" w:space="0" w:color="221F20"/>
              <w:bottom w:val="single" w:sz="6" w:space="0" w:color="221F20"/>
              <w:right w:val="single" w:sz="6" w:space="0" w:color="221F20"/>
            </w:tcBorders>
            <w:vAlign w:val="bottom"/>
          </w:tcPr>
          <w:p w14:paraId="11DB5D69" w14:textId="77777777" w:rsidR="00B01D46" w:rsidRDefault="0067013E">
            <w:pPr>
              <w:spacing w:after="0"/>
              <w:rPr>
                <w:rFonts w:ascii="Times New Roman" w:hAnsi="Times New Roman" w:cs="Times New Roman"/>
                <w:sz w:val="24"/>
                <w:szCs w:val="24"/>
              </w:rPr>
            </w:pPr>
            <w:r>
              <w:rPr>
                <w:rFonts w:ascii="Times New Roman" w:hAnsi="Times New Roman" w:cs="Times New Roman"/>
                <w:color w:val="000000"/>
                <w:sz w:val="24"/>
                <w:szCs w:val="24"/>
              </w:rPr>
              <w:t>Aptitude to generate and expand on existing information</w:t>
            </w:r>
          </w:p>
        </w:tc>
        <w:tc>
          <w:tcPr>
            <w:tcW w:w="937" w:type="dxa"/>
            <w:tcBorders>
              <w:top w:val="single" w:sz="6" w:space="0" w:color="221F20"/>
              <w:left w:val="single" w:sz="6" w:space="0" w:color="221F20"/>
              <w:bottom w:val="single" w:sz="6" w:space="0" w:color="221F20"/>
              <w:right w:val="single" w:sz="6" w:space="0" w:color="221F20"/>
            </w:tcBorders>
          </w:tcPr>
          <w:p w14:paraId="279B2E5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48" w:type="dxa"/>
            <w:tcBorders>
              <w:top w:val="single" w:sz="6" w:space="0" w:color="221F20"/>
              <w:left w:val="single" w:sz="6" w:space="0" w:color="221F20"/>
              <w:bottom w:val="single" w:sz="6" w:space="0" w:color="221F20"/>
              <w:right w:val="single" w:sz="6" w:space="0" w:color="221F20"/>
            </w:tcBorders>
          </w:tcPr>
          <w:p w14:paraId="074E2F2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6" w:type="dxa"/>
            <w:tcBorders>
              <w:top w:val="single" w:sz="6" w:space="0" w:color="221F20"/>
              <w:left w:val="single" w:sz="6" w:space="0" w:color="221F20"/>
              <w:bottom w:val="single" w:sz="6" w:space="0" w:color="221F20"/>
              <w:right w:val="single" w:sz="6" w:space="0" w:color="221F20"/>
            </w:tcBorders>
          </w:tcPr>
          <w:p w14:paraId="5D73B9B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4" w:type="dxa"/>
            <w:tcBorders>
              <w:top w:val="single" w:sz="6" w:space="0" w:color="221F20"/>
              <w:left w:val="single" w:sz="6" w:space="0" w:color="221F20"/>
              <w:bottom w:val="single" w:sz="6" w:space="0" w:color="221F20"/>
              <w:right w:val="single" w:sz="6" w:space="0" w:color="221F20"/>
            </w:tcBorders>
          </w:tcPr>
          <w:p w14:paraId="3BA7A2E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37" w:type="dxa"/>
            <w:tcBorders>
              <w:top w:val="single" w:sz="6" w:space="0" w:color="221F20"/>
              <w:left w:val="single" w:sz="6" w:space="0" w:color="221F20"/>
              <w:bottom w:val="single" w:sz="6" w:space="0" w:color="221F20"/>
              <w:right w:val="single" w:sz="6" w:space="0" w:color="221F20"/>
            </w:tcBorders>
          </w:tcPr>
          <w:p w14:paraId="29223FF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687CEA9C" w14:textId="77777777" w:rsidR="00B01D46" w:rsidRDefault="0067013E">
      <w:pPr>
        <w:pStyle w:val="NormalWeb"/>
        <w:shd w:val="clear" w:color="auto" w:fill="FFFFFF"/>
        <w:autoSpaceDE w:val="0"/>
        <w:autoSpaceDN w:val="0"/>
        <w:adjustRightInd w:val="0"/>
        <w:spacing w:before="120" w:after="0" w:line="360" w:lineRule="auto"/>
        <w:ind w:left="426"/>
        <w:jc w:val="both"/>
        <w:rPr>
          <w:b/>
        </w:rPr>
      </w:pPr>
      <w:r>
        <w:rPr>
          <w:b/>
        </w:rPr>
        <w:t xml:space="preserve"> (</w:t>
      </w:r>
      <w:r>
        <w:rPr>
          <w:i/>
        </w:rPr>
        <w:t xml:space="preserve">Please </w:t>
      </w:r>
      <w:r>
        <w:rPr>
          <w:b/>
          <w:i/>
        </w:rPr>
        <w:t>CIRCLE</w:t>
      </w:r>
      <w:r>
        <w:rPr>
          <w:i/>
        </w:rPr>
        <w:t xml:space="preserve"> the number beside each statement that </w:t>
      </w:r>
      <w:r>
        <w:rPr>
          <w:b/>
          <w:i/>
        </w:rPr>
        <w:t>most accurately</w:t>
      </w:r>
      <w:r>
        <w:rPr>
          <w:i/>
        </w:rPr>
        <w:t xml:space="preserve"> reflects the extent to which you agree or disagree- meaning:  1 is </w:t>
      </w:r>
      <w:r>
        <w:rPr>
          <w:b/>
          <w:i/>
          <w:u w:val="single" w:color="000000"/>
        </w:rPr>
        <w:t>strongly DISAGREE</w:t>
      </w:r>
      <w:r>
        <w:rPr>
          <w:i/>
        </w:rPr>
        <w:t xml:space="preserve"> and 5 means you </w:t>
      </w:r>
      <w:r>
        <w:rPr>
          <w:b/>
          <w:i/>
          <w:u w:val="single" w:color="000000"/>
        </w:rPr>
        <w:t>Strongly AGREE</w:t>
      </w:r>
      <w:r>
        <w:rPr>
          <w:i/>
        </w:rPr>
        <w:t xml:space="preserve"> with the statement)</w:t>
      </w:r>
    </w:p>
    <w:p w14:paraId="1B4158FC" w14:textId="77777777" w:rsidR="00B01D46" w:rsidRDefault="00B01D46">
      <w:pPr>
        <w:pStyle w:val="NoSpacing"/>
        <w:spacing w:line="360" w:lineRule="auto"/>
        <w:ind w:left="0"/>
        <w:rPr>
          <w:rFonts w:ascii="Times New Roman" w:hAnsi="Times New Roman" w:cs="Times New Roman"/>
          <w:sz w:val="24"/>
          <w:szCs w:val="24"/>
        </w:rPr>
      </w:pPr>
    </w:p>
    <w:p w14:paraId="34FF8E1E" w14:textId="77777777" w:rsidR="00B01D46" w:rsidRDefault="0067013E">
      <w:pPr>
        <w:pStyle w:val="NoSpacing"/>
        <w:spacing w:line="360" w:lineRule="auto"/>
        <w:ind w:left="0" w:firstLine="426"/>
        <w:rPr>
          <w:rFonts w:ascii="Times New Roman" w:hAnsi="Times New Roman" w:cs="Times New Roman"/>
          <w:sz w:val="24"/>
          <w:szCs w:val="24"/>
        </w:rPr>
      </w:pPr>
      <w:r>
        <w:rPr>
          <w:rFonts w:ascii="Times New Roman" w:hAnsi="Times New Roman" w:cs="Times New Roman"/>
          <w:sz w:val="24"/>
          <w:szCs w:val="24"/>
        </w:rPr>
        <w:lastRenderedPageBreak/>
        <w:t>(b) Any other skill and knowledge</w:t>
      </w:r>
    </w:p>
    <w:p w14:paraId="4AFBF52E" w14:textId="77777777" w:rsidR="00B01D46" w:rsidRDefault="0067013E">
      <w:pPr>
        <w:spacing w:after="131" w:line="360" w:lineRule="auto"/>
        <w:ind w:left="677"/>
        <w:rPr>
          <w:rFonts w:ascii="Times New Roman" w:hAnsi="Times New Roman" w:cs="Times New Roman"/>
          <w:sz w:val="24"/>
          <w:szCs w:val="24"/>
        </w:rPr>
      </w:pPr>
      <w:r>
        <w:rPr>
          <w:rFonts w:ascii="Times New Roman" w:hAnsi="Times New Roman" w:cs="Times New Roman"/>
          <w:sz w:val="24"/>
          <w:szCs w:val="24"/>
        </w:rPr>
        <w:t>……………………………………………………………………………………………………………………………………………………………………………………………………………………………………………………………………..</w:t>
      </w:r>
    </w:p>
    <w:p w14:paraId="3EF9CF36" w14:textId="77777777" w:rsidR="00B01D46" w:rsidRDefault="0067013E">
      <w:pPr>
        <w:pStyle w:val="NoSpacing"/>
        <w:numPr>
          <w:ilvl w:val="0"/>
          <w:numId w:val="21"/>
        </w:numPr>
        <w:spacing w:line="360" w:lineRule="auto"/>
        <w:ind w:right="8" w:hanging="900"/>
        <w:rPr>
          <w:rFonts w:ascii="Times New Roman" w:hAnsi="Times New Roman" w:cs="Times New Roman"/>
          <w:sz w:val="24"/>
          <w:szCs w:val="24"/>
        </w:rPr>
      </w:pPr>
      <w:bookmarkStart w:id="2513" w:name="_Hlk182120955"/>
      <w:r>
        <w:rPr>
          <w:rFonts w:ascii="Times New Roman" w:hAnsi="Times New Roman" w:cs="Times New Roman"/>
          <w:sz w:val="24"/>
          <w:szCs w:val="24"/>
        </w:rPr>
        <w:t>In your opinion are the skills adequate in facilitating ILS instruction and learning?</w:t>
      </w:r>
    </w:p>
    <w:bookmarkEnd w:id="2513"/>
    <w:p w14:paraId="108F1ADE" w14:textId="77777777" w:rsidR="00B01D46" w:rsidRDefault="0067013E">
      <w:pPr>
        <w:pStyle w:val="ListParagraph"/>
        <w:spacing w:after="131" w:line="360" w:lineRule="auto"/>
        <w:ind w:left="900" w:firstLine="0"/>
        <w:rPr>
          <w:szCs w:val="24"/>
        </w:rPr>
      </w:pPr>
      <w:r>
        <w:rPr>
          <w:szCs w:val="24"/>
        </w:rPr>
        <w:t>………………………………………………………………………………………………………………………………………………………………………………………………………………………………………………………………</w:t>
      </w:r>
    </w:p>
    <w:p w14:paraId="5D067EBA" w14:textId="77777777" w:rsidR="00B01D46" w:rsidRDefault="0067013E">
      <w:pPr>
        <w:pStyle w:val="NoSpacing"/>
        <w:ind w:left="0" w:firstLine="0"/>
        <w:rPr>
          <w:rFonts w:ascii="Times New Roman" w:hAnsi="Times New Roman" w:cs="Times New Roman"/>
          <w:b/>
          <w:sz w:val="24"/>
          <w:szCs w:val="24"/>
        </w:rPr>
      </w:pPr>
      <w:r>
        <w:rPr>
          <w:rFonts w:ascii="Times New Roman" w:hAnsi="Times New Roman" w:cs="Times New Roman"/>
          <w:b/>
          <w:sz w:val="24"/>
          <w:szCs w:val="24"/>
        </w:rPr>
        <w:t>G. The role that ICT play in promoting the training and learning of information literacy skills among undergraduate medical students</w:t>
      </w:r>
    </w:p>
    <w:p w14:paraId="5D389BBB" w14:textId="77777777" w:rsidR="00B01D46" w:rsidRDefault="00B01D46">
      <w:pPr>
        <w:spacing w:after="131" w:line="241" w:lineRule="auto"/>
        <w:rPr>
          <w:rFonts w:ascii="Times New Roman" w:hAnsi="Times New Roman" w:cs="Times New Roman"/>
          <w:sz w:val="24"/>
          <w:szCs w:val="24"/>
        </w:rPr>
      </w:pPr>
    </w:p>
    <w:p w14:paraId="5FBB3FEE" w14:textId="77777777" w:rsidR="00B01D46" w:rsidRDefault="0067013E">
      <w:pPr>
        <w:pStyle w:val="ListParagraph"/>
        <w:numPr>
          <w:ilvl w:val="0"/>
          <w:numId w:val="22"/>
        </w:numPr>
        <w:autoSpaceDE w:val="0"/>
        <w:autoSpaceDN w:val="0"/>
        <w:adjustRightInd w:val="0"/>
        <w:spacing w:after="167" w:line="240" w:lineRule="auto"/>
        <w:ind w:hanging="644"/>
        <w:jc w:val="left"/>
        <w:rPr>
          <w:i/>
          <w:szCs w:val="24"/>
        </w:rPr>
      </w:pPr>
      <w:r>
        <w:rPr>
          <w:szCs w:val="24"/>
        </w:rPr>
        <w:t xml:space="preserve">To what extent do you integrate ICTs in your studies?  </w:t>
      </w:r>
    </w:p>
    <w:p w14:paraId="2D9075FD" w14:textId="77777777" w:rsidR="00B01D46" w:rsidRDefault="00B01D46">
      <w:pPr>
        <w:pStyle w:val="ListParagraph"/>
        <w:rPr>
          <w:b/>
          <w:szCs w:val="24"/>
        </w:rPr>
      </w:pPr>
    </w:p>
    <w:p w14:paraId="1A0B2D4D" w14:textId="77777777" w:rsidR="00B01D46" w:rsidRDefault="0067013E">
      <w:pPr>
        <w:pStyle w:val="ListParagraph"/>
        <w:autoSpaceDE w:val="0"/>
        <w:autoSpaceDN w:val="0"/>
        <w:adjustRightInd w:val="0"/>
        <w:spacing w:after="167" w:line="240" w:lineRule="auto"/>
        <w:ind w:firstLine="0"/>
        <w:jc w:val="left"/>
        <w:rPr>
          <w:i/>
          <w:szCs w:val="24"/>
        </w:rPr>
      </w:pPr>
      <w:r>
        <w:rPr>
          <w:b/>
          <w:szCs w:val="24"/>
        </w:rPr>
        <w:t xml:space="preserve">  (</w:t>
      </w:r>
      <w:r>
        <w:rPr>
          <w:i/>
          <w:szCs w:val="24"/>
        </w:rPr>
        <w:t xml:space="preserve">Please </w:t>
      </w:r>
      <w:r>
        <w:rPr>
          <w:b/>
          <w:i/>
          <w:szCs w:val="24"/>
        </w:rPr>
        <w:t>CIRCLE</w:t>
      </w:r>
      <w:r>
        <w:rPr>
          <w:i/>
          <w:szCs w:val="24"/>
        </w:rPr>
        <w:t xml:space="preserve"> the number beside each statement that </w:t>
      </w:r>
      <w:r>
        <w:rPr>
          <w:b/>
          <w:i/>
          <w:szCs w:val="24"/>
        </w:rPr>
        <w:t>most accurately</w:t>
      </w:r>
      <w:r>
        <w:rPr>
          <w:i/>
          <w:szCs w:val="24"/>
        </w:rPr>
        <w:t xml:space="preserve"> reflects the extent to which you agree or disagree- meaning:  1 is </w:t>
      </w:r>
      <w:r>
        <w:rPr>
          <w:b/>
          <w:i/>
          <w:szCs w:val="24"/>
          <w:u w:val="single" w:color="000000"/>
        </w:rPr>
        <w:t>strongly DISAGREE</w:t>
      </w:r>
      <w:r>
        <w:rPr>
          <w:i/>
          <w:szCs w:val="24"/>
        </w:rPr>
        <w:t xml:space="preserve"> and 5 means you </w:t>
      </w:r>
      <w:r>
        <w:rPr>
          <w:b/>
          <w:i/>
          <w:szCs w:val="24"/>
          <w:u w:val="single" w:color="000000"/>
        </w:rPr>
        <w:t>Strongly AGREE</w:t>
      </w:r>
      <w:r>
        <w:rPr>
          <w:i/>
          <w:szCs w:val="24"/>
        </w:rPr>
        <w:t xml:space="preserve"> with the statement)</w:t>
      </w:r>
    </w:p>
    <w:p w14:paraId="39D593E7" w14:textId="77777777" w:rsidR="00B01D46" w:rsidRDefault="00B01D46">
      <w:pPr>
        <w:spacing w:after="2" w:line="239" w:lineRule="auto"/>
        <w:ind w:right="-15"/>
        <w:rPr>
          <w:rFonts w:ascii="Times New Roman" w:hAnsi="Times New Roman" w:cs="Times New Roman"/>
          <w:sz w:val="24"/>
          <w:szCs w:val="24"/>
        </w:rPr>
      </w:pPr>
    </w:p>
    <w:p w14:paraId="5197CFD8" w14:textId="77777777" w:rsidR="00B01D46" w:rsidRDefault="00B01D46">
      <w:pPr>
        <w:pStyle w:val="ListParagraph"/>
        <w:spacing w:after="2" w:line="239" w:lineRule="auto"/>
        <w:ind w:right="-15" w:firstLine="0"/>
        <w:rPr>
          <w:szCs w:val="24"/>
        </w:rPr>
      </w:pPr>
    </w:p>
    <w:tbl>
      <w:tblPr>
        <w:tblStyle w:val="TableGrid0"/>
        <w:tblW w:w="8183" w:type="dxa"/>
        <w:jc w:val="center"/>
        <w:tblInd w:w="0" w:type="dxa"/>
        <w:tblCellMar>
          <w:left w:w="101" w:type="dxa"/>
          <w:right w:w="35" w:type="dxa"/>
        </w:tblCellMar>
        <w:tblLook w:val="04A0" w:firstRow="1" w:lastRow="0" w:firstColumn="1" w:lastColumn="0" w:noHBand="0" w:noVBand="1"/>
      </w:tblPr>
      <w:tblGrid>
        <w:gridCol w:w="393"/>
        <w:gridCol w:w="3286"/>
        <w:gridCol w:w="963"/>
        <w:gridCol w:w="994"/>
        <w:gridCol w:w="856"/>
        <w:gridCol w:w="723"/>
        <w:gridCol w:w="968"/>
      </w:tblGrid>
      <w:tr w:rsidR="00B01D46" w14:paraId="278356CD" w14:textId="77777777">
        <w:trPr>
          <w:trHeight w:val="523"/>
          <w:jc w:val="center"/>
        </w:trPr>
        <w:tc>
          <w:tcPr>
            <w:tcW w:w="405" w:type="dxa"/>
            <w:tcBorders>
              <w:top w:val="single" w:sz="2" w:space="0" w:color="000000"/>
              <w:left w:val="single" w:sz="4" w:space="0" w:color="000000"/>
              <w:bottom w:val="single" w:sz="2" w:space="0" w:color="000000"/>
              <w:right w:val="single" w:sz="4" w:space="0" w:color="000000"/>
            </w:tcBorders>
          </w:tcPr>
          <w:p w14:paraId="480D83E2" w14:textId="77777777" w:rsidR="00B01D46" w:rsidRDefault="00B01D46">
            <w:pPr>
              <w:spacing w:line="276" w:lineRule="auto"/>
              <w:ind w:left="5"/>
              <w:rPr>
                <w:rFonts w:ascii="Times New Roman" w:hAnsi="Times New Roman" w:cs="Times New Roman"/>
                <w:sz w:val="24"/>
                <w:szCs w:val="24"/>
              </w:rPr>
            </w:pPr>
          </w:p>
        </w:tc>
        <w:tc>
          <w:tcPr>
            <w:tcW w:w="3431" w:type="dxa"/>
            <w:tcBorders>
              <w:top w:val="single" w:sz="2" w:space="0" w:color="000000"/>
              <w:left w:val="single" w:sz="4" w:space="0" w:color="000000"/>
              <w:bottom w:val="single" w:sz="2" w:space="0" w:color="000000"/>
              <w:right w:val="single" w:sz="4" w:space="0" w:color="000000"/>
            </w:tcBorders>
          </w:tcPr>
          <w:p w14:paraId="49895CF4" w14:textId="77777777" w:rsidR="00B01D46" w:rsidRDefault="00B01D46">
            <w:pPr>
              <w:spacing w:after="50"/>
              <w:rPr>
                <w:rFonts w:ascii="Times New Roman" w:hAnsi="Times New Roman" w:cs="Times New Roman"/>
                <w:sz w:val="24"/>
                <w:szCs w:val="24"/>
              </w:rPr>
            </w:pPr>
          </w:p>
          <w:p w14:paraId="35BFCD0A"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b/>
                <w:sz w:val="24"/>
                <w:szCs w:val="24"/>
              </w:rPr>
              <w:t xml:space="preserve">Type of experience </w:t>
            </w:r>
          </w:p>
        </w:tc>
        <w:tc>
          <w:tcPr>
            <w:tcW w:w="930" w:type="dxa"/>
            <w:tcBorders>
              <w:top w:val="single" w:sz="2" w:space="0" w:color="000000"/>
              <w:left w:val="single" w:sz="4" w:space="0" w:color="000000"/>
              <w:bottom w:val="single" w:sz="2" w:space="0" w:color="000000"/>
              <w:right w:val="single" w:sz="4" w:space="0" w:color="000000"/>
            </w:tcBorders>
          </w:tcPr>
          <w:p w14:paraId="1A29CEA7"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sz w:val="24"/>
                <w:szCs w:val="24"/>
              </w:rPr>
              <w:t xml:space="preserve">Strongly disagree </w:t>
            </w:r>
          </w:p>
        </w:tc>
        <w:tc>
          <w:tcPr>
            <w:tcW w:w="934" w:type="dxa"/>
            <w:tcBorders>
              <w:top w:val="single" w:sz="2" w:space="0" w:color="000000"/>
              <w:left w:val="single" w:sz="4" w:space="0" w:color="000000"/>
              <w:bottom w:val="single" w:sz="2" w:space="0" w:color="000000"/>
              <w:right w:val="single" w:sz="4" w:space="0" w:color="000000"/>
            </w:tcBorders>
          </w:tcPr>
          <w:p w14:paraId="50E9A439"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Disagree </w:t>
            </w:r>
          </w:p>
        </w:tc>
        <w:tc>
          <w:tcPr>
            <w:tcW w:w="854" w:type="dxa"/>
            <w:tcBorders>
              <w:top w:val="single" w:sz="2" w:space="0" w:color="000000"/>
              <w:left w:val="single" w:sz="4" w:space="0" w:color="000000"/>
              <w:bottom w:val="single" w:sz="2" w:space="0" w:color="000000"/>
              <w:right w:val="single" w:sz="4" w:space="0" w:color="000000"/>
            </w:tcBorders>
          </w:tcPr>
          <w:p w14:paraId="2E4E0A75"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sz w:val="24"/>
                <w:szCs w:val="24"/>
              </w:rPr>
              <w:t xml:space="preserve">Neutral </w:t>
            </w:r>
          </w:p>
        </w:tc>
        <w:tc>
          <w:tcPr>
            <w:tcW w:w="695" w:type="dxa"/>
            <w:tcBorders>
              <w:top w:val="single" w:sz="2" w:space="0" w:color="000000"/>
              <w:left w:val="single" w:sz="4" w:space="0" w:color="000000"/>
              <w:bottom w:val="single" w:sz="2" w:space="0" w:color="000000"/>
              <w:right w:val="single" w:sz="4" w:space="0" w:color="000000"/>
            </w:tcBorders>
          </w:tcPr>
          <w:p w14:paraId="02F3E5A0"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sz w:val="24"/>
                <w:szCs w:val="24"/>
              </w:rPr>
              <w:t xml:space="preserve">Agree </w:t>
            </w:r>
          </w:p>
        </w:tc>
        <w:tc>
          <w:tcPr>
            <w:tcW w:w="934" w:type="dxa"/>
            <w:tcBorders>
              <w:top w:val="single" w:sz="2" w:space="0" w:color="000000"/>
              <w:left w:val="single" w:sz="4" w:space="0" w:color="000000"/>
              <w:bottom w:val="single" w:sz="2" w:space="0" w:color="000000"/>
              <w:right w:val="single" w:sz="4" w:space="0" w:color="000000"/>
            </w:tcBorders>
          </w:tcPr>
          <w:p w14:paraId="61BCEAAA"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Strongly agree </w:t>
            </w:r>
          </w:p>
        </w:tc>
      </w:tr>
      <w:tr w:rsidR="00B01D46" w14:paraId="58EED7B2" w14:textId="77777777">
        <w:trPr>
          <w:trHeight w:val="523"/>
          <w:jc w:val="center"/>
        </w:trPr>
        <w:tc>
          <w:tcPr>
            <w:tcW w:w="405" w:type="dxa"/>
            <w:tcBorders>
              <w:top w:val="single" w:sz="2" w:space="0" w:color="000000"/>
              <w:left w:val="single" w:sz="4" w:space="0" w:color="000000"/>
              <w:bottom w:val="single" w:sz="2" w:space="0" w:color="000000"/>
              <w:right w:val="single" w:sz="4" w:space="0" w:color="000000"/>
            </w:tcBorders>
          </w:tcPr>
          <w:p w14:paraId="74A5B52F"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1 </w:t>
            </w:r>
          </w:p>
        </w:tc>
        <w:tc>
          <w:tcPr>
            <w:tcW w:w="3431" w:type="dxa"/>
            <w:tcBorders>
              <w:top w:val="single" w:sz="2" w:space="0" w:color="000000"/>
              <w:left w:val="single" w:sz="4" w:space="0" w:color="000000"/>
              <w:bottom w:val="single" w:sz="2" w:space="0" w:color="000000"/>
              <w:right w:val="single" w:sz="4" w:space="0" w:color="000000"/>
            </w:tcBorders>
            <w:vAlign w:val="bottom"/>
          </w:tcPr>
          <w:p w14:paraId="1424CD8E"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color w:val="000000"/>
                <w:sz w:val="24"/>
                <w:szCs w:val="24"/>
              </w:rPr>
              <w:t>I use a computer to prepare reports and term papers</w:t>
            </w:r>
          </w:p>
        </w:tc>
        <w:tc>
          <w:tcPr>
            <w:tcW w:w="930" w:type="dxa"/>
            <w:tcBorders>
              <w:top w:val="single" w:sz="2" w:space="0" w:color="000000"/>
              <w:left w:val="single" w:sz="4" w:space="0" w:color="000000"/>
              <w:bottom w:val="single" w:sz="2" w:space="0" w:color="000000"/>
              <w:right w:val="single" w:sz="4" w:space="0" w:color="000000"/>
            </w:tcBorders>
          </w:tcPr>
          <w:p w14:paraId="62EE6F44"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34" w:type="dxa"/>
            <w:tcBorders>
              <w:top w:val="single" w:sz="2" w:space="0" w:color="000000"/>
              <w:left w:val="single" w:sz="4" w:space="0" w:color="000000"/>
              <w:bottom w:val="single" w:sz="2" w:space="0" w:color="000000"/>
              <w:right w:val="single" w:sz="4" w:space="0" w:color="000000"/>
            </w:tcBorders>
          </w:tcPr>
          <w:p w14:paraId="702F63C2"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54" w:type="dxa"/>
            <w:tcBorders>
              <w:top w:val="single" w:sz="2" w:space="0" w:color="000000"/>
              <w:left w:val="single" w:sz="4" w:space="0" w:color="000000"/>
              <w:bottom w:val="single" w:sz="2" w:space="0" w:color="000000"/>
              <w:right w:val="single" w:sz="4" w:space="0" w:color="000000"/>
            </w:tcBorders>
          </w:tcPr>
          <w:p w14:paraId="6513046F"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95" w:type="dxa"/>
            <w:tcBorders>
              <w:top w:val="single" w:sz="2" w:space="0" w:color="000000"/>
              <w:left w:val="single" w:sz="4" w:space="0" w:color="000000"/>
              <w:bottom w:val="single" w:sz="2" w:space="0" w:color="000000"/>
              <w:right w:val="single" w:sz="4" w:space="0" w:color="000000"/>
            </w:tcBorders>
          </w:tcPr>
          <w:p w14:paraId="259DF303"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934" w:type="dxa"/>
            <w:tcBorders>
              <w:top w:val="single" w:sz="2" w:space="0" w:color="000000"/>
              <w:left w:val="single" w:sz="4" w:space="0" w:color="000000"/>
              <w:bottom w:val="single" w:sz="2" w:space="0" w:color="000000"/>
              <w:right w:val="single" w:sz="4" w:space="0" w:color="000000"/>
            </w:tcBorders>
          </w:tcPr>
          <w:p w14:paraId="37808804"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r w:rsidR="00B01D46" w14:paraId="25F1E04C" w14:textId="77777777">
        <w:trPr>
          <w:trHeight w:val="523"/>
          <w:jc w:val="center"/>
        </w:trPr>
        <w:tc>
          <w:tcPr>
            <w:tcW w:w="405" w:type="dxa"/>
            <w:tcBorders>
              <w:top w:val="single" w:sz="2" w:space="0" w:color="000000"/>
              <w:left w:val="single" w:sz="4" w:space="0" w:color="000000"/>
              <w:bottom w:val="single" w:sz="2" w:space="0" w:color="000000"/>
              <w:right w:val="single" w:sz="4" w:space="0" w:color="000000"/>
            </w:tcBorders>
          </w:tcPr>
          <w:p w14:paraId="5DD5A420"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2 </w:t>
            </w:r>
          </w:p>
        </w:tc>
        <w:tc>
          <w:tcPr>
            <w:tcW w:w="3431" w:type="dxa"/>
            <w:tcBorders>
              <w:top w:val="single" w:sz="2" w:space="0" w:color="000000"/>
              <w:left w:val="single" w:sz="4" w:space="0" w:color="000000"/>
              <w:bottom w:val="single" w:sz="2" w:space="0" w:color="000000"/>
              <w:right w:val="single" w:sz="4" w:space="0" w:color="000000"/>
            </w:tcBorders>
            <w:vAlign w:val="bottom"/>
          </w:tcPr>
          <w:p w14:paraId="68063F02"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color w:val="000000"/>
                <w:sz w:val="24"/>
                <w:szCs w:val="24"/>
              </w:rPr>
              <w:t>I use email or other online communication programs effectively</w:t>
            </w:r>
          </w:p>
        </w:tc>
        <w:tc>
          <w:tcPr>
            <w:tcW w:w="930" w:type="dxa"/>
            <w:tcBorders>
              <w:top w:val="single" w:sz="2" w:space="0" w:color="000000"/>
              <w:left w:val="single" w:sz="4" w:space="0" w:color="000000"/>
              <w:bottom w:val="single" w:sz="2" w:space="0" w:color="000000"/>
              <w:right w:val="single" w:sz="4" w:space="0" w:color="000000"/>
            </w:tcBorders>
          </w:tcPr>
          <w:p w14:paraId="52AC1255"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34" w:type="dxa"/>
            <w:tcBorders>
              <w:top w:val="single" w:sz="2" w:space="0" w:color="000000"/>
              <w:left w:val="single" w:sz="4" w:space="0" w:color="000000"/>
              <w:bottom w:val="single" w:sz="2" w:space="0" w:color="000000"/>
              <w:right w:val="single" w:sz="4" w:space="0" w:color="000000"/>
            </w:tcBorders>
          </w:tcPr>
          <w:p w14:paraId="2E482238"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54" w:type="dxa"/>
            <w:tcBorders>
              <w:top w:val="single" w:sz="2" w:space="0" w:color="000000"/>
              <w:left w:val="single" w:sz="4" w:space="0" w:color="000000"/>
              <w:bottom w:val="single" w:sz="2" w:space="0" w:color="000000"/>
              <w:right w:val="single" w:sz="4" w:space="0" w:color="000000"/>
            </w:tcBorders>
          </w:tcPr>
          <w:p w14:paraId="205581EE"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95" w:type="dxa"/>
            <w:tcBorders>
              <w:top w:val="single" w:sz="2" w:space="0" w:color="000000"/>
              <w:left w:val="single" w:sz="4" w:space="0" w:color="000000"/>
              <w:bottom w:val="single" w:sz="2" w:space="0" w:color="000000"/>
              <w:right w:val="single" w:sz="4" w:space="0" w:color="000000"/>
            </w:tcBorders>
          </w:tcPr>
          <w:p w14:paraId="0B665B29"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934" w:type="dxa"/>
            <w:tcBorders>
              <w:top w:val="single" w:sz="2" w:space="0" w:color="000000"/>
              <w:left w:val="single" w:sz="4" w:space="0" w:color="000000"/>
              <w:bottom w:val="single" w:sz="2" w:space="0" w:color="000000"/>
              <w:right w:val="single" w:sz="4" w:space="0" w:color="000000"/>
            </w:tcBorders>
          </w:tcPr>
          <w:p w14:paraId="70C3E33F"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r w:rsidR="00B01D46" w14:paraId="3398DEBB" w14:textId="77777777">
        <w:trPr>
          <w:trHeight w:val="521"/>
          <w:jc w:val="center"/>
        </w:trPr>
        <w:tc>
          <w:tcPr>
            <w:tcW w:w="405" w:type="dxa"/>
            <w:tcBorders>
              <w:top w:val="single" w:sz="2" w:space="0" w:color="000000"/>
              <w:left w:val="single" w:sz="4" w:space="0" w:color="000000"/>
              <w:bottom w:val="single" w:sz="4" w:space="0" w:color="000000"/>
              <w:right w:val="single" w:sz="4" w:space="0" w:color="000000"/>
            </w:tcBorders>
          </w:tcPr>
          <w:p w14:paraId="4B36998D"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3 </w:t>
            </w:r>
          </w:p>
        </w:tc>
        <w:tc>
          <w:tcPr>
            <w:tcW w:w="3431" w:type="dxa"/>
            <w:tcBorders>
              <w:top w:val="single" w:sz="2" w:space="0" w:color="000000"/>
              <w:left w:val="single" w:sz="4" w:space="0" w:color="000000"/>
              <w:bottom w:val="single" w:sz="4" w:space="0" w:color="000000"/>
              <w:right w:val="single" w:sz="4" w:space="0" w:color="000000"/>
            </w:tcBorders>
            <w:vAlign w:val="bottom"/>
          </w:tcPr>
          <w:p w14:paraId="08AD9D2E"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color w:val="000000"/>
                <w:sz w:val="24"/>
                <w:szCs w:val="24"/>
              </w:rPr>
              <w:t>I search the internet for course-related materials</w:t>
            </w:r>
          </w:p>
        </w:tc>
        <w:tc>
          <w:tcPr>
            <w:tcW w:w="930" w:type="dxa"/>
            <w:tcBorders>
              <w:top w:val="single" w:sz="2" w:space="0" w:color="000000"/>
              <w:left w:val="single" w:sz="4" w:space="0" w:color="000000"/>
              <w:bottom w:val="single" w:sz="4" w:space="0" w:color="000000"/>
              <w:right w:val="single" w:sz="4" w:space="0" w:color="000000"/>
            </w:tcBorders>
          </w:tcPr>
          <w:p w14:paraId="077390DB"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34" w:type="dxa"/>
            <w:tcBorders>
              <w:top w:val="single" w:sz="2" w:space="0" w:color="000000"/>
              <w:left w:val="single" w:sz="4" w:space="0" w:color="000000"/>
              <w:bottom w:val="single" w:sz="4" w:space="0" w:color="000000"/>
              <w:right w:val="single" w:sz="4" w:space="0" w:color="000000"/>
            </w:tcBorders>
          </w:tcPr>
          <w:p w14:paraId="7788DC4D"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54" w:type="dxa"/>
            <w:tcBorders>
              <w:top w:val="single" w:sz="2" w:space="0" w:color="000000"/>
              <w:left w:val="single" w:sz="4" w:space="0" w:color="000000"/>
              <w:bottom w:val="single" w:sz="4" w:space="0" w:color="000000"/>
              <w:right w:val="single" w:sz="4" w:space="0" w:color="000000"/>
            </w:tcBorders>
          </w:tcPr>
          <w:p w14:paraId="58785F65"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95" w:type="dxa"/>
            <w:tcBorders>
              <w:top w:val="single" w:sz="2" w:space="0" w:color="000000"/>
              <w:left w:val="single" w:sz="4" w:space="0" w:color="000000"/>
              <w:bottom w:val="single" w:sz="4" w:space="0" w:color="000000"/>
              <w:right w:val="single" w:sz="4" w:space="0" w:color="000000"/>
            </w:tcBorders>
          </w:tcPr>
          <w:p w14:paraId="1CF09569"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934" w:type="dxa"/>
            <w:tcBorders>
              <w:top w:val="single" w:sz="2" w:space="0" w:color="000000"/>
              <w:left w:val="single" w:sz="4" w:space="0" w:color="000000"/>
              <w:bottom w:val="single" w:sz="4" w:space="0" w:color="000000"/>
              <w:right w:val="single" w:sz="4" w:space="0" w:color="000000"/>
            </w:tcBorders>
          </w:tcPr>
          <w:p w14:paraId="54A0B050"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r w:rsidR="00B01D46" w14:paraId="2BA7376A" w14:textId="77777777">
        <w:trPr>
          <w:trHeight w:val="528"/>
          <w:jc w:val="center"/>
        </w:trPr>
        <w:tc>
          <w:tcPr>
            <w:tcW w:w="405" w:type="dxa"/>
            <w:tcBorders>
              <w:top w:val="single" w:sz="4" w:space="0" w:color="000000"/>
              <w:left w:val="single" w:sz="4" w:space="0" w:color="000000"/>
              <w:bottom w:val="single" w:sz="4" w:space="0" w:color="000000"/>
              <w:right w:val="single" w:sz="4" w:space="0" w:color="000000"/>
            </w:tcBorders>
          </w:tcPr>
          <w:p w14:paraId="0AA57478"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4 </w:t>
            </w:r>
          </w:p>
        </w:tc>
        <w:tc>
          <w:tcPr>
            <w:tcW w:w="3431" w:type="dxa"/>
            <w:tcBorders>
              <w:top w:val="single" w:sz="4" w:space="0" w:color="000000"/>
              <w:left w:val="single" w:sz="4" w:space="0" w:color="000000"/>
              <w:bottom w:val="single" w:sz="4" w:space="0" w:color="000000"/>
              <w:right w:val="single" w:sz="4" w:space="0" w:color="000000"/>
            </w:tcBorders>
            <w:vAlign w:val="bottom"/>
          </w:tcPr>
          <w:p w14:paraId="0871CC7B"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color w:val="000000"/>
                <w:sz w:val="24"/>
                <w:szCs w:val="24"/>
              </w:rPr>
              <w:t>I use electronic databases with ease to get needed information</w:t>
            </w:r>
          </w:p>
        </w:tc>
        <w:tc>
          <w:tcPr>
            <w:tcW w:w="930" w:type="dxa"/>
            <w:tcBorders>
              <w:top w:val="single" w:sz="4" w:space="0" w:color="000000"/>
              <w:left w:val="single" w:sz="4" w:space="0" w:color="000000"/>
              <w:bottom w:val="single" w:sz="4" w:space="0" w:color="000000"/>
              <w:right w:val="single" w:sz="4" w:space="0" w:color="000000"/>
            </w:tcBorders>
          </w:tcPr>
          <w:p w14:paraId="10BE3698"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34" w:type="dxa"/>
            <w:tcBorders>
              <w:top w:val="single" w:sz="4" w:space="0" w:color="000000"/>
              <w:left w:val="single" w:sz="4" w:space="0" w:color="000000"/>
              <w:bottom w:val="single" w:sz="4" w:space="0" w:color="000000"/>
              <w:right w:val="single" w:sz="4" w:space="0" w:color="000000"/>
            </w:tcBorders>
          </w:tcPr>
          <w:p w14:paraId="6C4129A0"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54" w:type="dxa"/>
            <w:tcBorders>
              <w:top w:val="single" w:sz="4" w:space="0" w:color="000000"/>
              <w:left w:val="single" w:sz="4" w:space="0" w:color="000000"/>
              <w:bottom w:val="single" w:sz="4" w:space="0" w:color="000000"/>
              <w:right w:val="single" w:sz="4" w:space="0" w:color="000000"/>
            </w:tcBorders>
          </w:tcPr>
          <w:p w14:paraId="1AE6D91C"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95" w:type="dxa"/>
            <w:tcBorders>
              <w:top w:val="single" w:sz="4" w:space="0" w:color="000000"/>
              <w:left w:val="single" w:sz="4" w:space="0" w:color="000000"/>
              <w:bottom w:val="single" w:sz="4" w:space="0" w:color="000000"/>
              <w:right w:val="single" w:sz="4" w:space="0" w:color="000000"/>
            </w:tcBorders>
          </w:tcPr>
          <w:p w14:paraId="2523D5EC"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934" w:type="dxa"/>
            <w:tcBorders>
              <w:top w:val="single" w:sz="4" w:space="0" w:color="000000"/>
              <w:left w:val="single" w:sz="4" w:space="0" w:color="000000"/>
              <w:bottom w:val="single" w:sz="4" w:space="0" w:color="000000"/>
              <w:right w:val="single" w:sz="4" w:space="0" w:color="000000"/>
            </w:tcBorders>
          </w:tcPr>
          <w:p w14:paraId="6AD294E6"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r w:rsidR="00B01D46" w14:paraId="0DB97D74" w14:textId="77777777">
        <w:trPr>
          <w:trHeight w:val="523"/>
          <w:jc w:val="center"/>
        </w:trPr>
        <w:tc>
          <w:tcPr>
            <w:tcW w:w="405" w:type="dxa"/>
            <w:tcBorders>
              <w:top w:val="single" w:sz="4" w:space="0" w:color="000000"/>
              <w:left w:val="single" w:sz="4" w:space="0" w:color="000000"/>
              <w:bottom w:val="single" w:sz="4" w:space="0" w:color="000000"/>
              <w:right w:val="single" w:sz="4" w:space="0" w:color="000000"/>
            </w:tcBorders>
          </w:tcPr>
          <w:p w14:paraId="49059AB9"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 xml:space="preserve">5 </w:t>
            </w:r>
          </w:p>
        </w:tc>
        <w:tc>
          <w:tcPr>
            <w:tcW w:w="3431" w:type="dxa"/>
            <w:tcBorders>
              <w:top w:val="single" w:sz="4" w:space="0" w:color="000000"/>
              <w:left w:val="single" w:sz="4" w:space="0" w:color="000000"/>
              <w:bottom w:val="single" w:sz="4" w:space="0" w:color="000000"/>
              <w:right w:val="single" w:sz="4" w:space="0" w:color="000000"/>
            </w:tcBorders>
            <w:vAlign w:val="bottom"/>
          </w:tcPr>
          <w:p w14:paraId="770D9467"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I understand how to evaluate free information on the internet for validity  </w:t>
            </w:r>
          </w:p>
        </w:tc>
        <w:tc>
          <w:tcPr>
            <w:tcW w:w="930" w:type="dxa"/>
            <w:tcBorders>
              <w:top w:val="single" w:sz="4" w:space="0" w:color="000000"/>
              <w:left w:val="single" w:sz="4" w:space="0" w:color="000000"/>
              <w:bottom w:val="single" w:sz="4" w:space="0" w:color="000000"/>
              <w:right w:val="single" w:sz="4" w:space="0" w:color="000000"/>
            </w:tcBorders>
          </w:tcPr>
          <w:p w14:paraId="5F033485"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34" w:type="dxa"/>
            <w:tcBorders>
              <w:top w:val="single" w:sz="4" w:space="0" w:color="000000"/>
              <w:left w:val="single" w:sz="4" w:space="0" w:color="000000"/>
              <w:bottom w:val="single" w:sz="4" w:space="0" w:color="000000"/>
              <w:right w:val="single" w:sz="4" w:space="0" w:color="000000"/>
            </w:tcBorders>
          </w:tcPr>
          <w:p w14:paraId="1902AAF6"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54" w:type="dxa"/>
            <w:tcBorders>
              <w:top w:val="single" w:sz="4" w:space="0" w:color="000000"/>
              <w:left w:val="single" w:sz="4" w:space="0" w:color="000000"/>
              <w:bottom w:val="single" w:sz="4" w:space="0" w:color="000000"/>
              <w:right w:val="single" w:sz="4" w:space="0" w:color="000000"/>
            </w:tcBorders>
          </w:tcPr>
          <w:p w14:paraId="16654E46"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95" w:type="dxa"/>
            <w:tcBorders>
              <w:top w:val="single" w:sz="4" w:space="0" w:color="000000"/>
              <w:left w:val="single" w:sz="4" w:space="0" w:color="000000"/>
              <w:bottom w:val="single" w:sz="4" w:space="0" w:color="000000"/>
              <w:right w:val="single" w:sz="4" w:space="0" w:color="000000"/>
            </w:tcBorders>
          </w:tcPr>
          <w:p w14:paraId="4778A208"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934" w:type="dxa"/>
            <w:tcBorders>
              <w:top w:val="single" w:sz="4" w:space="0" w:color="000000"/>
              <w:left w:val="single" w:sz="4" w:space="0" w:color="000000"/>
              <w:bottom w:val="single" w:sz="4" w:space="0" w:color="000000"/>
              <w:right w:val="single" w:sz="4" w:space="0" w:color="000000"/>
            </w:tcBorders>
          </w:tcPr>
          <w:p w14:paraId="79ECD522"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r w:rsidR="00B01D46" w14:paraId="408C6124" w14:textId="77777777">
        <w:trPr>
          <w:trHeight w:val="523"/>
          <w:jc w:val="center"/>
        </w:trPr>
        <w:tc>
          <w:tcPr>
            <w:tcW w:w="405" w:type="dxa"/>
            <w:tcBorders>
              <w:top w:val="single" w:sz="4" w:space="0" w:color="000000"/>
              <w:left w:val="single" w:sz="4" w:space="0" w:color="000000"/>
              <w:bottom w:val="single" w:sz="4" w:space="0" w:color="000000"/>
              <w:right w:val="single" w:sz="4" w:space="0" w:color="000000"/>
            </w:tcBorders>
          </w:tcPr>
          <w:p w14:paraId="200E879C"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lastRenderedPageBreak/>
              <w:t xml:space="preserve">6 </w:t>
            </w:r>
          </w:p>
        </w:tc>
        <w:tc>
          <w:tcPr>
            <w:tcW w:w="3431" w:type="dxa"/>
            <w:tcBorders>
              <w:top w:val="single" w:sz="4" w:space="0" w:color="000000"/>
              <w:left w:val="single" w:sz="4" w:space="0" w:color="000000"/>
              <w:bottom w:val="single" w:sz="4" w:space="0" w:color="000000"/>
              <w:right w:val="single" w:sz="4" w:space="0" w:color="000000"/>
            </w:tcBorders>
            <w:vAlign w:val="bottom"/>
          </w:tcPr>
          <w:p w14:paraId="6875358D"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color w:val="000000"/>
                <w:sz w:val="24"/>
                <w:szCs w:val="24"/>
              </w:rPr>
              <w:t>Electronic sources are my priority when looking for information</w:t>
            </w:r>
          </w:p>
        </w:tc>
        <w:tc>
          <w:tcPr>
            <w:tcW w:w="930" w:type="dxa"/>
            <w:tcBorders>
              <w:top w:val="single" w:sz="4" w:space="0" w:color="000000"/>
              <w:left w:val="single" w:sz="4" w:space="0" w:color="000000"/>
              <w:bottom w:val="single" w:sz="4" w:space="0" w:color="000000"/>
              <w:right w:val="single" w:sz="4" w:space="0" w:color="000000"/>
            </w:tcBorders>
          </w:tcPr>
          <w:p w14:paraId="73943FCE"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34" w:type="dxa"/>
            <w:tcBorders>
              <w:top w:val="single" w:sz="4" w:space="0" w:color="000000"/>
              <w:left w:val="single" w:sz="4" w:space="0" w:color="000000"/>
              <w:bottom w:val="single" w:sz="4" w:space="0" w:color="000000"/>
              <w:right w:val="single" w:sz="4" w:space="0" w:color="000000"/>
            </w:tcBorders>
          </w:tcPr>
          <w:p w14:paraId="1960BD05"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54" w:type="dxa"/>
            <w:tcBorders>
              <w:top w:val="single" w:sz="4" w:space="0" w:color="000000"/>
              <w:left w:val="single" w:sz="4" w:space="0" w:color="000000"/>
              <w:bottom w:val="single" w:sz="4" w:space="0" w:color="000000"/>
              <w:right w:val="single" w:sz="4" w:space="0" w:color="000000"/>
            </w:tcBorders>
          </w:tcPr>
          <w:p w14:paraId="2F4033F9"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95" w:type="dxa"/>
            <w:tcBorders>
              <w:top w:val="single" w:sz="4" w:space="0" w:color="000000"/>
              <w:left w:val="single" w:sz="4" w:space="0" w:color="000000"/>
              <w:bottom w:val="single" w:sz="4" w:space="0" w:color="000000"/>
              <w:right w:val="single" w:sz="4" w:space="0" w:color="000000"/>
            </w:tcBorders>
          </w:tcPr>
          <w:p w14:paraId="4D16920D"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934" w:type="dxa"/>
            <w:tcBorders>
              <w:top w:val="single" w:sz="4" w:space="0" w:color="000000"/>
              <w:left w:val="single" w:sz="4" w:space="0" w:color="000000"/>
              <w:bottom w:val="single" w:sz="4" w:space="0" w:color="000000"/>
              <w:right w:val="single" w:sz="4" w:space="0" w:color="000000"/>
            </w:tcBorders>
          </w:tcPr>
          <w:p w14:paraId="75EDD835"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r w:rsidR="00B01D46" w14:paraId="43B92B73" w14:textId="77777777">
        <w:trPr>
          <w:trHeight w:val="523"/>
          <w:jc w:val="center"/>
        </w:trPr>
        <w:tc>
          <w:tcPr>
            <w:tcW w:w="405" w:type="dxa"/>
            <w:tcBorders>
              <w:top w:val="single" w:sz="4" w:space="0" w:color="000000"/>
              <w:left w:val="single" w:sz="4" w:space="0" w:color="000000"/>
              <w:bottom w:val="single" w:sz="4" w:space="0" w:color="000000"/>
              <w:right w:val="single" w:sz="4" w:space="0" w:color="000000"/>
            </w:tcBorders>
          </w:tcPr>
          <w:p w14:paraId="64776D87" w14:textId="77777777" w:rsidR="00B01D46" w:rsidRDefault="0067013E">
            <w:pPr>
              <w:spacing w:line="276" w:lineRule="auto"/>
              <w:ind w:left="5"/>
              <w:rPr>
                <w:rFonts w:ascii="Times New Roman" w:hAnsi="Times New Roman" w:cs="Times New Roman"/>
                <w:sz w:val="24"/>
                <w:szCs w:val="24"/>
              </w:rPr>
            </w:pPr>
            <w:r>
              <w:rPr>
                <w:rFonts w:ascii="Times New Roman" w:hAnsi="Times New Roman" w:cs="Times New Roman"/>
                <w:sz w:val="24"/>
                <w:szCs w:val="24"/>
              </w:rPr>
              <w:t>7</w:t>
            </w:r>
          </w:p>
        </w:tc>
        <w:tc>
          <w:tcPr>
            <w:tcW w:w="3431" w:type="dxa"/>
            <w:tcBorders>
              <w:top w:val="single" w:sz="4" w:space="0" w:color="000000"/>
              <w:left w:val="single" w:sz="4" w:space="0" w:color="000000"/>
              <w:bottom w:val="single" w:sz="4" w:space="0" w:color="000000"/>
              <w:right w:val="single" w:sz="4" w:space="0" w:color="000000"/>
            </w:tcBorders>
            <w:vAlign w:val="bottom"/>
          </w:tcPr>
          <w:p w14:paraId="54B1D0DF" w14:textId="77777777" w:rsidR="00B01D46" w:rsidRDefault="0067013E">
            <w:pPr>
              <w:spacing w:line="276" w:lineRule="auto"/>
              <w:rPr>
                <w:rFonts w:ascii="Times New Roman" w:hAnsi="Times New Roman" w:cs="Times New Roman"/>
                <w:sz w:val="24"/>
                <w:szCs w:val="24"/>
              </w:rPr>
            </w:pPr>
            <w:r>
              <w:rPr>
                <w:rFonts w:ascii="Times New Roman" w:hAnsi="Times New Roman" w:cs="Times New Roman"/>
                <w:color w:val="000000"/>
                <w:sz w:val="24"/>
                <w:szCs w:val="24"/>
              </w:rPr>
              <w:t>I can perform data analysis with a computer package</w:t>
            </w:r>
          </w:p>
        </w:tc>
        <w:tc>
          <w:tcPr>
            <w:tcW w:w="930" w:type="dxa"/>
            <w:tcBorders>
              <w:top w:val="single" w:sz="4" w:space="0" w:color="000000"/>
              <w:left w:val="single" w:sz="4" w:space="0" w:color="000000"/>
              <w:bottom w:val="single" w:sz="4" w:space="0" w:color="000000"/>
              <w:right w:val="single" w:sz="4" w:space="0" w:color="000000"/>
            </w:tcBorders>
          </w:tcPr>
          <w:p w14:paraId="44A6EC61"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934" w:type="dxa"/>
            <w:tcBorders>
              <w:top w:val="single" w:sz="4" w:space="0" w:color="000000"/>
              <w:left w:val="single" w:sz="4" w:space="0" w:color="000000"/>
              <w:bottom w:val="single" w:sz="4" w:space="0" w:color="000000"/>
              <w:right w:val="single" w:sz="4" w:space="0" w:color="000000"/>
            </w:tcBorders>
          </w:tcPr>
          <w:p w14:paraId="52C71842"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54" w:type="dxa"/>
            <w:tcBorders>
              <w:top w:val="single" w:sz="4" w:space="0" w:color="000000"/>
              <w:left w:val="single" w:sz="4" w:space="0" w:color="000000"/>
              <w:bottom w:val="single" w:sz="4" w:space="0" w:color="000000"/>
              <w:right w:val="single" w:sz="4" w:space="0" w:color="000000"/>
            </w:tcBorders>
          </w:tcPr>
          <w:p w14:paraId="3AFA7FB5"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695" w:type="dxa"/>
            <w:tcBorders>
              <w:top w:val="single" w:sz="4" w:space="0" w:color="000000"/>
              <w:left w:val="single" w:sz="4" w:space="0" w:color="000000"/>
              <w:bottom w:val="single" w:sz="4" w:space="0" w:color="000000"/>
              <w:right w:val="single" w:sz="4" w:space="0" w:color="000000"/>
            </w:tcBorders>
          </w:tcPr>
          <w:p w14:paraId="37021387"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934" w:type="dxa"/>
            <w:tcBorders>
              <w:top w:val="single" w:sz="4" w:space="0" w:color="000000"/>
              <w:left w:val="single" w:sz="4" w:space="0" w:color="000000"/>
              <w:bottom w:val="single" w:sz="4" w:space="0" w:color="000000"/>
              <w:right w:val="single" w:sz="4" w:space="0" w:color="000000"/>
            </w:tcBorders>
          </w:tcPr>
          <w:p w14:paraId="65B3F489" w14:textId="77777777" w:rsidR="00B01D46" w:rsidRDefault="0067013E">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r>
    </w:tbl>
    <w:p w14:paraId="31C4A209" w14:textId="77777777" w:rsidR="00B01D46" w:rsidRDefault="0067013E">
      <w:pPr>
        <w:pStyle w:val="ListParagraph"/>
        <w:numPr>
          <w:ilvl w:val="0"/>
          <w:numId w:val="22"/>
        </w:numPr>
        <w:spacing w:before="240" w:after="46" w:line="240" w:lineRule="auto"/>
        <w:rPr>
          <w:szCs w:val="24"/>
        </w:rPr>
      </w:pPr>
      <w:r>
        <w:rPr>
          <w:rFonts w:eastAsia="Calibri"/>
          <w:szCs w:val="24"/>
        </w:rPr>
        <w:t>State the various types</w:t>
      </w:r>
      <w:r>
        <w:rPr>
          <w:szCs w:val="24"/>
        </w:rPr>
        <w:t xml:space="preserve"> of ICT tools and devices used for ILS learning and training</w:t>
      </w:r>
    </w:p>
    <w:p w14:paraId="5F890324" w14:textId="77777777" w:rsidR="00B01D46" w:rsidRDefault="0067013E">
      <w:pPr>
        <w:spacing w:after="46" w:line="240" w:lineRule="auto"/>
        <w:ind w:left="720"/>
        <w:rPr>
          <w:rFonts w:ascii="Times New Roman" w:hAnsi="Times New Roman" w:cs="Times New Roman"/>
          <w:sz w:val="24"/>
          <w:szCs w:val="24"/>
        </w:rPr>
      </w:pPr>
      <w:r>
        <w:rPr>
          <w:rFonts w:ascii="Times New Roman" w:hAnsi="Times New Roman" w:cs="Times New Roman"/>
          <w:sz w:val="24"/>
          <w:szCs w:val="24"/>
        </w:rPr>
        <w:t>………………………………………………………………………………………………………………………………………………………………………………………………………………………………………………………………………………………………………………………………………………………………</w:t>
      </w:r>
    </w:p>
    <w:p w14:paraId="264A6E0C" w14:textId="77777777" w:rsidR="00B01D46" w:rsidRDefault="0067013E">
      <w:pPr>
        <w:pStyle w:val="ListParagraph"/>
        <w:numPr>
          <w:ilvl w:val="0"/>
          <w:numId w:val="22"/>
        </w:numPr>
        <w:spacing w:after="46" w:line="240" w:lineRule="auto"/>
        <w:rPr>
          <w:szCs w:val="24"/>
        </w:rPr>
      </w:pPr>
      <w:r>
        <w:rPr>
          <w:szCs w:val="24"/>
        </w:rPr>
        <w:t>Is the ICT infrastructure adequate in your institution?</w:t>
      </w:r>
    </w:p>
    <w:p w14:paraId="106C8067" w14:textId="77777777" w:rsidR="00B01D46" w:rsidRDefault="0067013E">
      <w:pPr>
        <w:pStyle w:val="ListParagraph"/>
        <w:spacing w:after="46" w:line="240" w:lineRule="auto"/>
        <w:ind w:firstLine="0"/>
        <w:rPr>
          <w:szCs w:val="24"/>
        </w:rPr>
      </w:pPr>
      <w:r>
        <w:rPr>
          <w:szCs w:val="24"/>
        </w:rPr>
        <w:t>………………………………………………………………………………………………………………………………………………………………………………………………………………………………………………………………………</w:t>
      </w:r>
    </w:p>
    <w:p w14:paraId="2D86B22E" w14:textId="77777777" w:rsidR="00B01D46" w:rsidRDefault="0067013E">
      <w:pPr>
        <w:pStyle w:val="ListParagraph"/>
        <w:numPr>
          <w:ilvl w:val="0"/>
          <w:numId w:val="22"/>
        </w:numPr>
        <w:spacing w:after="46" w:line="240" w:lineRule="auto"/>
        <w:rPr>
          <w:szCs w:val="24"/>
        </w:rPr>
      </w:pPr>
      <w:r>
        <w:rPr>
          <w:szCs w:val="24"/>
        </w:rPr>
        <w:t>State the ICT challenges hindering ILS learning and training</w:t>
      </w:r>
    </w:p>
    <w:p w14:paraId="236E627C" w14:textId="77777777" w:rsidR="00B01D46" w:rsidRDefault="0067013E">
      <w:pPr>
        <w:pStyle w:val="NormalWeb"/>
        <w:shd w:val="clear" w:color="auto" w:fill="FFFFFF"/>
        <w:tabs>
          <w:tab w:val="left" w:pos="360"/>
        </w:tabs>
        <w:autoSpaceDE w:val="0"/>
        <w:autoSpaceDN w:val="0"/>
        <w:adjustRightInd w:val="0"/>
        <w:spacing w:before="120" w:after="0" w:line="360" w:lineRule="auto"/>
        <w:ind w:left="720"/>
        <w:jc w:val="both"/>
        <w:rPr>
          <w:b/>
        </w:rPr>
      </w:pPr>
      <w:r>
        <w:rPr>
          <w:b/>
        </w:rPr>
        <w:t>(</w:t>
      </w:r>
      <w:r>
        <w:rPr>
          <w:i/>
        </w:rPr>
        <w:t xml:space="preserve">Please </w:t>
      </w:r>
      <w:r>
        <w:rPr>
          <w:b/>
          <w:i/>
        </w:rPr>
        <w:t>CIRCLE</w:t>
      </w:r>
      <w:r>
        <w:rPr>
          <w:i/>
        </w:rPr>
        <w:t xml:space="preserve"> the number beside each statement that </w:t>
      </w:r>
      <w:r>
        <w:rPr>
          <w:b/>
          <w:i/>
        </w:rPr>
        <w:t>most accurately</w:t>
      </w:r>
      <w:r>
        <w:rPr>
          <w:i/>
        </w:rPr>
        <w:t xml:space="preserve"> reflects the extent to which you agree or disagree- meaning:  1 is </w:t>
      </w:r>
      <w:r>
        <w:rPr>
          <w:b/>
          <w:i/>
          <w:u w:val="single" w:color="000000"/>
        </w:rPr>
        <w:t>strongly DISAGREE</w:t>
      </w:r>
      <w:r>
        <w:rPr>
          <w:i/>
        </w:rPr>
        <w:t xml:space="preserve"> and 5 means you </w:t>
      </w:r>
      <w:r>
        <w:rPr>
          <w:b/>
          <w:i/>
          <w:u w:val="single" w:color="000000"/>
        </w:rPr>
        <w:t>Strongly AGREE</w:t>
      </w:r>
      <w:r>
        <w:rPr>
          <w:i/>
        </w:rPr>
        <w:t xml:space="preserve"> with the statement)</w:t>
      </w:r>
    </w:p>
    <w:tbl>
      <w:tblPr>
        <w:tblStyle w:val="TableGrid0"/>
        <w:tblpPr w:leftFromText="180" w:rightFromText="180" w:vertAnchor="text" w:horzAnchor="margin" w:tblpXSpec="center" w:tblpY="98"/>
        <w:tblW w:w="7873" w:type="dxa"/>
        <w:tblInd w:w="0" w:type="dxa"/>
        <w:tblCellMar>
          <w:top w:w="80" w:type="dxa"/>
          <w:left w:w="80" w:type="dxa"/>
          <w:right w:w="115" w:type="dxa"/>
        </w:tblCellMar>
        <w:tblLook w:val="04A0" w:firstRow="1" w:lastRow="0" w:firstColumn="1" w:lastColumn="0" w:noHBand="0" w:noVBand="1"/>
      </w:tblPr>
      <w:tblGrid>
        <w:gridCol w:w="387"/>
        <w:gridCol w:w="2456"/>
        <w:gridCol w:w="1076"/>
        <w:gridCol w:w="1088"/>
        <w:gridCol w:w="982"/>
        <w:gridCol w:w="808"/>
        <w:gridCol w:w="1076"/>
      </w:tblGrid>
      <w:tr w:rsidR="00B01D46" w14:paraId="0398315F" w14:textId="77777777">
        <w:trPr>
          <w:trHeight w:val="20"/>
        </w:trPr>
        <w:tc>
          <w:tcPr>
            <w:tcW w:w="443" w:type="dxa"/>
            <w:tcBorders>
              <w:top w:val="single" w:sz="6" w:space="0" w:color="221F20"/>
              <w:left w:val="single" w:sz="6" w:space="0" w:color="221F20"/>
              <w:bottom w:val="single" w:sz="6" w:space="0" w:color="221F20"/>
              <w:right w:val="single" w:sz="6" w:space="0" w:color="221F20"/>
            </w:tcBorders>
          </w:tcPr>
          <w:p w14:paraId="5CC4E55E" w14:textId="77777777" w:rsidR="00B01D46" w:rsidRDefault="00B01D46">
            <w:pPr>
              <w:spacing w:after="0" w:line="360" w:lineRule="auto"/>
              <w:rPr>
                <w:rFonts w:ascii="Times New Roman" w:hAnsi="Times New Roman" w:cs="Times New Roman"/>
                <w:sz w:val="24"/>
                <w:szCs w:val="24"/>
              </w:rPr>
            </w:pPr>
          </w:p>
        </w:tc>
        <w:tc>
          <w:tcPr>
            <w:tcW w:w="3097" w:type="dxa"/>
            <w:tcBorders>
              <w:top w:val="single" w:sz="6" w:space="0" w:color="221F20"/>
              <w:left w:val="single" w:sz="6" w:space="0" w:color="221F20"/>
              <w:bottom w:val="single" w:sz="6" w:space="0" w:color="221F20"/>
              <w:right w:val="single" w:sz="6" w:space="0" w:color="221F20"/>
            </w:tcBorders>
          </w:tcPr>
          <w:p w14:paraId="08A03B71" w14:textId="77777777" w:rsidR="00B01D46" w:rsidRDefault="0067013E">
            <w:pPr>
              <w:spacing w:after="0" w:line="480" w:lineRule="auto"/>
              <w:ind w:left="311" w:right="8" w:hanging="9"/>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ICT Challenges </w:t>
            </w:r>
          </w:p>
        </w:tc>
        <w:tc>
          <w:tcPr>
            <w:tcW w:w="927" w:type="dxa"/>
            <w:tcBorders>
              <w:top w:val="single" w:sz="6" w:space="0" w:color="221F20"/>
              <w:left w:val="single" w:sz="6" w:space="0" w:color="221F20"/>
              <w:bottom w:val="single" w:sz="6" w:space="0" w:color="221F20"/>
              <w:right w:val="single" w:sz="6" w:space="0" w:color="221F20"/>
            </w:tcBorders>
          </w:tcPr>
          <w:p w14:paraId="06150DEF"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Strongly disagree</w:t>
            </w:r>
          </w:p>
        </w:tc>
        <w:tc>
          <w:tcPr>
            <w:tcW w:w="937" w:type="dxa"/>
            <w:tcBorders>
              <w:top w:val="single" w:sz="6" w:space="0" w:color="221F20"/>
              <w:left w:val="single" w:sz="6" w:space="0" w:color="221F20"/>
              <w:bottom w:val="single" w:sz="6" w:space="0" w:color="221F20"/>
              <w:right w:val="single" w:sz="6" w:space="0" w:color="221F20"/>
            </w:tcBorders>
          </w:tcPr>
          <w:p w14:paraId="70C43FEB"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Disagree </w:t>
            </w:r>
          </w:p>
        </w:tc>
        <w:tc>
          <w:tcPr>
            <w:tcW w:w="846" w:type="dxa"/>
            <w:tcBorders>
              <w:top w:val="single" w:sz="6" w:space="0" w:color="221F20"/>
              <w:left w:val="single" w:sz="6" w:space="0" w:color="221F20"/>
              <w:bottom w:val="single" w:sz="6" w:space="0" w:color="221F20"/>
              <w:right w:val="single" w:sz="6" w:space="0" w:color="221F20"/>
            </w:tcBorders>
          </w:tcPr>
          <w:p w14:paraId="33D5201F"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Neutral </w:t>
            </w:r>
          </w:p>
        </w:tc>
        <w:tc>
          <w:tcPr>
            <w:tcW w:w="696" w:type="dxa"/>
            <w:tcBorders>
              <w:top w:val="single" w:sz="6" w:space="0" w:color="221F20"/>
              <w:left w:val="single" w:sz="6" w:space="0" w:color="221F20"/>
              <w:bottom w:val="single" w:sz="6" w:space="0" w:color="221F20"/>
              <w:right w:val="single" w:sz="6" w:space="0" w:color="221F20"/>
            </w:tcBorders>
          </w:tcPr>
          <w:p w14:paraId="123E0195"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Agree </w:t>
            </w:r>
          </w:p>
        </w:tc>
        <w:tc>
          <w:tcPr>
            <w:tcW w:w="927" w:type="dxa"/>
            <w:tcBorders>
              <w:top w:val="single" w:sz="6" w:space="0" w:color="221F20"/>
              <w:left w:val="single" w:sz="6" w:space="0" w:color="221F20"/>
              <w:bottom w:val="single" w:sz="6" w:space="0" w:color="221F20"/>
              <w:right w:val="single" w:sz="6" w:space="0" w:color="221F20"/>
            </w:tcBorders>
          </w:tcPr>
          <w:p w14:paraId="6FCF6D1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03B0C318" w14:textId="77777777">
        <w:trPr>
          <w:trHeight w:val="20"/>
        </w:trPr>
        <w:tc>
          <w:tcPr>
            <w:tcW w:w="443" w:type="dxa"/>
            <w:tcBorders>
              <w:top w:val="single" w:sz="6" w:space="0" w:color="221F20"/>
              <w:left w:val="single" w:sz="6" w:space="0" w:color="221F20"/>
              <w:bottom w:val="single" w:sz="6" w:space="0" w:color="221F20"/>
              <w:right w:val="single" w:sz="6" w:space="0" w:color="221F20"/>
            </w:tcBorders>
          </w:tcPr>
          <w:p w14:paraId="00AAB74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97" w:type="dxa"/>
            <w:tcBorders>
              <w:top w:val="single" w:sz="6" w:space="0" w:color="221F20"/>
              <w:left w:val="single" w:sz="6" w:space="0" w:color="221F20"/>
              <w:bottom w:val="single" w:sz="6" w:space="0" w:color="221F20"/>
              <w:right w:val="single" w:sz="6" w:space="0" w:color="221F20"/>
            </w:tcBorders>
            <w:vAlign w:val="bottom"/>
          </w:tcPr>
          <w:p w14:paraId="30469169"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Unreliable internet connection and accessibility</w:t>
            </w:r>
          </w:p>
        </w:tc>
        <w:tc>
          <w:tcPr>
            <w:tcW w:w="927" w:type="dxa"/>
            <w:tcBorders>
              <w:top w:val="single" w:sz="6" w:space="0" w:color="221F20"/>
              <w:left w:val="single" w:sz="6" w:space="0" w:color="221F20"/>
              <w:bottom w:val="single" w:sz="6" w:space="0" w:color="221F20"/>
              <w:right w:val="single" w:sz="6" w:space="0" w:color="221F20"/>
            </w:tcBorders>
          </w:tcPr>
          <w:p w14:paraId="1E4548D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37" w:type="dxa"/>
            <w:tcBorders>
              <w:top w:val="single" w:sz="6" w:space="0" w:color="221F20"/>
              <w:left w:val="single" w:sz="6" w:space="0" w:color="221F20"/>
              <w:bottom w:val="single" w:sz="6" w:space="0" w:color="221F20"/>
              <w:right w:val="single" w:sz="6" w:space="0" w:color="221F20"/>
            </w:tcBorders>
          </w:tcPr>
          <w:p w14:paraId="6307D0A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6" w:space="0" w:color="221F20"/>
              <w:left w:val="single" w:sz="6" w:space="0" w:color="221F20"/>
              <w:bottom w:val="single" w:sz="6" w:space="0" w:color="221F20"/>
              <w:right w:val="single" w:sz="6" w:space="0" w:color="221F20"/>
            </w:tcBorders>
          </w:tcPr>
          <w:p w14:paraId="3DDBB05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tcBorders>
              <w:top w:val="single" w:sz="6" w:space="0" w:color="221F20"/>
              <w:left w:val="single" w:sz="6" w:space="0" w:color="221F20"/>
              <w:bottom w:val="single" w:sz="6" w:space="0" w:color="221F20"/>
              <w:right w:val="single" w:sz="6" w:space="0" w:color="221F20"/>
            </w:tcBorders>
          </w:tcPr>
          <w:p w14:paraId="3009589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7" w:type="dxa"/>
            <w:tcBorders>
              <w:top w:val="single" w:sz="6" w:space="0" w:color="221F20"/>
              <w:left w:val="single" w:sz="6" w:space="0" w:color="221F20"/>
              <w:bottom w:val="single" w:sz="6" w:space="0" w:color="221F20"/>
              <w:right w:val="single" w:sz="6" w:space="0" w:color="221F20"/>
            </w:tcBorders>
          </w:tcPr>
          <w:p w14:paraId="7198884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C33685B" w14:textId="77777777">
        <w:trPr>
          <w:trHeight w:val="20"/>
        </w:trPr>
        <w:tc>
          <w:tcPr>
            <w:tcW w:w="443" w:type="dxa"/>
            <w:tcBorders>
              <w:top w:val="single" w:sz="6" w:space="0" w:color="221F20"/>
              <w:left w:val="single" w:sz="6" w:space="0" w:color="221F20"/>
              <w:bottom w:val="single" w:sz="6" w:space="0" w:color="221F20"/>
              <w:right w:val="single" w:sz="6" w:space="0" w:color="221F20"/>
            </w:tcBorders>
          </w:tcPr>
          <w:p w14:paraId="2F39254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97" w:type="dxa"/>
            <w:tcBorders>
              <w:top w:val="single" w:sz="6" w:space="0" w:color="221F20"/>
              <w:left w:val="single" w:sz="6" w:space="0" w:color="221F20"/>
              <w:bottom w:val="single" w:sz="6" w:space="0" w:color="221F20"/>
              <w:right w:val="single" w:sz="6" w:space="0" w:color="221F20"/>
            </w:tcBorders>
            <w:vAlign w:val="bottom"/>
          </w:tcPr>
          <w:p w14:paraId="3E588337"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 xml:space="preserve">Limited ICT tools and infrastructure </w:t>
            </w:r>
          </w:p>
        </w:tc>
        <w:tc>
          <w:tcPr>
            <w:tcW w:w="927" w:type="dxa"/>
            <w:tcBorders>
              <w:top w:val="single" w:sz="6" w:space="0" w:color="221F20"/>
              <w:left w:val="single" w:sz="6" w:space="0" w:color="221F20"/>
              <w:bottom w:val="single" w:sz="6" w:space="0" w:color="221F20"/>
              <w:right w:val="single" w:sz="6" w:space="0" w:color="221F20"/>
            </w:tcBorders>
          </w:tcPr>
          <w:p w14:paraId="64AEAE1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37" w:type="dxa"/>
            <w:tcBorders>
              <w:top w:val="single" w:sz="6" w:space="0" w:color="221F20"/>
              <w:left w:val="single" w:sz="6" w:space="0" w:color="221F20"/>
              <w:bottom w:val="single" w:sz="6" w:space="0" w:color="221F20"/>
              <w:right w:val="single" w:sz="6" w:space="0" w:color="221F20"/>
            </w:tcBorders>
          </w:tcPr>
          <w:p w14:paraId="1C58C14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6" w:space="0" w:color="221F20"/>
              <w:left w:val="single" w:sz="6" w:space="0" w:color="221F20"/>
              <w:bottom w:val="single" w:sz="6" w:space="0" w:color="221F20"/>
              <w:right w:val="single" w:sz="6" w:space="0" w:color="221F20"/>
            </w:tcBorders>
          </w:tcPr>
          <w:p w14:paraId="13FAB6D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tcBorders>
              <w:top w:val="single" w:sz="6" w:space="0" w:color="221F20"/>
              <w:left w:val="single" w:sz="6" w:space="0" w:color="221F20"/>
              <w:bottom w:val="single" w:sz="6" w:space="0" w:color="221F20"/>
              <w:right w:val="single" w:sz="6" w:space="0" w:color="221F20"/>
            </w:tcBorders>
          </w:tcPr>
          <w:p w14:paraId="144593A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7" w:type="dxa"/>
            <w:tcBorders>
              <w:top w:val="single" w:sz="6" w:space="0" w:color="221F20"/>
              <w:left w:val="single" w:sz="6" w:space="0" w:color="221F20"/>
              <w:bottom w:val="single" w:sz="6" w:space="0" w:color="221F20"/>
              <w:right w:val="single" w:sz="6" w:space="0" w:color="221F20"/>
            </w:tcBorders>
          </w:tcPr>
          <w:p w14:paraId="4C3F1C7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1F2E6E45" w14:textId="77777777">
        <w:trPr>
          <w:trHeight w:val="20"/>
        </w:trPr>
        <w:tc>
          <w:tcPr>
            <w:tcW w:w="443" w:type="dxa"/>
            <w:tcBorders>
              <w:top w:val="single" w:sz="6" w:space="0" w:color="221F20"/>
              <w:left w:val="single" w:sz="6" w:space="0" w:color="221F20"/>
              <w:bottom w:val="single" w:sz="6" w:space="0" w:color="221F20"/>
              <w:right w:val="single" w:sz="6" w:space="0" w:color="221F20"/>
            </w:tcBorders>
          </w:tcPr>
          <w:p w14:paraId="4B37393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97" w:type="dxa"/>
            <w:tcBorders>
              <w:top w:val="single" w:sz="6" w:space="0" w:color="221F20"/>
              <w:left w:val="single" w:sz="6" w:space="0" w:color="221F20"/>
              <w:bottom w:val="single" w:sz="6" w:space="0" w:color="221F20"/>
              <w:right w:val="single" w:sz="6" w:space="0" w:color="221F20"/>
            </w:tcBorders>
            <w:vAlign w:val="bottom"/>
          </w:tcPr>
          <w:p w14:paraId="209A9167"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Absence of effectual tutelage (training)</w:t>
            </w:r>
          </w:p>
        </w:tc>
        <w:tc>
          <w:tcPr>
            <w:tcW w:w="927" w:type="dxa"/>
            <w:tcBorders>
              <w:top w:val="single" w:sz="6" w:space="0" w:color="221F20"/>
              <w:left w:val="single" w:sz="6" w:space="0" w:color="221F20"/>
              <w:bottom w:val="single" w:sz="6" w:space="0" w:color="221F20"/>
              <w:right w:val="single" w:sz="6" w:space="0" w:color="221F20"/>
            </w:tcBorders>
          </w:tcPr>
          <w:p w14:paraId="64C8EC8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37" w:type="dxa"/>
            <w:tcBorders>
              <w:top w:val="single" w:sz="6" w:space="0" w:color="221F20"/>
              <w:left w:val="single" w:sz="6" w:space="0" w:color="221F20"/>
              <w:bottom w:val="single" w:sz="6" w:space="0" w:color="221F20"/>
              <w:right w:val="single" w:sz="6" w:space="0" w:color="221F20"/>
            </w:tcBorders>
          </w:tcPr>
          <w:p w14:paraId="0B26647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6" w:space="0" w:color="221F20"/>
              <w:left w:val="single" w:sz="6" w:space="0" w:color="221F20"/>
              <w:bottom w:val="single" w:sz="6" w:space="0" w:color="221F20"/>
              <w:right w:val="single" w:sz="6" w:space="0" w:color="221F20"/>
            </w:tcBorders>
          </w:tcPr>
          <w:p w14:paraId="5AE8DAE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tcBorders>
              <w:top w:val="single" w:sz="6" w:space="0" w:color="221F20"/>
              <w:left w:val="single" w:sz="6" w:space="0" w:color="221F20"/>
              <w:bottom w:val="single" w:sz="6" w:space="0" w:color="221F20"/>
              <w:right w:val="single" w:sz="6" w:space="0" w:color="221F20"/>
            </w:tcBorders>
          </w:tcPr>
          <w:p w14:paraId="3222E08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7" w:type="dxa"/>
            <w:tcBorders>
              <w:top w:val="single" w:sz="6" w:space="0" w:color="221F20"/>
              <w:left w:val="single" w:sz="6" w:space="0" w:color="221F20"/>
              <w:bottom w:val="single" w:sz="6" w:space="0" w:color="221F20"/>
              <w:right w:val="single" w:sz="6" w:space="0" w:color="221F20"/>
            </w:tcBorders>
          </w:tcPr>
          <w:p w14:paraId="7F0C8A9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B1682A9" w14:textId="77777777">
        <w:trPr>
          <w:trHeight w:val="20"/>
        </w:trPr>
        <w:tc>
          <w:tcPr>
            <w:tcW w:w="443" w:type="dxa"/>
            <w:tcBorders>
              <w:top w:val="single" w:sz="6" w:space="0" w:color="221F20"/>
              <w:left w:val="single" w:sz="6" w:space="0" w:color="221F20"/>
              <w:bottom w:val="single" w:sz="6" w:space="0" w:color="221F20"/>
              <w:right w:val="single" w:sz="6" w:space="0" w:color="221F20"/>
            </w:tcBorders>
          </w:tcPr>
          <w:p w14:paraId="5349209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97" w:type="dxa"/>
            <w:tcBorders>
              <w:top w:val="single" w:sz="6" w:space="0" w:color="221F20"/>
              <w:left w:val="single" w:sz="6" w:space="0" w:color="221F20"/>
              <w:bottom w:val="single" w:sz="6" w:space="0" w:color="221F20"/>
              <w:right w:val="single" w:sz="6" w:space="0" w:color="221F20"/>
            </w:tcBorders>
            <w:vAlign w:val="bottom"/>
          </w:tcPr>
          <w:p w14:paraId="3774EED1"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Limited ICT training time</w:t>
            </w:r>
          </w:p>
        </w:tc>
        <w:tc>
          <w:tcPr>
            <w:tcW w:w="927" w:type="dxa"/>
            <w:tcBorders>
              <w:top w:val="single" w:sz="6" w:space="0" w:color="221F20"/>
              <w:left w:val="single" w:sz="6" w:space="0" w:color="221F20"/>
              <w:bottom w:val="single" w:sz="6" w:space="0" w:color="221F20"/>
              <w:right w:val="single" w:sz="6" w:space="0" w:color="221F20"/>
            </w:tcBorders>
          </w:tcPr>
          <w:p w14:paraId="1BFAA23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37" w:type="dxa"/>
            <w:tcBorders>
              <w:top w:val="single" w:sz="6" w:space="0" w:color="221F20"/>
              <w:left w:val="single" w:sz="6" w:space="0" w:color="221F20"/>
              <w:bottom w:val="single" w:sz="6" w:space="0" w:color="221F20"/>
              <w:right w:val="single" w:sz="6" w:space="0" w:color="221F20"/>
            </w:tcBorders>
          </w:tcPr>
          <w:p w14:paraId="792DED1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6" w:space="0" w:color="221F20"/>
              <w:left w:val="single" w:sz="6" w:space="0" w:color="221F20"/>
              <w:bottom w:val="single" w:sz="6" w:space="0" w:color="221F20"/>
              <w:right w:val="single" w:sz="6" w:space="0" w:color="221F20"/>
            </w:tcBorders>
          </w:tcPr>
          <w:p w14:paraId="71EDBF1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tcBorders>
              <w:top w:val="single" w:sz="6" w:space="0" w:color="221F20"/>
              <w:left w:val="single" w:sz="6" w:space="0" w:color="221F20"/>
              <w:bottom w:val="single" w:sz="6" w:space="0" w:color="221F20"/>
              <w:right w:val="single" w:sz="6" w:space="0" w:color="221F20"/>
            </w:tcBorders>
          </w:tcPr>
          <w:p w14:paraId="48C965B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7" w:type="dxa"/>
            <w:tcBorders>
              <w:top w:val="single" w:sz="6" w:space="0" w:color="221F20"/>
              <w:left w:val="single" w:sz="6" w:space="0" w:color="221F20"/>
              <w:bottom w:val="single" w:sz="6" w:space="0" w:color="221F20"/>
              <w:right w:val="single" w:sz="6" w:space="0" w:color="221F20"/>
            </w:tcBorders>
          </w:tcPr>
          <w:p w14:paraId="715027D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3785B5A1" w14:textId="77777777">
        <w:trPr>
          <w:trHeight w:val="20"/>
        </w:trPr>
        <w:tc>
          <w:tcPr>
            <w:tcW w:w="443" w:type="dxa"/>
            <w:tcBorders>
              <w:top w:val="single" w:sz="6" w:space="0" w:color="221F20"/>
              <w:left w:val="single" w:sz="6" w:space="0" w:color="221F20"/>
              <w:bottom w:val="single" w:sz="6" w:space="0" w:color="221F20"/>
              <w:right w:val="single" w:sz="6" w:space="0" w:color="221F20"/>
            </w:tcBorders>
          </w:tcPr>
          <w:p w14:paraId="199F4F8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097" w:type="dxa"/>
            <w:tcBorders>
              <w:top w:val="single" w:sz="6" w:space="0" w:color="221F20"/>
              <w:left w:val="single" w:sz="6" w:space="0" w:color="221F20"/>
              <w:bottom w:val="single" w:sz="6" w:space="0" w:color="221F20"/>
              <w:right w:val="single" w:sz="6" w:space="0" w:color="221F20"/>
            </w:tcBorders>
            <w:vAlign w:val="bottom"/>
          </w:tcPr>
          <w:p w14:paraId="0FBBE357"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color w:val="000000"/>
                <w:sz w:val="24"/>
                <w:szCs w:val="24"/>
              </w:rPr>
              <w:t>Absence of lecturers’ competency</w:t>
            </w:r>
          </w:p>
        </w:tc>
        <w:tc>
          <w:tcPr>
            <w:tcW w:w="927" w:type="dxa"/>
            <w:tcBorders>
              <w:top w:val="single" w:sz="6" w:space="0" w:color="221F20"/>
              <w:left w:val="single" w:sz="6" w:space="0" w:color="221F20"/>
              <w:bottom w:val="single" w:sz="6" w:space="0" w:color="221F20"/>
              <w:right w:val="single" w:sz="6" w:space="0" w:color="221F20"/>
            </w:tcBorders>
          </w:tcPr>
          <w:p w14:paraId="360D318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37" w:type="dxa"/>
            <w:tcBorders>
              <w:top w:val="single" w:sz="6" w:space="0" w:color="221F20"/>
              <w:left w:val="single" w:sz="6" w:space="0" w:color="221F20"/>
              <w:bottom w:val="single" w:sz="6" w:space="0" w:color="221F20"/>
              <w:right w:val="single" w:sz="6" w:space="0" w:color="221F20"/>
            </w:tcBorders>
          </w:tcPr>
          <w:p w14:paraId="33321FB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6" w:space="0" w:color="221F20"/>
              <w:left w:val="single" w:sz="6" w:space="0" w:color="221F20"/>
              <w:bottom w:val="single" w:sz="6" w:space="0" w:color="221F20"/>
              <w:right w:val="single" w:sz="6" w:space="0" w:color="221F20"/>
            </w:tcBorders>
          </w:tcPr>
          <w:p w14:paraId="24F6E21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tcBorders>
              <w:top w:val="single" w:sz="6" w:space="0" w:color="221F20"/>
              <w:left w:val="single" w:sz="6" w:space="0" w:color="221F20"/>
              <w:bottom w:val="single" w:sz="6" w:space="0" w:color="221F20"/>
              <w:right w:val="single" w:sz="6" w:space="0" w:color="221F20"/>
            </w:tcBorders>
          </w:tcPr>
          <w:p w14:paraId="2E4C011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7" w:type="dxa"/>
            <w:tcBorders>
              <w:top w:val="single" w:sz="6" w:space="0" w:color="221F20"/>
              <w:left w:val="single" w:sz="6" w:space="0" w:color="221F20"/>
              <w:bottom w:val="single" w:sz="6" w:space="0" w:color="221F20"/>
              <w:right w:val="single" w:sz="6" w:space="0" w:color="221F20"/>
            </w:tcBorders>
          </w:tcPr>
          <w:p w14:paraId="34D3AC4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3916A60F" w14:textId="77777777">
        <w:trPr>
          <w:trHeight w:val="20"/>
        </w:trPr>
        <w:tc>
          <w:tcPr>
            <w:tcW w:w="443" w:type="dxa"/>
            <w:tcBorders>
              <w:top w:val="single" w:sz="6" w:space="0" w:color="221F20"/>
              <w:left w:val="single" w:sz="6" w:space="0" w:color="221F20"/>
              <w:bottom w:val="single" w:sz="6" w:space="0" w:color="221F20"/>
              <w:right w:val="single" w:sz="6" w:space="0" w:color="221F20"/>
            </w:tcBorders>
          </w:tcPr>
          <w:p w14:paraId="1F95A90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3097" w:type="dxa"/>
            <w:tcBorders>
              <w:top w:val="single" w:sz="6" w:space="0" w:color="221F20"/>
              <w:left w:val="single" w:sz="6" w:space="0" w:color="221F20"/>
              <w:bottom w:val="single" w:sz="6" w:space="0" w:color="221F20"/>
              <w:right w:val="single" w:sz="6" w:space="0" w:color="221F20"/>
            </w:tcBorders>
            <w:vAlign w:val="bottom"/>
          </w:tcPr>
          <w:p w14:paraId="4B82F6BE" w14:textId="77777777" w:rsidR="00B01D46" w:rsidRDefault="0067013E">
            <w:p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Absence of interest among lecturers in technology usage</w:t>
            </w:r>
          </w:p>
        </w:tc>
        <w:tc>
          <w:tcPr>
            <w:tcW w:w="927" w:type="dxa"/>
            <w:tcBorders>
              <w:top w:val="single" w:sz="6" w:space="0" w:color="221F20"/>
              <w:left w:val="single" w:sz="6" w:space="0" w:color="221F20"/>
              <w:bottom w:val="single" w:sz="6" w:space="0" w:color="221F20"/>
              <w:right w:val="single" w:sz="6" w:space="0" w:color="221F20"/>
            </w:tcBorders>
          </w:tcPr>
          <w:p w14:paraId="7A40B88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37" w:type="dxa"/>
            <w:tcBorders>
              <w:top w:val="single" w:sz="6" w:space="0" w:color="221F20"/>
              <w:left w:val="single" w:sz="6" w:space="0" w:color="221F20"/>
              <w:bottom w:val="single" w:sz="6" w:space="0" w:color="221F20"/>
              <w:right w:val="single" w:sz="6" w:space="0" w:color="221F20"/>
            </w:tcBorders>
          </w:tcPr>
          <w:p w14:paraId="1FF312C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46" w:type="dxa"/>
            <w:tcBorders>
              <w:top w:val="single" w:sz="6" w:space="0" w:color="221F20"/>
              <w:left w:val="single" w:sz="6" w:space="0" w:color="221F20"/>
              <w:bottom w:val="single" w:sz="6" w:space="0" w:color="221F20"/>
              <w:right w:val="single" w:sz="6" w:space="0" w:color="221F20"/>
            </w:tcBorders>
          </w:tcPr>
          <w:p w14:paraId="4B23C43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96" w:type="dxa"/>
            <w:tcBorders>
              <w:top w:val="single" w:sz="6" w:space="0" w:color="221F20"/>
              <w:left w:val="single" w:sz="6" w:space="0" w:color="221F20"/>
              <w:bottom w:val="single" w:sz="6" w:space="0" w:color="221F20"/>
              <w:right w:val="single" w:sz="6" w:space="0" w:color="221F20"/>
            </w:tcBorders>
          </w:tcPr>
          <w:p w14:paraId="362C4C9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7" w:type="dxa"/>
            <w:tcBorders>
              <w:top w:val="single" w:sz="6" w:space="0" w:color="221F20"/>
              <w:left w:val="single" w:sz="6" w:space="0" w:color="221F20"/>
              <w:bottom w:val="single" w:sz="6" w:space="0" w:color="221F20"/>
              <w:right w:val="single" w:sz="6" w:space="0" w:color="221F20"/>
            </w:tcBorders>
          </w:tcPr>
          <w:p w14:paraId="5C836DC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34ED6D95" w14:textId="77777777" w:rsidR="00B01D46" w:rsidRDefault="00B01D46">
      <w:pPr>
        <w:pStyle w:val="ListParagraph"/>
        <w:spacing w:after="170" w:line="233" w:lineRule="auto"/>
        <w:ind w:left="0" w:right="754" w:firstLine="0"/>
        <w:jc w:val="left"/>
        <w:rPr>
          <w:rFonts w:eastAsia="Calibri"/>
          <w:b/>
          <w:szCs w:val="24"/>
        </w:rPr>
      </w:pPr>
    </w:p>
    <w:p w14:paraId="1391C8B2" w14:textId="77777777" w:rsidR="00B01D46" w:rsidRDefault="00B01D46">
      <w:pPr>
        <w:pStyle w:val="ListParagraph"/>
        <w:spacing w:after="170" w:line="233" w:lineRule="auto"/>
        <w:ind w:left="0" w:right="754" w:firstLine="0"/>
        <w:jc w:val="left"/>
        <w:rPr>
          <w:rFonts w:eastAsia="Calibri"/>
          <w:b/>
          <w:szCs w:val="24"/>
        </w:rPr>
      </w:pPr>
    </w:p>
    <w:p w14:paraId="5ACD06CA" w14:textId="77777777" w:rsidR="00B01D46" w:rsidRDefault="0067013E">
      <w:pPr>
        <w:pStyle w:val="ListParagraph"/>
        <w:spacing w:after="170" w:line="233" w:lineRule="auto"/>
        <w:ind w:left="0" w:right="65" w:firstLine="0"/>
        <w:rPr>
          <w:b/>
          <w:szCs w:val="24"/>
        </w:rPr>
      </w:pPr>
      <w:r>
        <w:rPr>
          <w:rFonts w:eastAsia="Calibri"/>
          <w:b/>
          <w:szCs w:val="24"/>
        </w:rPr>
        <w:t xml:space="preserve">H. </w:t>
      </w:r>
      <w:r>
        <w:rPr>
          <w:b/>
          <w:szCs w:val="24"/>
        </w:rPr>
        <w:t xml:space="preserve">Challenges faced by the undergraduates in Information Literacy skills learning. </w:t>
      </w:r>
    </w:p>
    <w:p w14:paraId="068A6115" w14:textId="77777777" w:rsidR="00B01D46" w:rsidRDefault="00B01D46">
      <w:pPr>
        <w:pStyle w:val="ListParagraph"/>
        <w:spacing w:after="170" w:line="233" w:lineRule="auto"/>
        <w:ind w:left="0" w:right="754" w:firstLine="0"/>
        <w:rPr>
          <w:b/>
          <w:szCs w:val="24"/>
        </w:rPr>
      </w:pPr>
    </w:p>
    <w:p w14:paraId="05BB131D" w14:textId="77777777" w:rsidR="00B01D46" w:rsidRDefault="00B01D46">
      <w:pPr>
        <w:pStyle w:val="ListParagraph"/>
        <w:spacing w:after="170" w:line="233" w:lineRule="auto"/>
        <w:ind w:left="0" w:right="754" w:firstLine="0"/>
        <w:rPr>
          <w:b/>
          <w:szCs w:val="24"/>
        </w:rPr>
      </w:pPr>
    </w:p>
    <w:p w14:paraId="74D8E0A7" w14:textId="77777777" w:rsidR="00B01D46" w:rsidRDefault="00B01D46">
      <w:pPr>
        <w:pStyle w:val="ListParagraph"/>
        <w:spacing w:after="170" w:line="233" w:lineRule="auto"/>
        <w:ind w:left="0" w:right="754" w:firstLine="0"/>
        <w:jc w:val="left"/>
        <w:rPr>
          <w:szCs w:val="24"/>
        </w:rPr>
      </w:pPr>
    </w:p>
    <w:p w14:paraId="3F2F4B72" w14:textId="77777777" w:rsidR="00B01D46" w:rsidRDefault="0067013E">
      <w:pPr>
        <w:pStyle w:val="ListParagraph"/>
        <w:numPr>
          <w:ilvl w:val="0"/>
          <w:numId w:val="23"/>
        </w:numPr>
        <w:spacing w:after="170" w:line="233" w:lineRule="auto"/>
        <w:ind w:left="450" w:right="754"/>
        <w:jc w:val="left"/>
        <w:rPr>
          <w:szCs w:val="24"/>
        </w:rPr>
      </w:pPr>
      <w:r>
        <w:rPr>
          <w:szCs w:val="24"/>
        </w:rPr>
        <w:t xml:space="preserve">Describe the challenges that medical students face when learning ILS in your institution </w:t>
      </w:r>
    </w:p>
    <w:p w14:paraId="146E3A18" w14:textId="77777777" w:rsidR="00B01D46" w:rsidRDefault="0067013E">
      <w:pPr>
        <w:pStyle w:val="ListParagraph"/>
        <w:spacing w:after="170" w:line="233" w:lineRule="auto"/>
        <w:ind w:left="450" w:right="754" w:firstLine="0"/>
        <w:jc w:val="left"/>
        <w:rPr>
          <w:szCs w:val="24"/>
        </w:rPr>
      </w:pPr>
      <w:r>
        <w:rPr>
          <w:szCs w:val="24"/>
        </w:rPr>
        <w:t>………………………………………………………………………………………………………………………………………………………………………………………………………………………………………………………</w:t>
      </w:r>
    </w:p>
    <w:p w14:paraId="63B770DA" w14:textId="77777777" w:rsidR="00B01D46" w:rsidRDefault="0067013E">
      <w:pPr>
        <w:spacing w:after="170" w:line="233" w:lineRule="auto"/>
        <w:ind w:left="426" w:right="754" w:hanging="426"/>
        <w:rPr>
          <w:rFonts w:ascii="Times New Roman" w:hAnsi="Times New Roman" w:cs="Times New Roman"/>
          <w:sz w:val="24"/>
          <w:szCs w:val="24"/>
        </w:rPr>
      </w:pPr>
      <w:r>
        <w:rPr>
          <w:rFonts w:ascii="Times New Roman" w:hAnsi="Times New Roman" w:cs="Times New Roman"/>
          <w:sz w:val="24"/>
          <w:szCs w:val="24"/>
        </w:rPr>
        <w:t xml:space="preserve"> 2.  </w:t>
      </w:r>
      <w:bookmarkStart w:id="2514" w:name="_Hlk182126424"/>
      <w:r>
        <w:rPr>
          <w:rFonts w:ascii="Times New Roman" w:hAnsi="Times New Roman" w:cs="Times New Roman"/>
          <w:sz w:val="24"/>
          <w:szCs w:val="24"/>
        </w:rPr>
        <w:t>What strategies do you think should be utilized to improve information literacy skills training among medical undergraduate students?</w:t>
      </w:r>
      <w:bookmarkEnd w:id="2514"/>
    </w:p>
    <w:p w14:paraId="0F7135A3" w14:textId="77777777" w:rsidR="00B01D46" w:rsidRDefault="0067013E">
      <w:pPr>
        <w:pStyle w:val="ListParagraph"/>
        <w:spacing w:after="170" w:line="233" w:lineRule="auto"/>
        <w:ind w:left="450" w:right="754" w:firstLine="0"/>
        <w:jc w:val="left"/>
        <w:rPr>
          <w:szCs w:val="24"/>
        </w:rPr>
      </w:pPr>
      <w:r>
        <w:rPr>
          <w:szCs w:val="24"/>
        </w:rPr>
        <w:t>………………………………………………………………………………………………………………………………………………………………………………………………………………………………………………………</w:t>
      </w:r>
    </w:p>
    <w:p w14:paraId="05236AE9" w14:textId="77777777" w:rsidR="00B01D46" w:rsidRDefault="00B01D46">
      <w:pPr>
        <w:spacing w:line="240" w:lineRule="auto"/>
        <w:rPr>
          <w:rFonts w:ascii="Times New Roman" w:hAnsi="Times New Roman" w:cs="Times New Roman"/>
          <w:sz w:val="24"/>
          <w:szCs w:val="24"/>
        </w:rPr>
      </w:pPr>
    </w:p>
    <w:p w14:paraId="3AC92511" w14:textId="77777777" w:rsidR="00B01D46" w:rsidRDefault="0067013E">
      <w:pPr>
        <w:spacing w:line="240" w:lineRule="auto"/>
        <w:jc w:val="center"/>
        <w:rPr>
          <w:rFonts w:ascii="Times New Roman" w:hAnsi="Times New Roman" w:cs="Times New Roman"/>
          <w:sz w:val="24"/>
          <w:szCs w:val="24"/>
        </w:rPr>
      </w:pPr>
      <w:r>
        <w:rPr>
          <w:rFonts w:ascii="Times New Roman" w:hAnsi="Times New Roman" w:cs="Times New Roman"/>
          <w:sz w:val="24"/>
          <w:szCs w:val="24"/>
        </w:rPr>
        <w:t>Thank you for your time and cooperation</w:t>
      </w:r>
    </w:p>
    <w:p w14:paraId="519FCE66" w14:textId="77777777" w:rsidR="00B01D46" w:rsidRDefault="00B01D46">
      <w:pPr>
        <w:rPr>
          <w:rFonts w:ascii="Times New Roman" w:hAnsi="Times New Roman" w:cs="Times New Roman"/>
          <w:sz w:val="24"/>
          <w:szCs w:val="24"/>
        </w:rPr>
      </w:pPr>
    </w:p>
    <w:p w14:paraId="7ABDF4FF" w14:textId="77777777" w:rsidR="00B01D46" w:rsidRDefault="00B01D46">
      <w:pPr>
        <w:pStyle w:val="NormalWeb"/>
        <w:shd w:val="clear" w:color="auto" w:fill="FFFFFF"/>
        <w:tabs>
          <w:tab w:val="left" w:pos="360"/>
        </w:tabs>
        <w:autoSpaceDE w:val="0"/>
        <w:autoSpaceDN w:val="0"/>
        <w:adjustRightInd w:val="0"/>
        <w:spacing w:before="120" w:after="0" w:line="360" w:lineRule="auto"/>
        <w:jc w:val="both"/>
        <w:rPr>
          <w:rFonts w:eastAsia="Calibri"/>
        </w:rPr>
      </w:pPr>
    </w:p>
    <w:p w14:paraId="646CC196" w14:textId="77777777" w:rsidR="00B01D46" w:rsidRDefault="00B01D46">
      <w:pPr>
        <w:pStyle w:val="NormalWeb"/>
        <w:shd w:val="clear" w:color="auto" w:fill="FFFFFF"/>
        <w:tabs>
          <w:tab w:val="left" w:pos="360"/>
        </w:tabs>
        <w:autoSpaceDE w:val="0"/>
        <w:autoSpaceDN w:val="0"/>
        <w:adjustRightInd w:val="0"/>
        <w:spacing w:before="120" w:after="0" w:line="360" w:lineRule="auto"/>
        <w:jc w:val="both"/>
        <w:rPr>
          <w:rFonts w:eastAsia="Calibri"/>
        </w:rPr>
      </w:pPr>
    </w:p>
    <w:p w14:paraId="3B4B8783" w14:textId="77777777" w:rsidR="00B01D46" w:rsidRDefault="0067013E">
      <w:pPr>
        <w:spacing w:after="200" w:line="276" w:lineRule="auto"/>
        <w:rPr>
          <w:rFonts w:ascii="Times New Roman" w:hAnsi="Times New Roman" w:cs="Times New Roman"/>
          <w:b/>
          <w:sz w:val="24"/>
          <w:szCs w:val="24"/>
        </w:rPr>
      </w:pPr>
      <w:bookmarkStart w:id="2515" w:name="_Hlk157345487"/>
      <w:r>
        <w:rPr>
          <w:rFonts w:ascii="Times New Roman" w:hAnsi="Times New Roman" w:cs="Times New Roman"/>
          <w:b/>
          <w:sz w:val="24"/>
          <w:szCs w:val="24"/>
        </w:rPr>
        <w:br w:type="page"/>
      </w:r>
    </w:p>
    <w:p w14:paraId="5B9A7545" w14:textId="77777777" w:rsidR="00B01D46" w:rsidRDefault="0067013E">
      <w:pPr>
        <w:pStyle w:val="Heading2"/>
      </w:pPr>
      <w:bookmarkStart w:id="2516" w:name="_Toc165973228"/>
      <w:bookmarkStart w:id="2517" w:name="_Toc165363576"/>
      <w:bookmarkStart w:id="2518" w:name="_Toc184273031"/>
      <w:bookmarkStart w:id="2519" w:name="_Toc165975949"/>
      <w:bookmarkStart w:id="2520" w:name="_Toc165365350"/>
      <w:bookmarkStart w:id="2521" w:name="_Toc165369384"/>
      <w:r>
        <w:lastRenderedPageBreak/>
        <w:t>Appendix II: Survey Questionnaire for Lecturers</w:t>
      </w:r>
      <w:bookmarkEnd w:id="2516"/>
      <w:bookmarkEnd w:id="2517"/>
      <w:bookmarkEnd w:id="2518"/>
      <w:bookmarkEnd w:id="2519"/>
      <w:bookmarkEnd w:id="2520"/>
      <w:bookmarkEnd w:id="2521"/>
      <w:r>
        <w:t xml:space="preserve"> </w:t>
      </w:r>
    </w:p>
    <w:p w14:paraId="4F91B93F" w14:textId="77777777" w:rsidR="00B01D46" w:rsidRDefault="0067013E">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 </w:t>
      </w:r>
    </w:p>
    <w:p w14:paraId="247C9648" w14:textId="77777777" w:rsidR="00B01D46" w:rsidRDefault="00B01D46">
      <w:pPr>
        <w:spacing w:after="0" w:line="240" w:lineRule="auto"/>
        <w:jc w:val="center"/>
        <w:rPr>
          <w:rFonts w:ascii="Times New Roman" w:hAnsi="Times New Roman" w:cs="Times New Roman"/>
          <w:sz w:val="24"/>
          <w:szCs w:val="24"/>
        </w:rPr>
      </w:pPr>
    </w:p>
    <w:p w14:paraId="5A9E0D50" w14:textId="77777777" w:rsidR="00B01D46" w:rsidRDefault="0067013E">
      <w:pPr>
        <w:pStyle w:val="Default"/>
        <w:rPr>
          <w:b/>
        </w:rPr>
      </w:pPr>
      <w:r>
        <w:rPr>
          <w:b/>
        </w:rPr>
        <w:t xml:space="preserve">Introduction: </w:t>
      </w:r>
    </w:p>
    <w:p w14:paraId="7C71A900" w14:textId="77777777" w:rsidR="00B01D46" w:rsidRDefault="00B01D46">
      <w:pPr>
        <w:pStyle w:val="Default"/>
      </w:pPr>
    </w:p>
    <w:p w14:paraId="2F6D5744" w14:textId="77777777" w:rsidR="00B01D46" w:rsidRDefault="0067013E">
      <w:pPr>
        <w:pStyle w:val="NoSpacing"/>
        <w:ind w:left="9"/>
        <w:rPr>
          <w:rFonts w:ascii="Times New Roman" w:hAnsi="Times New Roman" w:cs="Times New Roman"/>
          <w:b/>
          <w:bCs/>
          <w:sz w:val="24"/>
          <w:szCs w:val="24"/>
        </w:rPr>
      </w:pPr>
      <w:r>
        <w:rPr>
          <w:rFonts w:ascii="Times New Roman" w:hAnsi="Times New Roman" w:cs="Times New Roman"/>
          <w:sz w:val="24"/>
          <w:szCs w:val="24"/>
        </w:rPr>
        <w:t>My name is Evans M. Momanyi, currently a doctoral student in the Department of Library, Records Management and Information Studies, School of Information Sciences student, Moi University, Kenya. I am undertaking a study titled “</w:t>
      </w:r>
      <w:r>
        <w:rPr>
          <w:rFonts w:ascii="Times New Roman" w:hAnsi="Times New Roman" w:cs="Times New Roman"/>
          <w:b/>
          <w:sz w:val="24"/>
          <w:szCs w:val="24"/>
        </w:rPr>
        <w:t>Assessment of Information Literacy Skills of Undergraduate Medical Students in Moi University and University of Nairobi, Kenya</w:t>
      </w:r>
      <w:r>
        <w:rPr>
          <w:rFonts w:ascii="Times New Roman" w:hAnsi="Times New Roman" w:cs="Times New Roman"/>
          <w:b/>
          <w:bCs/>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You have been identified to participate in this study. I therefore, request you to respond to this questionnaire.</w:t>
      </w:r>
      <w:r>
        <w:rPr>
          <w:rFonts w:ascii="Times New Roman" w:hAnsi="Times New Roman" w:cs="Times New Roman"/>
          <w:b/>
          <w:bCs/>
          <w:sz w:val="24"/>
          <w:szCs w:val="24"/>
        </w:rPr>
        <w:t xml:space="preserve"> </w:t>
      </w:r>
    </w:p>
    <w:p w14:paraId="10B9A5B2" w14:textId="77777777" w:rsidR="00B01D46" w:rsidRDefault="00B01D46">
      <w:pPr>
        <w:pStyle w:val="NoSpacing"/>
        <w:ind w:left="9"/>
        <w:rPr>
          <w:rFonts w:ascii="Times New Roman" w:hAnsi="Times New Roman" w:cs="Times New Roman"/>
          <w:b/>
          <w:bCs/>
          <w:sz w:val="24"/>
          <w:szCs w:val="24"/>
        </w:rPr>
      </w:pPr>
    </w:p>
    <w:p w14:paraId="3D1656E9" w14:textId="77777777" w:rsidR="00B01D46" w:rsidRDefault="0067013E">
      <w:pPr>
        <w:pStyle w:val="NoSpacing"/>
        <w:ind w:left="9"/>
        <w:rPr>
          <w:rFonts w:ascii="Times New Roman" w:hAnsi="Times New Roman" w:cs="Times New Roman"/>
          <w:sz w:val="24"/>
          <w:szCs w:val="24"/>
        </w:rPr>
      </w:pPr>
      <w:r>
        <w:rPr>
          <w:rFonts w:ascii="Times New Roman" w:hAnsi="Times New Roman" w:cs="Times New Roman"/>
          <w:sz w:val="24"/>
          <w:szCs w:val="24"/>
        </w:rPr>
        <w:t>The study focuses on assessment of information literacy skills of undergraduate medical students in the selected public universities in Kenya,</w:t>
      </w:r>
      <w:r>
        <w:rPr>
          <w:rFonts w:ascii="Times New Roman" w:hAnsi="Times New Roman" w:cs="Times New Roman"/>
          <w:bCs/>
          <w:sz w:val="24"/>
          <w:szCs w:val="24"/>
        </w:rPr>
        <w:t xml:space="preserve"> with a view, of proposing a framework to enhance </w:t>
      </w:r>
      <w:bookmarkStart w:id="2522" w:name="_Hlk159078716"/>
      <w:r>
        <w:rPr>
          <w:rFonts w:ascii="Times New Roman" w:hAnsi="Times New Roman" w:cs="Times New Roman"/>
          <w:bCs/>
          <w:sz w:val="24"/>
          <w:szCs w:val="24"/>
        </w:rPr>
        <w:t xml:space="preserve">ILS adequacy among undergraduate medical students </w:t>
      </w:r>
      <w:bookmarkEnd w:id="2522"/>
      <w:r>
        <w:rPr>
          <w:rFonts w:ascii="Times New Roman" w:hAnsi="Times New Roman" w:cs="Times New Roman"/>
          <w:bCs/>
          <w:sz w:val="24"/>
          <w:szCs w:val="24"/>
        </w:rPr>
        <w:t xml:space="preserve">of information literacy skills. </w:t>
      </w:r>
      <w:r>
        <w:rPr>
          <w:rFonts w:ascii="Times New Roman" w:hAnsi="Times New Roman" w:cs="Times New Roman"/>
          <w:sz w:val="24"/>
          <w:szCs w:val="24"/>
        </w:rPr>
        <w:t>The research will gather data on the status of information literacy skills among medical undergraduate students,  information literacy skills policy and curricula used in supporting ILS to medical undergraduate students, the perception of staff and medical undergraduate students towards the content and delivery methods of ILS , the role that ICT play in promoting the training and learning of information literacy skills among undergraduate medical students and knowledge and skills possessed by staff in facilitating ILS among medical undergraduate students</w:t>
      </w:r>
    </w:p>
    <w:p w14:paraId="1D10F9CB" w14:textId="77777777" w:rsidR="00B01D46" w:rsidRDefault="00B01D46">
      <w:pPr>
        <w:pStyle w:val="NoSpacing"/>
        <w:ind w:left="9"/>
        <w:rPr>
          <w:rFonts w:ascii="Times New Roman" w:hAnsi="Times New Roman" w:cs="Times New Roman"/>
          <w:b/>
          <w:bCs/>
          <w:sz w:val="24"/>
          <w:szCs w:val="24"/>
        </w:rPr>
      </w:pPr>
    </w:p>
    <w:p w14:paraId="2F4BAFB9" w14:textId="77777777" w:rsidR="00B01D46" w:rsidRDefault="0067013E">
      <w:pPr>
        <w:pStyle w:val="NoSpacing"/>
        <w:ind w:left="9"/>
        <w:rPr>
          <w:rFonts w:ascii="Times New Roman" w:hAnsi="Times New Roman" w:cs="Times New Roman"/>
          <w:sz w:val="24"/>
          <w:szCs w:val="24"/>
        </w:rPr>
      </w:pPr>
      <w:r>
        <w:rPr>
          <w:rFonts w:ascii="Times New Roman" w:hAnsi="Times New Roman" w:cs="Times New Roman"/>
          <w:sz w:val="24"/>
          <w:szCs w:val="24"/>
        </w:rPr>
        <w:t xml:space="preserve">I kindly request your participation in filling this questionnaire to enable me collect data that will address the research problem under investigation. Your responses will be treated with strict confidentiality, and will only be used for the stated academic purpose. Your contribution is highly valued. Please do not hesitate to contact the researcher for clarification on any aspect of this research. </w:t>
      </w:r>
    </w:p>
    <w:p w14:paraId="05A110EC" w14:textId="77777777" w:rsidR="00B01D46" w:rsidRDefault="00B01D46">
      <w:pPr>
        <w:pStyle w:val="NoSpacing"/>
        <w:ind w:left="9"/>
        <w:rPr>
          <w:rFonts w:ascii="Times New Roman" w:hAnsi="Times New Roman" w:cs="Times New Roman"/>
          <w:sz w:val="24"/>
          <w:szCs w:val="24"/>
        </w:rPr>
      </w:pPr>
    </w:p>
    <w:p w14:paraId="0F12D081" w14:textId="77777777" w:rsidR="00B01D46" w:rsidRDefault="0067013E">
      <w:pPr>
        <w:pStyle w:val="NoSpacing"/>
        <w:ind w:left="9"/>
        <w:rPr>
          <w:rFonts w:ascii="Times New Roman" w:hAnsi="Times New Roman" w:cs="Times New Roman"/>
          <w:sz w:val="24"/>
          <w:szCs w:val="24"/>
        </w:rPr>
      </w:pPr>
      <w:r>
        <w:rPr>
          <w:rFonts w:ascii="Times New Roman" w:hAnsi="Times New Roman" w:cs="Times New Roman"/>
          <w:sz w:val="24"/>
          <w:szCs w:val="24"/>
        </w:rPr>
        <w:t xml:space="preserve">Thank you in advance for your time and cooperation. </w:t>
      </w:r>
    </w:p>
    <w:p w14:paraId="5FD5A321" w14:textId="77777777" w:rsidR="00B01D46" w:rsidRDefault="00B01D46">
      <w:pPr>
        <w:pStyle w:val="NoSpacing"/>
        <w:ind w:left="9"/>
        <w:rPr>
          <w:rFonts w:ascii="Times New Roman" w:hAnsi="Times New Roman" w:cs="Times New Roman"/>
          <w:sz w:val="24"/>
          <w:szCs w:val="24"/>
        </w:rPr>
      </w:pPr>
    </w:p>
    <w:p w14:paraId="21E000A8" w14:textId="77777777" w:rsidR="00B01D46" w:rsidRDefault="0067013E">
      <w:pPr>
        <w:pStyle w:val="Default"/>
        <w:jc w:val="both"/>
      </w:pPr>
      <w:r>
        <w:rPr>
          <w:b/>
          <w:bCs/>
        </w:rPr>
        <w:t xml:space="preserve">Evans Motari Momanyi </w:t>
      </w:r>
    </w:p>
    <w:p w14:paraId="2985F471" w14:textId="77777777" w:rsidR="00B01D46" w:rsidRDefault="0067013E">
      <w:pPr>
        <w:pStyle w:val="Default"/>
        <w:jc w:val="both"/>
      </w:pPr>
      <w:r>
        <w:rPr>
          <w:b/>
          <w:bCs/>
        </w:rPr>
        <w:t xml:space="preserve">PhD student (Moi University) </w:t>
      </w:r>
    </w:p>
    <w:p w14:paraId="12FF4A80" w14:textId="77777777" w:rsidR="00B01D46" w:rsidRDefault="0067013E">
      <w:pPr>
        <w:pStyle w:val="Default"/>
        <w:jc w:val="both"/>
      </w:pPr>
      <w:r>
        <w:rPr>
          <w:b/>
          <w:bCs/>
        </w:rPr>
        <w:t xml:space="preserve">E-mail: emotari9@gmail.com </w:t>
      </w:r>
    </w:p>
    <w:p w14:paraId="66D9D3DC" w14:textId="77777777" w:rsidR="00B01D46" w:rsidRDefault="0067013E">
      <w:pPr>
        <w:pStyle w:val="Default"/>
        <w:jc w:val="both"/>
        <w:rPr>
          <w:b/>
          <w:bCs/>
        </w:rPr>
      </w:pPr>
      <w:r>
        <w:rPr>
          <w:b/>
          <w:bCs/>
        </w:rPr>
        <w:t xml:space="preserve">Mobile No.: +254 725 594005 </w:t>
      </w:r>
    </w:p>
    <w:p w14:paraId="4DA18413" w14:textId="77777777" w:rsidR="00B01D46" w:rsidRDefault="00B01D46">
      <w:pPr>
        <w:pStyle w:val="Default"/>
        <w:jc w:val="both"/>
      </w:pPr>
    </w:p>
    <w:p w14:paraId="4854AEFC" w14:textId="77777777" w:rsidR="00B01D46" w:rsidRDefault="00B01D46">
      <w:pPr>
        <w:spacing w:after="122" w:line="240" w:lineRule="auto"/>
        <w:rPr>
          <w:rFonts w:ascii="Times New Roman" w:hAnsi="Times New Roman" w:cs="Times New Roman"/>
          <w:sz w:val="24"/>
          <w:szCs w:val="24"/>
        </w:rPr>
      </w:pPr>
    </w:p>
    <w:p w14:paraId="73C9CA77" w14:textId="77777777" w:rsidR="00B01D46" w:rsidRDefault="0067013E">
      <w:pPr>
        <w:spacing w:after="131" w:line="240" w:lineRule="auto"/>
        <w:ind w:left="-4" w:hanging="10"/>
        <w:rPr>
          <w:rFonts w:ascii="Times New Roman" w:hAnsi="Times New Roman" w:cs="Times New Roman"/>
          <w:sz w:val="24"/>
          <w:szCs w:val="24"/>
        </w:rPr>
      </w:pPr>
      <w:r>
        <w:rPr>
          <w:rFonts w:ascii="Times New Roman" w:hAnsi="Times New Roman" w:cs="Times New Roman"/>
          <w:sz w:val="24"/>
          <w:szCs w:val="24"/>
        </w:rPr>
        <w:t xml:space="preserve">Thank you for your time and contribution to this research.  </w:t>
      </w:r>
    </w:p>
    <w:p w14:paraId="1F693E07" w14:textId="77777777" w:rsidR="00B01D46" w:rsidRDefault="00B01D46">
      <w:pPr>
        <w:spacing w:after="131" w:line="240" w:lineRule="auto"/>
        <w:ind w:left="-4" w:hanging="10"/>
        <w:rPr>
          <w:rFonts w:ascii="Times New Roman" w:hAnsi="Times New Roman" w:cs="Times New Roman"/>
          <w:sz w:val="24"/>
          <w:szCs w:val="24"/>
        </w:rPr>
      </w:pPr>
    </w:p>
    <w:p w14:paraId="237D63B1" w14:textId="77777777" w:rsidR="00B01D46" w:rsidRDefault="00B01D46">
      <w:pPr>
        <w:spacing w:after="131" w:line="240" w:lineRule="auto"/>
        <w:ind w:left="-4" w:hanging="10"/>
        <w:rPr>
          <w:rFonts w:ascii="Times New Roman" w:hAnsi="Times New Roman" w:cs="Times New Roman"/>
          <w:sz w:val="24"/>
          <w:szCs w:val="24"/>
        </w:rPr>
      </w:pPr>
    </w:p>
    <w:p w14:paraId="1C664C47" w14:textId="77777777" w:rsidR="00B01D46" w:rsidRDefault="00B01D46">
      <w:pPr>
        <w:spacing w:after="131" w:line="240" w:lineRule="auto"/>
        <w:ind w:left="-4" w:hanging="10"/>
        <w:rPr>
          <w:rFonts w:ascii="Times New Roman" w:hAnsi="Times New Roman" w:cs="Times New Roman"/>
          <w:sz w:val="24"/>
          <w:szCs w:val="24"/>
        </w:rPr>
      </w:pPr>
    </w:p>
    <w:p w14:paraId="1B890481" w14:textId="77777777" w:rsidR="00B01D46" w:rsidRDefault="00B01D46">
      <w:pPr>
        <w:spacing w:after="131" w:line="240" w:lineRule="auto"/>
        <w:ind w:left="-4" w:hanging="10"/>
        <w:rPr>
          <w:rFonts w:ascii="Times New Roman" w:hAnsi="Times New Roman" w:cs="Times New Roman"/>
          <w:sz w:val="24"/>
          <w:szCs w:val="24"/>
        </w:rPr>
      </w:pPr>
    </w:p>
    <w:p w14:paraId="727E91FE" w14:textId="77777777" w:rsidR="00B01D46" w:rsidRDefault="00B01D46">
      <w:pPr>
        <w:spacing w:after="131" w:line="240" w:lineRule="auto"/>
        <w:ind w:left="-4" w:hanging="10"/>
        <w:rPr>
          <w:rFonts w:ascii="Times New Roman" w:hAnsi="Times New Roman" w:cs="Times New Roman"/>
          <w:sz w:val="24"/>
          <w:szCs w:val="24"/>
        </w:rPr>
      </w:pPr>
    </w:p>
    <w:p w14:paraId="7CB3A1E6" w14:textId="77777777" w:rsidR="00B01D46" w:rsidRDefault="0067013E">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1256F2AA" w14:textId="77777777" w:rsidR="00B01D46" w:rsidRDefault="0067013E">
      <w:pPr>
        <w:spacing w:after="131"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A.  Biographical information </w:t>
      </w:r>
    </w:p>
    <w:p w14:paraId="2CA80BD9" w14:textId="77777777" w:rsidR="00B01D46" w:rsidRDefault="0067013E">
      <w:pPr>
        <w:numPr>
          <w:ilvl w:val="1"/>
          <w:numId w:val="24"/>
        </w:numPr>
        <w:spacing w:after="131" w:line="360" w:lineRule="auto"/>
        <w:ind w:hanging="307"/>
        <w:jc w:val="both"/>
        <w:rPr>
          <w:rFonts w:ascii="Times New Roman" w:hAnsi="Times New Roman" w:cs="Times New Roman"/>
          <w:sz w:val="24"/>
          <w:szCs w:val="24"/>
        </w:rPr>
      </w:pPr>
      <w:r>
        <w:rPr>
          <w:rFonts w:ascii="Times New Roman" w:hAnsi="Times New Roman" w:cs="Times New Roman"/>
          <w:sz w:val="24"/>
          <w:szCs w:val="24"/>
        </w:rPr>
        <w:t xml:space="preserve">Institution…………………………………………………………………..           </w:t>
      </w:r>
    </w:p>
    <w:p w14:paraId="45DB3E20" w14:textId="77777777" w:rsidR="00B01D46" w:rsidRDefault="0067013E">
      <w:pPr>
        <w:numPr>
          <w:ilvl w:val="1"/>
          <w:numId w:val="24"/>
        </w:numPr>
        <w:spacing w:after="131" w:line="360" w:lineRule="auto"/>
        <w:ind w:hanging="307"/>
        <w:jc w:val="both"/>
        <w:rPr>
          <w:rFonts w:ascii="Times New Roman" w:hAnsi="Times New Roman" w:cs="Times New Roman"/>
          <w:sz w:val="24"/>
          <w:szCs w:val="24"/>
        </w:rPr>
      </w:pPr>
      <w:r>
        <w:rPr>
          <w:rFonts w:ascii="Times New Roman" w:hAnsi="Times New Roman" w:cs="Times New Roman"/>
          <w:sz w:val="24"/>
          <w:szCs w:val="24"/>
        </w:rPr>
        <w:t xml:space="preserve">Gender:      [  ] Male        [  ] Female                      </w:t>
      </w:r>
    </w:p>
    <w:p w14:paraId="06EB379B" w14:textId="77777777" w:rsidR="00B01D46" w:rsidRDefault="0067013E">
      <w:pPr>
        <w:numPr>
          <w:ilvl w:val="1"/>
          <w:numId w:val="24"/>
        </w:numPr>
        <w:spacing w:after="131" w:line="360" w:lineRule="auto"/>
        <w:ind w:hanging="307"/>
        <w:jc w:val="both"/>
        <w:rPr>
          <w:rFonts w:ascii="Times New Roman" w:hAnsi="Times New Roman" w:cs="Times New Roman"/>
          <w:sz w:val="24"/>
          <w:szCs w:val="24"/>
        </w:rPr>
      </w:pPr>
      <w:r>
        <w:rPr>
          <w:rFonts w:ascii="Times New Roman" w:hAnsi="Times New Roman" w:cs="Times New Roman"/>
          <w:sz w:val="24"/>
          <w:szCs w:val="24"/>
        </w:rPr>
        <w:t xml:space="preserve">Academic qualifications: [  ] PhD     [  ] Masters    [  ] Bachelors  </w:t>
      </w:r>
    </w:p>
    <w:p w14:paraId="08C0F0F5" w14:textId="77777777" w:rsidR="00B01D46" w:rsidRDefault="0067013E">
      <w:pPr>
        <w:numPr>
          <w:ilvl w:val="1"/>
          <w:numId w:val="24"/>
        </w:numPr>
        <w:spacing w:after="131" w:line="360" w:lineRule="auto"/>
        <w:ind w:hanging="307"/>
        <w:jc w:val="both"/>
        <w:rPr>
          <w:rFonts w:ascii="Times New Roman" w:hAnsi="Times New Roman" w:cs="Times New Roman"/>
          <w:sz w:val="24"/>
          <w:szCs w:val="24"/>
        </w:rPr>
      </w:pPr>
      <w:r>
        <w:rPr>
          <w:rFonts w:ascii="Times New Roman" w:hAnsi="Times New Roman" w:cs="Times New Roman"/>
          <w:sz w:val="24"/>
          <w:szCs w:val="24"/>
        </w:rPr>
        <w:t>Official job title:  …………………………...................................................</w:t>
      </w:r>
    </w:p>
    <w:p w14:paraId="6CE88A98" w14:textId="77777777" w:rsidR="00B01D46" w:rsidRDefault="0067013E">
      <w:pPr>
        <w:numPr>
          <w:ilvl w:val="1"/>
          <w:numId w:val="24"/>
        </w:numPr>
        <w:spacing w:after="131" w:line="360" w:lineRule="auto"/>
        <w:ind w:hanging="307"/>
        <w:jc w:val="both"/>
        <w:rPr>
          <w:rFonts w:ascii="Times New Roman" w:hAnsi="Times New Roman" w:cs="Times New Roman"/>
          <w:sz w:val="24"/>
          <w:szCs w:val="24"/>
        </w:rPr>
      </w:pPr>
      <w:r>
        <w:rPr>
          <w:rFonts w:ascii="Times New Roman" w:hAnsi="Times New Roman" w:cs="Times New Roman"/>
          <w:sz w:val="24"/>
          <w:szCs w:val="24"/>
        </w:rPr>
        <w:t xml:space="preserve">Department………………………………………………………………… </w:t>
      </w:r>
    </w:p>
    <w:p w14:paraId="3019CDC6" w14:textId="77777777" w:rsidR="00B01D46" w:rsidRDefault="0067013E">
      <w:pPr>
        <w:numPr>
          <w:ilvl w:val="1"/>
          <w:numId w:val="24"/>
        </w:numPr>
        <w:spacing w:after="131" w:line="360" w:lineRule="auto"/>
        <w:ind w:hanging="307"/>
        <w:jc w:val="both"/>
        <w:rPr>
          <w:rFonts w:ascii="Times New Roman" w:hAnsi="Times New Roman" w:cs="Times New Roman"/>
          <w:sz w:val="24"/>
          <w:szCs w:val="24"/>
        </w:rPr>
      </w:pPr>
      <w:r>
        <w:rPr>
          <w:rFonts w:ascii="Times New Roman" w:hAnsi="Times New Roman" w:cs="Times New Roman"/>
          <w:sz w:val="24"/>
          <w:szCs w:val="24"/>
        </w:rPr>
        <w:t xml:space="preserve">Work experience:[  ]0-5yrs   [  ]5-10yrs   [  ]10-15yrs  [  ]15-20yrss [  ] over 20yrs </w:t>
      </w:r>
    </w:p>
    <w:p w14:paraId="68F7F5C6" w14:textId="77777777" w:rsidR="00B01D46" w:rsidRDefault="0067013E">
      <w:pPr>
        <w:pStyle w:val="NormalWeb"/>
        <w:shd w:val="clear" w:color="auto" w:fill="FFFFFF"/>
        <w:tabs>
          <w:tab w:val="left" w:pos="360"/>
        </w:tabs>
        <w:autoSpaceDE w:val="0"/>
        <w:autoSpaceDN w:val="0"/>
        <w:adjustRightInd w:val="0"/>
        <w:spacing w:before="120" w:after="0" w:line="360" w:lineRule="auto"/>
        <w:jc w:val="both"/>
        <w:rPr>
          <w:b/>
        </w:rPr>
      </w:pPr>
      <w:r>
        <w:rPr>
          <w:b/>
        </w:rPr>
        <w:t>B.</w:t>
      </w:r>
      <w:r>
        <w:rPr>
          <w:rFonts w:eastAsia="Calibri"/>
          <w:b/>
        </w:rPr>
        <w:t xml:space="preserve"> Information Literacy Skills </w:t>
      </w:r>
      <w:r>
        <w:rPr>
          <w:b/>
        </w:rPr>
        <w:t>among Medical Undergraduate Students</w:t>
      </w:r>
    </w:p>
    <w:p w14:paraId="0B9CACC3" w14:textId="77777777" w:rsidR="00B01D46" w:rsidRDefault="0067013E">
      <w:pPr>
        <w:pStyle w:val="NormalWeb"/>
        <w:shd w:val="clear" w:color="auto" w:fill="FFFFFF"/>
        <w:tabs>
          <w:tab w:val="left" w:pos="360"/>
        </w:tabs>
        <w:autoSpaceDE w:val="0"/>
        <w:autoSpaceDN w:val="0"/>
        <w:adjustRightInd w:val="0"/>
        <w:spacing w:before="120" w:after="0" w:line="360" w:lineRule="auto"/>
        <w:jc w:val="both"/>
      </w:pPr>
      <w:r>
        <w:t xml:space="preserve">What is your opinion on </w:t>
      </w:r>
      <w:r>
        <w:rPr>
          <w:b/>
        </w:rPr>
        <w:t xml:space="preserve">Information Literacy Skills </w:t>
      </w:r>
      <w:r>
        <w:t>competency of the medical Students in your department?</w:t>
      </w:r>
    </w:p>
    <w:p w14:paraId="149C63AC" w14:textId="77777777" w:rsidR="00B01D46" w:rsidRDefault="0067013E">
      <w:pPr>
        <w:pStyle w:val="NormalWeb"/>
        <w:shd w:val="clear" w:color="auto" w:fill="FFFFFF"/>
        <w:tabs>
          <w:tab w:val="left" w:pos="360"/>
        </w:tabs>
        <w:autoSpaceDE w:val="0"/>
        <w:autoSpaceDN w:val="0"/>
        <w:adjustRightInd w:val="0"/>
        <w:spacing w:before="120" w:after="0" w:line="360" w:lineRule="auto"/>
        <w:jc w:val="both"/>
        <w:rPr>
          <w:b/>
        </w:rPr>
      </w:pPr>
      <w:r>
        <w:rPr>
          <w:b/>
        </w:rPr>
        <w:t xml:space="preserve"> (</w:t>
      </w:r>
      <w:r>
        <w:rPr>
          <w:i/>
        </w:rPr>
        <w:t xml:space="preserve">Please </w:t>
      </w:r>
      <w:r>
        <w:rPr>
          <w:b/>
          <w:i/>
        </w:rPr>
        <w:t>CIRCLE</w:t>
      </w:r>
      <w:r>
        <w:rPr>
          <w:i/>
        </w:rPr>
        <w:t xml:space="preserve"> the number beside each statement that </w:t>
      </w:r>
      <w:r>
        <w:rPr>
          <w:b/>
          <w:i/>
        </w:rPr>
        <w:t>most accurately</w:t>
      </w:r>
      <w:r>
        <w:rPr>
          <w:i/>
        </w:rPr>
        <w:t xml:space="preserve"> reflects the extent to which you agree or disagree meaning 1 is </w:t>
      </w:r>
      <w:r>
        <w:rPr>
          <w:b/>
          <w:i/>
          <w:u w:val="single" w:color="000000"/>
        </w:rPr>
        <w:t>strongly DISAGREE</w:t>
      </w:r>
      <w:r>
        <w:rPr>
          <w:i/>
        </w:rPr>
        <w:t xml:space="preserve"> and 5 means you </w:t>
      </w:r>
      <w:r>
        <w:rPr>
          <w:b/>
          <w:i/>
          <w:u w:val="single" w:color="000000"/>
        </w:rPr>
        <w:t>Strongly AGREE</w:t>
      </w:r>
      <w:r>
        <w:rPr>
          <w:i/>
        </w:rPr>
        <w:t xml:space="preserve"> with the statement</w:t>
      </w:r>
      <w:r>
        <w:rPr>
          <w:b/>
          <w:i/>
        </w:rPr>
        <w:t>)</w:t>
      </w:r>
    </w:p>
    <w:tbl>
      <w:tblPr>
        <w:tblStyle w:val="TableGrid0"/>
        <w:tblW w:w="8139" w:type="dxa"/>
        <w:tblInd w:w="0" w:type="dxa"/>
        <w:tblCellMar>
          <w:top w:w="80" w:type="dxa"/>
          <w:left w:w="80" w:type="dxa"/>
          <w:right w:w="115" w:type="dxa"/>
        </w:tblCellMar>
        <w:tblLook w:val="04A0" w:firstRow="1" w:lastRow="0" w:firstColumn="1" w:lastColumn="0" w:noHBand="0" w:noVBand="1"/>
      </w:tblPr>
      <w:tblGrid>
        <w:gridCol w:w="515"/>
        <w:gridCol w:w="2594"/>
        <w:gridCol w:w="1076"/>
        <w:gridCol w:w="1088"/>
        <w:gridCol w:w="982"/>
        <w:gridCol w:w="808"/>
        <w:gridCol w:w="1076"/>
      </w:tblGrid>
      <w:tr w:rsidR="00B01D46" w14:paraId="09160FE7"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4EA8851E" w14:textId="77777777" w:rsidR="00B01D46" w:rsidRDefault="00B01D46">
            <w:pPr>
              <w:spacing w:after="0" w:line="360" w:lineRule="auto"/>
              <w:rPr>
                <w:rFonts w:ascii="Times New Roman" w:hAnsi="Times New Roman" w:cs="Times New Roman"/>
                <w:sz w:val="24"/>
                <w:szCs w:val="24"/>
              </w:rPr>
            </w:pPr>
          </w:p>
        </w:tc>
        <w:tc>
          <w:tcPr>
            <w:tcW w:w="3201" w:type="dxa"/>
            <w:tcBorders>
              <w:top w:val="single" w:sz="6" w:space="0" w:color="221F20"/>
              <w:left w:val="single" w:sz="6" w:space="0" w:color="221F20"/>
              <w:bottom w:val="single" w:sz="6" w:space="0" w:color="221F20"/>
              <w:right w:val="single" w:sz="6" w:space="0" w:color="221F20"/>
            </w:tcBorders>
          </w:tcPr>
          <w:p w14:paraId="32079C40"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b/>
                <w:sz w:val="24"/>
                <w:szCs w:val="24"/>
              </w:rPr>
              <w:t>Information Literacy Skills</w:t>
            </w:r>
          </w:p>
        </w:tc>
        <w:tc>
          <w:tcPr>
            <w:tcW w:w="958" w:type="dxa"/>
            <w:tcBorders>
              <w:top w:val="single" w:sz="6" w:space="0" w:color="221F20"/>
              <w:left w:val="single" w:sz="6" w:space="0" w:color="221F20"/>
              <w:bottom w:val="single" w:sz="6" w:space="0" w:color="221F20"/>
              <w:right w:val="single" w:sz="6" w:space="0" w:color="221F20"/>
            </w:tcBorders>
          </w:tcPr>
          <w:p w14:paraId="6902209C"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Strongly disagree</w:t>
            </w:r>
          </w:p>
        </w:tc>
        <w:tc>
          <w:tcPr>
            <w:tcW w:w="969" w:type="dxa"/>
            <w:tcBorders>
              <w:top w:val="single" w:sz="6" w:space="0" w:color="221F20"/>
              <w:left w:val="single" w:sz="6" w:space="0" w:color="221F20"/>
              <w:bottom w:val="single" w:sz="6" w:space="0" w:color="221F20"/>
              <w:right w:val="single" w:sz="6" w:space="0" w:color="221F20"/>
            </w:tcBorders>
          </w:tcPr>
          <w:p w14:paraId="11A9E6F4"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Disagree </w:t>
            </w:r>
          </w:p>
        </w:tc>
        <w:tc>
          <w:tcPr>
            <w:tcW w:w="875" w:type="dxa"/>
            <w:tcBorders>
              <w:top w:val="single" w:sz="6" w:space="0" w:color="221F20"/>
              <w:left w:val="single" w:sz="6" w:space="0" w:color="221F20"/>
              <w:bottom w:val="single" w:sz="6" w:space="0" w:color="221F20"/>
              <w:right w:val="single" w:sz="6" w:space="0" w:color="221F20"/>
            </w:tcBorders>
          </w:tcPr>
          <w:p w14:paraId="3E0DCFCB"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Neutral </w:t>
            </w:r>
          </w:p>
        </w:tc>
        <w:tc>
          <w:tcPr>
            <w:tcW w:w="720" w:type="dxa"/>
            <w:tcBorders>
              <w:top w:val="single" w:sz="6" w:space="0" w:color="221F20"/>
              <w:left w:val="single" w:sz="6" w:space="0" w:color="221F20"/>
              <w:bottom w:val="single" w:sz="6" w:space="0" w:color="221F20"/>
              <w:right w:val="single" w:sz="6" w:space="0" w:color="221F20"/>
            </w:tcBorders>
          </w:tcPr>
          <w:p w14:paraId="32E97E95"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Agree </w:t>
            </w:r>
          </w:p>
        </w:tc>
        <w:tc>
          <w:tcPr>
            <w:tcW w:w="958" w:type="dxa"/>
            <w:tcBorders>
              <w:top w:val="single" w:sz="6" w:space="0" w:color="221F20"/>
              <w:left w:val="single" w:sz="6" w:space="0" w:color="221F20"/>
              <w:bottom w:val="single" w:sz="6" w:space="0" w:color="221F20"/>
              <w:right w:val="single" w:sz="6" w:space="0" w:color="221F20"/>
            </w:tcBorders>
          </w:tcPr>
          <w:p w14:paraId="42A9D9D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 xml:space="preserve">Strongly agree </w:t>
            </w:r>
          </w:p>
        </w:tc>
      </w:tr>
      <w:tr w:rsidR="00B01D46" w14:paraId="6EF7F2D9"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2E6CD6C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01" w:type="dxa"/>
            <w:tcBorders>
              <w:top w:val="single" w:sz="6" w:space="0" w:color="221F20"/>
              <w:left w:val="single" w:sz="6" w:space="0" w:color="221F20"/>
              <w:bottom w:val="single" w:sz="6" w:space="0" w:color="221F20"/>
              <w:right w:val="single" w:sz="6" w:space="0" w:color="221F20"/>
            </w:tcBorders>
            <w:vAlign w:val="bottom"/>
          </w:tcPr>
          <w:p w14:paraId="207768AE"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can accurately clarify a topic’s concepts.</w:t>
            </w:r>
          </w:p>
        </w:tc>
        <w:tc>
          <w:tcPr>
            <w:tcW w:w="958" w:type="dxa"/>
            <w:tcBorders>
              <w:top w:val="single" w:sz="6" w:space="0" w:color="221F20"/>
              <w:left w:val="single" w:sz="6" w:space="0" w:color="221F20"/>
              <w:bottom w:val="single" w:sz="6" w:space="0" w:color="221F20"/>
              <w:right w:val="single" w:sz="6" w:space="0" w:color="221F20"/>
            </w:tcBorders>
          </w:tcPr>
          <w:p w14:paraId="1FF7A86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7B03BB3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5933658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23CBFA9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63592BF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03C26AC8"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392C6C6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201" w:type="dxa"/>
            <w:tcBorders>
              <w:top w:val="single" w:sz="6" w:space="0" w:color="221F20"/>
              <w:left w:val="single" w:sz="6" w:space="0" w:color="221F20"/>
              <w:bottom w:val="single" w:sz="6" w:space="0" w:color="221F20"/>
              <w:right w:val="single" w:sz="6" w:space="0" w:color="221F20"/>
            </w:tcBorders>
            <w:vAlign w:val="bottom"/>
          </w:tcPr>
          <w:p w14:paraId="7847E277"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understand the need to use the information to undertake an everyday task</w:t>
            </w:r>
          </w:p>
        </w:tc>
        <w:tc>
          <w:tcPr>
            <w:tcW w:w="958" w:type="dxa"/>
            <w:tcBorders>
              <w:top w:val="single" w:sz="6" w:space="0" w:color="221F20"/>
              <w:left w:val="single" w:sz="6" w:space="0" w:color="221F20"/>
              <w:bottom w:val="single" w:sz="6" w:space="0" w:color="221F20"/>
              <w:right w:val="single" w:sz="6" w:space="0" w:color="221F20"/>
            </w:tcBorders>
          </w:tcPr>
          <w:p w14:paraId="78C7E5C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27C677D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03EFE1F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24BBEA4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5816F50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4A722F45"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5487235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201" w:type="dxa"/>
            <w:tcBorders>
              <w:top w:val="single" w:sz="6" w:space="0" w:color="221F20"/>
              <w:left w:val="single" w:sz="6" w:space="0" w:color="221F20"/>
              <w:bottom w:val="single" w:sz="6" w:space="0" w:color="221F20"/>
              <w:right w:val="single" w:sz="6" w:space="0" w:color="221F20"/>
            </w:tcBorders>
            <w:vAlign w:val="bottom"/>
          </w:tcPr>
          <w:p w14:paraId="5F63B2A5"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Students can utilize a variety of reference materials to become </w:t>
            </w:r>
            <w:r>
              <w:rPr>
                <w:rFonts w:ascii="Times New Roman" w:hAnsi="Times New Roman" w:cs="Times New Roman"/>
                <w:sz w:val="24"/>
                <w:szCs w:val="24"/>
              </w:rPr>
              <w:lastRenderedPageBreak/>
              <w:t>more acquainted with a subject</w:t>
            </w:r>
          </w:p>
        </w:tc>
        <w:tc>
          <w:tcPr>
            <w:tcW w:w="958" w:type="dxa"/>
            <w:tcBorders>
              <w:top w:val="single" w:sz="6" w:space="0" w:color="221F20"/>
              <w:left w:val="single" w:sz="6" w:space="0" w:color="221F20"/>
              <w:bottom w:val="single" w:sz="6" w:space="0" w:color="221F20"/>
              <w:right w:val="single" w:sz="6" w:space="0" w:color="221F20"/>
            </w:tcBorders>
          </w:tcPr>
          <w:p w14:paraId="0EC94F5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969" w:type="dxa"/>
            <w:tcBorders>
              <w:top w:val="single" w:sz="6" w:space="0" w:color="221F20"/>
              <w:left w:val="single" w:sz="6" w:space="0" w:color="221F20"/>
              <w:bottom w:val="single" w:sz="6" w:space="0" w:color="221F20"/>
              <w:right w:val="single" w:sz="6" w:space="0" w:color="221F20"/>
            </w:tcBorders>
          </w:tcPr>
          <w:p w14:paraId="5BF4951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5107815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27F8FFF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1680135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332CFE8F"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198C34E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201" w:type="dxa"/>
            <w:tcBorders>
              <w:top w:val="single" w:sz="6" w:space="0" w:color="221F20"/>
              <w:left w:val="single" w:sz="6" w:space="0" w:color="221F20"/>
              <w:bottom w:val="single" w:sz="6" w:space="0" w:color="221F20"/>
              <w:right w:val="single" w:sz="6" w:space="0" w:color="221F20"/>
            </w:tcBorders>
            <w:vAlign w:val="center"/>
          </w:tcPr>
          <w:p w14:paraId="32D706D2"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can choose information materials and abridge them in their own words for their personal use</w:t>
            </w:r>
          </w:p>
        </w:tc>
        <w:tc>
          <w:tcPr>
            <w:tcW w:w="958" w:type="dxa"/>
            <w:tcBorders>
              <w:top w:val="single" w:sz="6" w:space="0" w:color="221F20"/>
              <w:left w:val="single" w:sz="6" w:space="0" w:color="221F20"/>
              <w:bottom w:val="single" w:sz="6" w:space="0" w:color="221F20"/>
              <w:right w:val="single" w:sz="6" w:space="0" w:color="221F20"/>
            </w:tcBorders>
          </w:tcPr>
          <w:p w14:paraId="7E2D6BE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2F91269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6E81D54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05E0ED8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21040B2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220EAF4"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602E858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201" w:type="dxa"/>
            <w:tcBorders>
              <w:top w:val="single" w:sz="6" w:space="0" w:color="221F20"/>
              <w:left w:val="single" w:sz="6" w:space="0" w:color="221F20"/>
              <w:bottom w:val="single" w:sz="6" w:space="0" w:color="221F20"/>
              <w:right w:val="single" w:sz="6" w:space="0" w:color="221F20"/>
            </w:tcBorders>
            <w:vAlign w:val="bottom"/>
          </w:tcPr>
          <w:p w14:paraId="73C61E47"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comprehend the nature of publicly available information on the worldwide web</w:t>
            </w:r>
          </w:p>
        </w:tc>
        <w:tc>
          <w:tcPr>
            <w:tcW w:w="958" w:type="dxa"/>
            <w:tcBorders>
              <w:top w:val="single" w:sz="6" w:space="0" w:color="221F20"/>
              <w:left w:val="single" w:sz="6" w:space="0" w:color="221F20"/>
              <w:bottom w:val="single" w:sz="6" w:space="0" w:color="221F20"/>
              <w:right w:val="single" w:sz="6" w:space="0" w:color="221F20"/>
            </w:tcBorders>
          </w:tcPr>
          <w:p w14:paraId="1284828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008F5A5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1688ABE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14373B3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25E6CBB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DD05081"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63E263D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201" w:type="dxa"/>
            <w:tcBorders>
              <w:top w:val="single" w:sz="6" w:space="0" w:color="221F20"/>
              <w:left w:val="single" w:sz="6" w:space="0" w:color="221F20"/>
              <w:bottom w:val="single" w:sz="6" w:space="0" w:color="221F20"/>
              <w:right w:val="single" w:sz="6" w:space="0" w:color="221F20"/>
            </w:tcBorders>
            <w:vAlign w:val="center"/>
          </w:tcPr>
          <w:p w14:paraId="7F1C7B4A"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am able to capture notes from both print and electronic sources by printing them or storing them to a disc.</w:t>
            </w:r>
          </w:p>
        </w:tc>
        <w:tc>
          <w:tcPr>
            <w:tcW w:w="958" w:type="dxa"/>
            <w:tcBorders>
              <w:top w:val="single" w:sz="6" w:space="0" w:color="221F20"/>
              <w:left w:val="single" w:sz="6" w:space="0" w:color="221F20"/>
              <w:bottom w:val="single" w:sz="6" w:space="0" w:color="221F20"/>
              <w:right w:val="single" w:sz="6" w:space="0" w:color="221F20"/>
            </w:tcBorders>
          </w:tcPr>
          <w:p w14:paraId="02B2C21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1ECDB2A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544C25A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084E9A1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4A7962C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60B61CFA"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2BAD2C4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3201" w:type="dxa"/>
            <w:tcBorders>
              <w:top w:val="single" w:sz="6" w:space="0" w:color="221F20"/>
              <w:left w:val="single" w:sz="6" w:space="0" w:color="221F20"/>
              <w:bottom w:val="single" w:sz="6" w:space="0" w:color="221F20"/>
              <w:right w:val="single" w:sz="6" w:space="0" w:color="221F20"/>
            </w:tcBorders>
            <w:vAlign w:val="bottom"/>
          </w:tcPr>
          <w:p w14:paraId="2D8830E1"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utilize Truncation search techniques</w:t>
            </w:r>
          </w:p>
        </w:tc>
        <w:tc>
          <w:tcPr>
            <w:tcW w:w="958" w:type="dxa"/>
            <w:tcBorders>
              <w:top w:val="single" w:sz="6" w:space="0" w:color="221F20"/>
              <w:left w:val="single" w:sz="6" w:space="0" w:color="221F20"/>
              <w:bottom w:val="single" w:sz="6" w:space="0" w:color="221F20"/>
              <w:right w:val="single" w:sz="6" w:space="0" w:color="221F20"/>
            </w:tcBorders>
          </w:tcPr>
          <w:p w14:paraId="5CC7EB1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7C93033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2EEFF6E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46DEE6B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7046A1B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50C1B0BD"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458291A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201" w:type="dxa"/>
            <w:tcBorders>
              <w:top w:val="single" w:sz="6" w:space="0" w:color="221F20"/>
              <w:left w:val="single" w:sz="6" w:space="0" w:color="221F20"/>
              <w:bottom w:val="single" w:sz="6" w:space="0" w:color="221F20"/>
              <w:right w:val="single" w:sz="6" w:space="0" w:color="221F20"/>
            </w:tcBorders>
            <w:vAlign w:val="bottom"/>
          </w:tcPr>
          <w:p w14:paraId="3D1A0CDB"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utilize Boolean search techniques</w:t>
            </w:r>
          </w:p>
        </w:tc>
        <w:tc>
          <w:tcPr>
            <w:tcW w:w="958" w:type="dxa"/>
            <w:tcBorders>
              <w:top w:val="single" w:sz="6" w:space="0" w:color="221F20"/>
              <w:left w:val="single" w:sz="6" w:space="0" w:color="221F20"/>
              <w:bottom w:val="single" w:sz="6" w:space="0" w:color="221F20"/>
              <w:right w:val="single" w:sz="6" w:space="0" w:color="221F20"/>
            </w:tcBorders>
          </w:tcPr>
          <w:p w14:paraId="2B6C03F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69E06BA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618FA2F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5E6CA74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0959B00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0D6C261C"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31A61A1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201" w:type="dxa"/>
            <w:tcBorders>
              <w:top w:val="single" w:sz="6" w:space="0" w:color="221F20"/>
              <w:left w:val="single" w:sz="6" w:space="0" w:color="221F20"/>
              <w:bottom w:val="single" w:sz="6" w:space="0" w:color="221F20"/>
              <w:right w:val="single" w:sz="6" w:space="0" w:color="221F20"/>
            </w:tcBorders>
            <w:vAlign w:val="bottom"/>
          </w:tcPr>
          <w:p w14:paraId="4C44304F"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can narrow down the internet search by fields.</w:t>
            </w:r>
          </w:p>
        </w:tc>
        <w:tc>
          <w:tcPr>
            <w:tcW w:w="958" w:type="dxa"/>
            <w:tcBorders>
              <w:top w:val="single" w:sz="6" w:space="0" w:color="221F20"/>
              <w:left w:val="single" w:sz="6" w:space="0" w:color="221F20"/>
              <w:bottom w:val="single" w:sz="6" w:space="0" w:color="221F20"/>
              <w:right w:val="single" w:sz="6" w:space="0" w:color="221F20"/>
            </w:tcBorders>
          </w:tcPr>
          <w:p w14:paraId="6EFE30D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28A5C39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7A4E276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2349FA8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681BCBF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311D9E07"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08FECB2E" w14:textId="77777777" w:rsidR="00B01D46" w:rsidRDefault="0067013E">
            <w:pPr>
              <w:spacing w:after="0" w:line="360" w:lineRule="auto"/>
              <w:ind w:left="80"/>
              <w:rPr>
                <w:rFonts w:ascii="Times New Roman" w:hAnsi="Times New Roman" w:cs="Times New Roman"/>
                <w:sz w:val="24"/>
                <w:szCs w:val="24"/>
              </w:rPr>
            </w:pPr>
            <w:r>
              <w:rPr>
                <w:rFonts w:ascii="Times New Roman" w:hAnsi="Times New Roman" w:cs="Times New Roman"/>
                <w:sz w:val="24"/>
                <w:szCs w:val="24"/>
              </w:rPr>
              <w:t>10</w:t>
            </w:r>
          </w:p>
        </w:tc>
        <w:tc>
          <w:tcPr>
            <w:tcW w:w="3201" w:type="dxa"/>
            <w:tcBorders>
              <w:top w:val="single" w:sz="6" w:space="0" w:color="221F20"/>
              <w:left w:val="single" w:sz="6" w:space="0" w:color="221F20"/>
              <w:bottom w:val="single" w:sz="6" w:space="0" w:color="221F20"/>
              <w:right w:val="single" w:sz="6" w:space="0" w:color="221F20"/>
            </w:tcBorders>
            <w:vAlign w:val="bottom"/>
          </w:tcPr>
          <w:p w14:paraId="31C5505F"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utilize a mailing list to find and exchange information</w:t>
            </w:r>
          </w:p>
        </w:tc>
        <w:tc>
          <w:tcPr>
            <w:tcW w:w="958" w:type="dxa"/>
            <w:tcBorders>
              <w:top w:val="single" w:sz="6" w:space="0" w:color="221F20"/>
              <w:left w:val="single" w:sz="6" w:space="0" w:color="221F20"/>
              <w:bottom w:val="single" w:sz="6" w:space="0" w:color="221F20"/>
              <w:right w:val="single" w:sz="6" w:space="0" w:color="221F20"/>
            </w:tcBorders>
          </w:tcPr>
          <w:p w14:paraId="79A909E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64ECCD8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6B94ED3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4B5DFE0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6FE7F7E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0C652F5A"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58442F02" w14:textId="77777777" w:rsidR="00B01D46" w:rsidRDefault="0067013E">
            <w:pPr>
              <w:spacing w:after="0" w:line="360" w:lineRule="auto"/>
              <w:ind w:left="80"/>
              <w:rPr>
                <w:rFonts w:ascii="Times New Roman" w:hAnsi="Times New Roman" w:cs="Times New Roman"/>
                <w:sz w:val="24"/>
                <w:szCs w:val="24"/>
              </w:rPr>
            </w:pPr>
            <w:r>
              <w:rPr>
                <w:rFonts w:ascii="Times New Roman" w:hAnsi="Times New Roman" w:cs="Times New Roman"/>
                <w:sz w:val="24"/>
                <w:szCs w:val="24"/>
              </w:rPr>
              <w:t>11</w:t>
            </w:r>
          </w:p>
        </w:tc>
        <w:tc>
          <w:tcPr>
            <w:tcW w:w="3201" w:type="dxa"/>
            <w:tcBorders>
              <w:top w:val="single" w:sz="6" w:space="0" w:color="221F20"/>
              <w:left w:val="single" w:sz="6" w:space="0" w:color="221F20"/>
              <w:bottom w:val="single" w:sz="6" w:space="0" w:color="221F20"/>
              <w:right w:val="single" w:sz="6" w:space="0" w:color="221F20"/>
            </w:tcBorders>
            <w:vAlign w:val="bottom"/>
          </w:tcPr>
          <w:p w14:paraId="4ACC4FF8"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utilize group discussions to gather and share information</w:t>
            </w:r>
          </w:p>
        </w:tc>
        <w:tc>
          <w:tcPr>
            <w:tcW w:w="958" w:type="dxa"/>
            <w:tcBorders>
              <w:top w:val="single" w:sz="6" w:space="0" w:color="221F20"/>
              <w:left w:val="single" w:sz="6" w:space="0" w:color="221F20"/>
              <w:bottom w:val="single" w:sz="6" w:space="0" w:color="221F20"/>
              <w:right w:val="single" w:sz="6" w:space="0" w:color="221F20"/>
            </w:tcBorders>
          </w:tcPr>
          <w:p w14:paraId="1B24BAA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6B1A7A0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71C8500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2CB4307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17B4C13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76C6A540"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20D65767" w14:textId="77777777" w:rsidR="00B01D46" w:rsidRDefault="0067013E">
            <w:pPr>
              <w:spacing w:after="0" w:line="360" w:lineRule="auto"/>
              <w:ind w:left="80"/>
              <w:rPr>
                <w:rFonts w:ascii="Times New Roman" w:hAnsi="Times New Roman" w:cs="Times New Roman"/>
                <w:sz w:val="24"/>
                <w:szCs w:val="24"/>
              </w:rPr>
            </w:pPr>
            <w:r>
              <w:rPr>
                <w:rFonts w:ascii="Times New Roman" w:hAnsi="Times New Roman" w:cs="Times New Roman"/>
                <w:sz w:val="24"/>
                <w:szCs w:val="24"/>
              </w:rPr>
              <w:lastRenderedPageBreak/>
              <w:t>12</w:t>
            </w:r>
          </w:p>
        </w:tc>
        <w:tc>
          <w:tcPr>
            <w:tcW w:w="3201" w:type="dxa"/>
            <w:tcBorders>
              <w:top w:val="single" w:sz="6" w:space="0" w:color="221F20"/>
              <w:left w:val="single" w:sz="6" w:space="0" w:color="221F20"/>
              <w:bottom w:val="single" w:sz="6" w:space="0" w:color="221F20"/>
              <w:right w:val="single" w:sz="6" w:space="0" w:color="221F20"/>
            </w:tcBorders>
            <w:vAlign w:val="bottom"/>
          </w:tcPr>
          <w:p w14:paraId="59E3DDBD"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utilize newsgroups/online forums to gather and share information</w:t>
            </w:r>
          </w:p>
        </w:tc>
        <w:tc>
          <w:tcPr>
            <w:tcW w:w="958" w:type="dxa"/>
            <w:tcBorders>
              <w:top w:val="single" w:sz="6" w:space="0" w:color="221F20"/>
              <w:left w:val="single" w:sz="6" w:space="0" w:color="221F20"/>
              <w:bottom w:val="single" w:sz="6" w:space="0" w:color="221F20"/>
              <w:right w:val="single" w:sz="6" w:space="0" w:color="221F20"/>
            </w:tcBorders>
          </w:tcPr>
          <w:p w14:paraId="15BE74E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4697823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3D6AFF4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4CCF057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3D12013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6B44513A"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3DBE8083" w14:textId="77777777" w:rsidR="00B01D46" w:rsidRDefault="0067013E">
            <w:pPr>
              <w:spacing w:after="0" w:line="360" w:lineRule="auto"/>
              <w:ind w:left="80"/>
              <w:rPr>
                <w:rFonts w:ascii="Times New Roman" w:hAnsi="Times New Roman" w:cs="Times New Roman"/>
                <w:sz w:val="24"/>
                <w:szCs w:val="24"/>
              </w:rPr>
            </w:pPr>
            <w:r>
              <w:rPr>
                <w:rFonts w:ascii="Times New Roman" w:hAnsi="Times New Roman" w:cs="Times New Roman"/>
                <w:sz w:val="24"/>
                <w:szCs w:val="24"/>
              </w:rPr>
              <w:t>13</w:t>
            </w:r>
          </w:p>
        </w:tc>
        <w:tc>
          <w:tcPr>
            <w:tcW w:w="3201" w:type="dxa"/>
            <w:tcBorders>
              <w:top w:val="single" w:sz="6" w:space="0" w:color="221F20"/>
              <w:left w:val="single" w:sz="6" w:space="0" w:color="221F20"/>
              <w:bottom w:val="single" w:sz="6" w:space="0" w:color="221F20"/>
              <w:right w:val="single" w:sz="6" w:space="0" w:color="221F20"/>
            </w:tcBorders>
            <w:vAlign w:val="bottom"/>
          </w:tcPr>
          <w:p w14:paraId="5054E998"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can recognize accurate and complete information</w:t>
            </w:r>
          </w:p>
        </w:tc>
        <w:tc>
          <w:tcPr>
            <w:tcW w:w="958" w:type="dxa"/>
            <w:tcBorders>
              <w:top w:val="single" w:sz="6" w:space="0" w:color="221F20"/>
              <w:left w:val="single" w:sz="6" w:space="0" w:color="221F20"/>
              <w:bottom w:val="single" w:sz="6" w:space="0" w:color="221F20"/>
              <w:right w:val="single" w:sz="6" w:space="0" w:color="221F20"/>
            </w:tcBorders>
          </w:tcPr>
          <w:p w14:paraId="64925B6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5DC9BA4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1EFB847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32169BA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285F4E1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BAD3DC7"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36ECFBBB" w14:textId="77777777" w:rsidR="00B01D46" w:rsidRDefault="0067013E">
            <w:pPr>
              <w:spacing w:after="0" w:line="360" w:lineRule="auto"/>
              <w:ind w:left="80"/>
              <w:rPr>
                <w:rFonts w:ascii="Times New Roman" w:hAnsi="Times New Roman" w:cs="Times New Roman"/>
                <w:sz w:val="24"/>
                <w:szCs w:val="24"/>
              </w:rPr>
            </w:pPr>
            <w:r>
              <w:rPr>
                <w:rFonts w:ascii="Times New Roman" w:hAnsi="Times New Roman" w:cs="Times New Roman"/>
                <w:sz w:val="24"/>
                <w:szCs w:val="24"/>
              </w:rPr>
              <w:t>14</w:t>
            </w:r>
          </w:p>
        </w:tc>
        <w:tc>
          <w:tcPr>
            <w:tcW w:w="3201" w:type="dxa"/>
            <w:tcBorders>
              <w:top w:val="single" w:sz="6" w:space="0" w:color="221F20"/>
              <w:left w:val="single" w:sz="6" w:space="0" w:color="221F20"/>
              <w:bottom w:val="single" w:sz="6" w:space="0" w:color="221F20"/>
              <w:right w:val="single" w:sz="6" w:space="0" w:color="221F20"/>
            </w:tcBorders>
            <w:vAlign w:val="center"/>
          </w:tcPr>
          <w:p w14:paraId="3C8210DF"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are capable of utilizing acquired information to critically think and solve study related problems.</w:t>
            </w:r>
          </w:p>
        </w:tc>
        <w:tc>
          <w:tcPr>
            <w:tcW w:w="958" w:type="dxa"/>
            <w:tcBorders>
              <w:top w:val="single" w:sz="6" w:space="0" w:color="221F20"/>
              <w:left w:val="single" w:sz="6" w:space="0" w:color="221F20"/>
              <w:bottom w:val="single" w:sz="6" w:space="0" w:color="221F20"/>
              <w:right w:val="single" w:sz="6" w:space="0" w:color="221F20"/>
            </w:tcBorders>
          </w:tcPr>
          <w:p w14:paraId="64CE0FF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5047E94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71CCFB2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5FCB96A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20605BC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666E8F49"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3027D163" w14:textId="77777777" w:rsidR="00B01D46" w:rsidRDefault="0067013E">
            <w:pPr>
              <w:spacing w:after="0" w:line="360" w:lineRule="auto"/>
              <w:ind w:left="80"/>
              <w:rPr>
                <w:rFonts w:ascii="Times New Roman" w:hAnsi="Times New Roman" w:cs="Times New Roman"/>
                <w:sz w:val="24"/>
                <w:szCs w:val="24"/>
              </w:rPr>
            </w:pPr>
            <w:r>
              <w:rPr>
                <w:rFonts w:ascii="Times New Roman" w:hAnsi="Times New Roman" w:cs="Times New Roman"/>
                <w:sz w:val="24"/>
                <w:szCs w:val="24"/>
              </w:rPr>
              <w:t>15</w:t>
            </w:r>
          </w:p>
        </w:tc>
        <w:tc>
          <w:tcPr>
            <w:tcW w:w="3201" w:type="dxa"/>
            <w:tcBorders>
              <w:top w:val="single" w:sz="6" w:space="0" w:color="221F20"/>
              <w:left w:val="single" w:sz="6" w:space="0" w:color="221F20"/>
              <w:bottom w:val="single" w:sz="6" w:space="0" w:color="221F20"/>
              <w:right w:val="single" w:sz="6" w:space="0" w:color="221F20"/>
            </w:tcBorders>
            <w:vAlign w:val="bottom"/>
          </w:tcPr>
          <w:p w14:paraId="0298917E"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can effectively use the library catalog to search for specific library materials</w:t>
            </w:r>
          </w:p>
        </w:tc>
        <w:tc>
          <w:tcPr>
            <w:tcW w:w="958" w:type="dxa"/>
            <w:tcBorders>
              <w:top w:val="single" w:sz="6" w:space="0" w:color="221F20"/>
              <w:left w:val="single" w:sz="6" w:space="0" w:color="221F20"/>
              <w:bottom w:val="single" w:sz="6" w:space="0" w:color="221F20"/>
              <w:right w:val="single" w:sz="6" w:space="0" w:color="221F20"/>
            </w:tcBorders>
          </w:tcPr>
          <w:p w14:paraId="3212500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03954B2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1170040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1156A47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43EFED4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5172381F"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3A7BE333" w14:textId="77777777" w:rsidR="00B01D46" w:rsidRDefault="0067013E">
            <w:pPr>
              <w:spacing w:after="0" w:line="360" w:lineRule="auto"/>
              <w:ind w:left="80"/>
              <w:rPr>
                <w:rFonts w:ascii="Times New Roman" w:hAnsi="Times New Roman" w:cs="Times New Roman"/>
                <w:sz w:val="24"/>
                <w:szCs w:val="24"/>
              </w:rPr>
            </w:pPr>
            <w:r>
              <w:rPr>
                <w:rFonts w:ascii="Times New Roman" w:hAnsi="Times New Roman" w:cs="Times New Roman"/>
                <w:sz w:val="24"/>
                <w:szCs w:val="24"/>
              </w:rPr>
              <w:t>16</w:t>
            </w:r>
          </w:p>
        </w:tc>
        <w:tc>
          <w:tcPr>
            <w:tcW w:w="3201" w:type="dxa"/>
            <w:tcBorders>
              <w:top w:val="single" w:sz="6" w:space="0" w:color="221F20"/>
              <w:left w:val="single" w:sz="6" w:space="0" w:color="221F20"/>
              <w:bottom w:val="single" w:sz="6" w:space="0" w:color="221F20"/>
              <w:right w:val="single" w:sz="6" w:space="0" w:color="221F20"/>
            </w:tcBorders>
            <w:vAlign w:val="bottom"/>
          </w:tcPr>
          <w:p w14:paraId="3DC7E2C9"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can integrate new information into an existing body of knowledge</w:t>
            </w:r>
          </w:p>
        </w:tc>
        <w:tc>
          <w:tcPr>
            <w:tcW w:w="958" w:type="dxa"/>
            <w:tcBorders>
              <w:top w:val="single" w:sz="6" w:space="0" w:color="221F20"/>
              <w:left w:val="single" w:sz="6" w:space="0" w:color="221F20"/>
              <w:bottom w:val="single" w:sz="6" w:space="0" w:color="221F20"/>
              <w:right w:val="single" w:sz="6" w:space="0" w:color="221F20"/>
            </w:tcBorders>
          </w:tcPr>
          <w:p w14:paraId="385408E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0AE604C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3552C42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433BCEE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687E543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0F171C4"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25DFCB30" w14:textId="77777777" w:rsidR="00B01D46" w:rsidRDefault="0067013E">
            <w:pPr>
              <w:spacing w:after="0" w:line="360" w:lineRule="auto"/>
              <w:ind w:left="80"/>
              <w:rPr>
                <w:rFonts w:ascii="Times New Roman" w:hAnsi="Times New Roman" w:cs="Times New Roman"/>
                <w:sz w:val="24"/>
                <w:szCs w:val="24"/>
              </w:rPr>
            </w:pPr>
            <w:r>
              <w:rPr>
                <w:rFonts w:ascii="Times New Roman" w:hAnsi="Times New Roman" w:cs="Times New Roman"/>
                <w:sz w:val="24"/>
                <w:szCs w:val="24"/>
              </w:rPr>
              <w:t>17</w:t>
            </w:r>
          </w:p>
        </w:tc>
        <w:tc>
          <w:tcPr>
            <w:tcW w:w="3201" w:type="dxa"/>
            <w:tcBorders>
              <w:top w:val="single" w:sz="6" w:space="0" w:color="221F20"/>
              <w:left w:val="single" w:sz="6" w:space="0" w:color="221F20"/>
              <w:bottom w:val="single" w:sz="6" w:space="0" w:color="221F20"/>
              <w:right w:val="single" w:sz="6" w:space="0" w:color="221F20"/>
            </w:tcBorders>
            <w:vAlign w:val="bottom"/>
          </w:tcPr>
          <w:p w14:paraId="1582C6AF"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can arrange information for practical use</w:t>
            </w:r>
          </w:p>
        </w:tc>
        <w:tc>
          <w:tcPr>
            <w:tcW w:w="958" w:type="dxa"/>
            <w:tcBorders>
              <w:top w:val="single" w:sz="6" w:space="0" w:color="221F20"/>
              <w:left w:val="single" w:sz="6" w:space="0" w:color="221F20"/>
              <w:bottom w:val="single" w:sz="6" w:space="0" w:color="221F20"/>
              <w:right w:val="single" w:sz="6" w:space="0" w:color="221F20"/>
            </w:tcBorders>
          </w:tcPr>
          <w:p w14:paraId="550CDDA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69A0EED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5DF89D4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25B5A1F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4412D13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7C532A89"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69A641EB" w14:textId="77777777" w:rsidR="00B01D46" w:rsidRDefault="0067013E">
            <w:pPr>
              <w:spacing w:after="0" w:line="360" w:lineRule="auto"/>
              <w:ind w:left="80"/>
              <w:rPr>
                <w:rFonts w:ascii="Times New Roman" w:hAnsi="Times New Roman" w:cs="Times New Roman"/>
                <w:sz w:val="24"/>
                <w:szCs w:val="24"/>
              </w:rPr>
            </w:pPr>
            <w:r>
              <w:rPr>
                <w:rFonts w:ascii="Times New Roman" w:hAnsi="Times New Roman" w:cs="Times New Roman"/>
                <w:sz w:val="24"/>
                <w:szCs w:val="24"/>
              </w:rPr>
              <w:t>18</w:t>
            </w:r>
          </w:p>
        </w:tc>
        <w:tc>
          <w:tcPr>
            <w:tcW w:w="3201" w:type="dxa"/>
            <w:tcBorders>
              <w:top w:val="single" w:sz="6" w:space="0" w:color="221F20"/>
              <w:left w:val="single" w:sz="6" w:space="0" w:color="221F20"/>
              <w:bottom w:val="single" w:sz="6" w:space="0" w:color="221F20"/>
              <w:right w:val="single" w:sz="6" w:space="0" w:color="221F20"/>
            </w:tcBorders>
            <w:vAlign w:val="bottom"/>
          </w:tcPr>
          <w:p w14:paraId="2A3BCCC8"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utilize web addresses for internet searching</w:t>
            </w:r>
          </w:p>
        </w:tc>
        <w:tc>
          <w:tcPr>
            <w:tcW w:w="958" w:type="dxa"/>
            <w:tcBorders>
              <w:top w:val="single" w:sz="6" w:space="0" w:color="221F20"/>
              <w:left w:val="single" w:sz="6" w:space="0" w:color="221F20"/>
              <w:bottom w:val="single" w:sz="6" w:space="0" w:color="221F20"/>
              <w:right w:val="single" w:sz="6" w:space="0" w:color="221F20"/>
            </w:tcBorders>
          </w:tcPr>
          <w:p w14:paraId="532BEA8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56D0F6A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2993A56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203C815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4C3A86D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0E39A2A0" w14:textId="77777777">
        <w:trPr>
          <w:trHeight w:val="20"/>
        </w:trPr>
        <w:tc>
          <w:tcPr>
            <w:tcW w:w="458" w:type="dxa"/>
            <w:tcBorders>
              <w:top w:val="single" w:sz="6" w:space="0" w:color="221F20"/>
              <w:left w:val="single" w:sz="6" w:space="0" w:color="221F20"/>
              <w:bottom w:val="single" w:sz="6" w:space="0" w:color="221F20"/>
              <w:right w:val="single" w:sz="6" w:space="0" w:color="221F20"/>
            </w:tcBorders>
          </w:tcPr>
          <w:p w14:paraId="1D93BA77" w14:textId="77777777" w:rsidR="00B01D46" w:rsidRDefault="0067013E">
            <w:pPr>
              <w:spacing w:after="0" w:line="360" w:lineRule="auto"/>
              <w:ind w:left="80"/>
              <w:rPr>
                <w:rFonts w:ascii="Times New Roman" w:hAnsi="Times New Roman" w:cs="Times New Roman"/>
                <w:sz w:val="24"/>
                <w:szCs w:val="24"/>
              </w:rPr>
            </w:pPr>
            <w:r>
              <w:rPr>
                <w:rFonts w:ascii="Times New Roman" w:hAnsi="Times New Roman" w:cs="Times New Roman"/>
                <w:sz w:val="24"/>
                <w:szCs w:val="24"/>
              </w:rPr>
              <w:t>19</w:t>
            </w:r>
          </w:p>
        </w:tc>
        <w:tc>
          <w:tcPr>
            <w:tcW w:w="3201" w:type="dxa"/>
            <w:tcBorders>
              <w:top w:val="single" w:sz="6" w:space="0" w:color="221F20"/>
              <w:left w:val="single" w:sz="6" w:space="0" w:color="221F20"/>
              <w:bottom w:val="single" w:sz="6" w:space="0" w:color="221F20"/>
              <w:right w:val="single" w:sz="6" w:space="0" w:color="221F20"/>
            </w:tcBorders>
            <w:vAlign w:val="bottom"/>
          </w:tcPr>
          <w:p w14:paraId="476521E6" w14:textId="77777777" w:rsidR="00B01D46" w:rsidRDefault="0067013E">
            <w:pPr>
              <w:spacing w:after="0" w:line="360" w:lineRule="auto"/>
              <w:rPr>
                <w:rFonts w:ascii="Times New Roman" w:hAnsi="Times New Roman" w:cs="Times New Roman"/>
                <w:sz w:val="24"/>
                <w:szCs w:val="24"/>
              </w:rPr>
            </w:pPr>
            <w:r>
              <w:rPr>
                <w:rFonts w:ascii="Times New Roman" w:hAnsi="Times New Roman" w:cs="Times New Roman"/>
                <w:sz w:val="24"/>
                <w:szCs w:val="24"/>
              </w:rPr>
              <w:t>Students utilize information ethically and legally</w:t>
            </w:r>
          </w:p>
        </w:tc>
        <w:tc>
          <w:tcPr>
            <w:tcW w:w="958" w:type="dxa"/>
            <w:tcBorders>
              <w:top w:val="single" w:sz="6" w:space="0" w:color="221F20"/>
              <w:left w:val="single" w:sz="6" w:space="0" w:color="221F20"/>
              <w:bottom w:val="single" w:sz="6" w:space="0" w:color="221F20"/>
              <w:right w:val="single" w:sz="6" w:space="0" w:color="221F20"/>
            </w:tcBorders>
          </w:tcPr>
          <w:p w14:paraId="0DD2570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9" w:type="dxa"/>
            <w:tcBorders>
              <w:top w:val="single" w:sz="6" w:space="0" w:color="221F20"/>
              <w:left w:val="single" w:sz="6" w:space="0" w:color="221F20"/>
              <w:bottom w:val="single" w:sz="6" w:space="0" w:color="221F20"/>
              <w:right w:val="single" w:sz="6" w:space="0" w:color="221F20"/>
            </w:tcBorders>
          </w:tcPr>
          <w:p w14:paraId="5960DB7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5" w:type="dxa"/>
            <w:tcBorders>
              <w:top w:val="single" w:sz="6" w:space="0" w:color="221F20"/>
              <w:left w:val="single" w:sz="6" w:space="0" w:color="221F20"/>
              <w:bottom w:val="single" w:sz="6" w:space="0" w:color="221F20"/>
              <w:right w:val="single" w:sz="6" w:space="0" w:color="221F20"/>
            </w:tcBorders>
          </w:tcPr>
          <w:p w14:paraId="73D13C9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Borders>
              <w:top w:val="single" w:sz="6" w:space="0" w:color="221F20"/>
              <w:left w:val="single" w:sz="6" w:space="0" w:color="221F20"/>
              <w:bottom w:val="single" w:sz="6" w:space="0" w:color="221F20"/>
              <w:right w:val="single" w:sz="6" w:space="0" w:color="221F20"/>
            </w:tcBorders>
          </w:tcPr>
          <w:p w14:paraId="3D0EB2E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8" w:type="dxa"/>
            <w:tcBorders>
              <w:top w:val="single" w:sz="6" w:space="0" w:color="221F20"/>
              <w:left w:val="single" w:sz="6" w:space="0" w:color="221F20"/>
              <w:bottom w:val="single" w:sz="6" w:space="0" w:color="221F20"/>
              <w:right w:val="single" w:sz="6" w:space="0" w:color="221F20"/>
            </w:tcBorders>
          </w:tcPr>
          <w:p w14:paraId="77F1B1A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54207BE9" w14:textId="77777777" w:rsidR="00B01D46" w:rsidRDefault="00B01D46">
      <w:pPr>
        <w:rPr>
          <w:rFonts w:ascii="Times New Roman" w:hAnsi="Times New Roman" w:cs="Times New Roman"/>
          <w:b/>
          <w:bCs/>
          <w:sz w:val="24"/>
          <w:szCs w:val="24"/>
        </w:rPr>
      </w:pPr>
      <w:bookmarkStart w:id="2523" w:name="_Toc164664159"/>
    </w:p>
    <w:p w14:paraId="7D3E84CA" w14:textId="77777777" w:rsidR="00B01D46" w:rsidRDefault="0067013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62792FD8" w14:textId="77777777" w:rsidR="00B01D46" w:rsidRDefault="0067013E">
      <w:pPr>
        <w:jc w:val="both"/>
        <w:rPr>
          <w:rFonts w:ascii="Times New Roman" w:hAnsi="Times New Roman" w:cs="Times New Roman"/>
          <w:b/>
          <w:bCs/>
          <w:sz w:val="24"/>
          <w:szCs w:val="24"/>
        </w:rPr>
      </w:pPr>
      <w:r>
        <w:rPr>
          <w:rFonts w:ascii="Times New Roman" w:hAnsi="Times New Roman" w:cs="Times New Roman"/>
          <w:b/>
          <w:bCs/>
          <w:sz w:val="24"/>
          <w:szCs w:val="24"/>
        </w:rPr>
        <w:lastRenderedPageBreak/>
        <w:t>C.</w:t>
      </w:r>
      <w:r>
        <w:rPr>
          <w:rFonts w:ascii="Times New Roman" w:eastAsia="Calibri" w:hAnsi="Times New Roman" w:cs="Times New Roman"/>
          <w:b/>
          <w:bCs/>
          <w:sz w:val="24"/>
          <w:szCs w:val="24"/>
        </w:rPr>
        <w:t xml:space="preserve"> </w:t>
      </w:r>
      <w:r>
        <w:rPr>
          <w:rFonts w:ascii="Times New Roman" w:hAnsi="Times New Roman" w:cs="Times New Roman"/>
          <w:b/>
          <w:bCs/>
          <w:sz w:val="24"/>
          <w:szCs w:val="24"/>
        </w:rPr>
        <w:t>ILS policy and curricula supporting delivery of   ILS to medical undergraduate students</w:t>
      </w:r>
      <w:bookmarkEnd w:id="2523"/>
    </w:p>
    <w:p w14:paraId="5E2D520D" w14:textId="77777777" w:rsidR="00B01D46" w:rsidRDefault="0067013E">
      <w:pPr>
        <w:numPr>
          <w:ilvl w:val="0"/>
          <w:numId w:val="25"/>
        </w:numPr>
        <w:spacing w:after="131" w:line="360" w:lineRule="auto"/>
        <w:ind w:hanging="33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FB6AAD1" wp14:editId="7DC3F4E1">
                <wp:simplePos x="0" y="0"/>
                <wp:positionH relativeFrom="column">
                  <wp:posOffset>866775</wp:posOffset>
                </wp:positionH>
                <wp:positionV relativeFrom="paragraph">
                  <wp:posOffset>346710</wp:posOffset>
                </wp:positionV>
                <wp:extent cx="260985" cy="177800"/>
                <wp:effectExtent l="0" t="0" r="5715" b="0"/>
                <wp:wrapNone/>
                <wp:docPr id="50695284" name="Rectangle 2"/>
                <wp:cNvGraphicFramePr/>
                <a:graphic xmlns:a="http://schemas.openxmlformats.org/drawingml/2006/main">
                  <a:graphicData uri="http://schemas.microsoft.com/office/word/2010/wordprocessingShape">
                    <wps:wsp>
                      <wps:cNvSpPr/>
                      <wps:spPr>
                        <a:xfrm>
                          <a:off x="0" y="0"/>
                          <a:ext cx="260985" cy="177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D602416" w14:textId="77777777" w:rsidR="00B01D46" w:rsidRDefault="00B01D4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FB6AAD1" id="Rectangle 2" o:spid="_x0000_s1026" style="position:absolute;left:0;text-align:left;margin-left:68.25pt;margin-top:27.3pt;width:20.55pt;height:1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" fillcolor="white [3201]" strokecolor="#f79646 [3209]" strokeweight="2pt">
                <v:textbox>
                  <w:txbxContent>
                    <w:p w14:paraId="0D602416" w14:textId="77777777" w:rsidR="00B01D46" w:rsidRDefault="00B01D46">
                      <w:pPr>
                        <w:jc w:val="center"/>
                      </w:pPr>
                    </w:p>
                  </w:txbxContent>
                </v:textbox>
              </v:rect>
            </w:pict>
          </mc:Fallback>
        </mc:AlternateContent>
      </w:r>
      <w:r>
        <w:rPr>
          <w:rFonts w:ascii="Times New Roman" w:hAnsi="Times New Roman" w:cs="Times New Roman"/>
          <w:sz w:val="24"/>
          <w:szCs w:val="24"/>
        </w:rPr>
        <w:t xml:space="preserve">Does your institution have a formal ILS policy? </w:t>
      </w:r>
    </w:p>
    <w:p w14:paraId="0BB19BBC" w14:textId="77777777" w:rsidR="00B01D46" w:rsidRDefault="0067013E">
      <w:pPr>
        <w:spacing w:after="131" w:line="360" w:lineRule="auto"/>
        <w:ind w:left="677"/>
        <w:rPr>
          <w:rFonts w:ascii="Times New Roman" w:hAnsi="Times New Roman" w:cs="Times New Roman"/>
          <w:sz w:val="24"/>
          <w:szCs w:val="24"/>
        </w:rPr>
      </w:pPr>
      <w:r>
        <w:rPr>
          <w:rFonts w:ascii="Times New Roman" w:hAnsi="Times New Roman" w:cs="Times New Roman"/>
          <w:sz w:val="24"/>
          <w:szCs w:val="24"/>
        </w:rPr>
        <w:t>Yes</w:t>
      </w:r>
    </w:p>
    <w:p w14:paraId="37B03B10" w14:textId="77777777" w:rsidR="00B01D46" w:rsidRDefault="0067013E">
      <w:pPr>
        <w:spacing w:after="131" w:line="360" w:lineRule="auto"/>
        <w:ind w:left="677"/>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1965D96" wp14:editId="60913B73">
                <wp:simplePos x="0" y="0"/>
                <wp:positionH relativeFrom="column">
                  <wp:posOffset>874395</wp:posOffset>
                </wp:positionH>
                <wp:positionV relativeFrom="paragraph">
                  <wp:posOffset>31115</wp:posOffset>
                </wp:positionV>
                <wp:extent cx="260985" cy="177800"/>
                <wp:effectExtent l="0" t="0" r="5715" b="0"/>
                <wp:wrapNone/>
                <wp:docPr id="372759309" name="Rectangle 1"/>
                <wp:cNvGraphicFramePr/>
                <a:graphic xmlns:a="http://schemas.openxmlformats.org/drawingml/2006/main">
                  <a:graphicData uri="http://schemas.microsoft.com/office/word/2010/wordprocessingShape">
                    <wps:wsp>
                      <wps:cNvSpPr/>
                      <wps:spPr>
                        <a:xfrm>
                          <a:off x="0" y="0"/>
                          <a:ext cx="260985" cy="177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8EC7C58" w14:textId="77777777" w:rsidR="00B01D46" w:rsidRDefault="00B01D4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1965D96" id="Rectangle 1" o:spid="_x0000_s1027" style="position:absolute;left:0;text-align:left;margin-left:68.85pt;margin-top:2.45pt;width:20.55pt;height:1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" fillcolor="white [3201]" strokecolor="#f79646 [3209]" strokeweight="2pt">
                <v:textbox>
                  <w:txbxContent>
                    <w:p w14:paraId="28EC7C58" w14:textId="77777777" w:rsidR="00B01D46" w:rsidRDefault="00B01D46">
                      <w:pPr>
                        <w:jc w:val="center"/>
                      </w:pPr>
                    </w:p>
                  </w:txbxContent>
                </v:textbox>
              </v:rect>
            </w:pict>
          </mc:Fallback>
        </mc:AlternateContent>
      </w:r>
      <w:r>
        <w:rPr>
          <w:rFonts w:ascii="Times New Roman" w:hAnsi="Times New Roman" w:cs="Times New Roman"/>
          <w:sz w:val="24"/>
          <w:szCs w:val="24"/>
        </w:rPr>
        <w:t xml:space="preserve">No </w:t>
      </w:r>
    </w:p>
    <w:p w14:paraId="7ED69E63" w14:textId="77777777" w:rsidR="00B01D46" w:rsidRDefault="00B01D46">
      <w:pPr>
        <w:spacing w:after="131" w:line="360" w:lineRule="auto"/>
        <w:ind w:left="677"/>
        <w:rPr>
          <w:rFonts w:ascii="Times New Roman" w:hAnsi="Times New Roman" w:cs="Times New Roman"/>
          <w:sz w:val="24"/>
          <w:szCs w:val="24"/>
        </w:rPr>
      </w:pPr>
    </w:p>
    <w:p w14:paraId="0A874A68" w14:textId="77777777" w:rsidR="00B01D46" w:rsidRDefault="0067013E">
      <w:pPr>
        <w:numPr>
          <w:ilvl w:val="0"/>
          <w:numId w:val="25"/>
        </w:numPr>
        <w:spacing w:after="131" w:line="360" w:lineRule="auto"/>
        <w:ind w:hanging="336"/>
        <w:jc w:val="both"/>
        <w:rPr>
          <w:rFonts w:ascii="Times New Roman" w:hAnsi="Times New Roman" w:cs="Times New Roman"/>
          <w:sz w:val="24"/>
          <w:szCs w:val="24"/>
        </w:rPr>
      </w:pPr>
      <w:r>
        <w:rPr>
          <w:rFonts w:ascii="Times New Roman" w:hAnsi="Times New Roman" w:cs="Times New Roman"/>
          <w:sz w:val="24"/>
          <w:szCs w:val="24"/>
        </w:rPr>
        <w:t>If yes, what areas does the ILS policy cover?</w:t>
      </w:r>
    </w:p>
    <w:p w14:paraId="033E36CD" w14:textId="77777777" w:rsidR="00B01D46" w:rsidRDefault="0067013E">
      <w:pPr>
        <w:spacing w:after="131" w:line="360" w:lineRule="auto"/>
        <w:ind w:left="677"/>
        <w:rPr>
          <w:rFonts w:ascii="Times New Roman" w:hAnsi="Times New Roman" w:cs="Times New Roman"/>
          <w:sz w:val="24"/>
          <w:szCs w:val="24"/>
        </w:rPr>
      </w:pPr>
      <w:r>
        <w:rPr>
          <w:rFonts w:ascii="Times New Roman" w:hAnsi="Times New Roman" w:cs="Times New Roman"/>
          <w:sz w:val="24"/>
          <w:szCs w:val="24"/>
        </w:rPr>
        <w:t>………………………………………………………………………………………………………………………………………………………………………………………………………………………………………………………………………………………………………………</w:t>
      </w:r>
    </w:p>
    <w:p w14:paraId="04C900BC" w14:textId="77777777" w:rsidR="00B01D46" w:rsidRDefault="0067013E">
      <w:pPr>
        <w:pStyle w:val="ListParagraph"/>
        <w:numPr>
          <w:ilvl w:val="0"/>
          <w:numId w:val="25"/>
        </w:numPr>
        <w:spacing w:after="131" w:line="355" w:lineRule="auto"/>
        <w:ind w:left="360"/>
        <w:rPr>
          <w:szCs w:val="24"/>
        </w:rPr>
      </w:pPr>
      <w:r>
        <w:rPr>
          <w:szCs w:val="24"/>
        </w:rPr>
        <w:t xml:space="preserve">Briefly state the procedure of formulating the ILS policy </w:t>
      </w:r>
    </w:p>
    <w:p w14:paraId="2E2DF0DC" w14:textId="77777777" w:rsidR="00B01D46" w:rsidRDefault="0067013E">
      <w:pPr>
        <w:pStyle w:val="ListParagraph"/>
        <w:spacing w:after="131" w:line="355" w:lineRule="auto"/>
        <w:ind w:left="677" w:firstLine="0"/>
        <w:rPr>
          <w:szCs w:val="24"/>
        </w:rPr>
      </w:pPr>
      <w:r>
        <w:rPr>
          <w:szCs w:val="24"/>
        </w:rPr>
        <w:t>………………………………………………………………………………………………………………………………………………………………………………………………………………………………………………………………………</w:t>
      </w:r>
    </w:p>
    <w:p w14:paraId="337DFA1C" w14:textId="77777777" w:rsidR="00B01D46" w:rsidRDefault="0067013E">
      <w:pPr>
        <w:numPr>
          <w:ilvl w:val="0"/>
          <w:numId w:val="25"/>
        </w:numPr>
        <w:spacing w:after="131" w:line="360" w:lineRule="auto"/>
        <w:ind w:hanging="336"/>
        <w:jc w:val="both"/>
        <w:rPr>
          <w:rFonts w:ascii="Times New Roman" w:hAnsi="Times New Roman" w:cs="Times New Roman"/>
          <w:sz w:val="24"/>
          <w:szCs w:val="24"/>
        </w:rPr>
      </w:pPr>
      <w:r>
        <w:rPr>
          <w:rFonts w:ascii="Times New Roman" w:hAnsi="Times New Roman" w:cs="Times New Roman"/>
          <w:sz w:val="24"/>
          <w:szCs w:val="24"/>
        </w:rPr>
        <w:t>Comment on the implementation of the ILS policy</w:t>
      </w:r>
    </w:p>
    <w:p w14:paraId="02F0D8BC" w14:textId="77777777" w:rsidR="00B01D46" w:rsidRDefault="0067013E">
      <w:pPr>
        <w:spacing w:after="131" w:line="360" w:lineRule="auto"/>
        <w:ind w:left="677"/>
        <w:rPr>
          <w:rFonts w:ascii="Times New Roman" w:hAnsi="Times New Roman" w:cs="Times New Roman"/>
          <w:sz w:val="24"/>
          <w:szCs w:val="24"/>
        </w:rPr>
      </w:pPr>
      <w:r>
        <w:rPr>
          <w:rFonts w:ascii="Times New Roman" w:hAnsi="Times New Roman" w:cs="Times New Roman"/>
          <w:sz w:val="24"/>
          <w:szCs w:val="24"/>
        </w:rPr>
        <w:t>………………………………………………………………………………………………………………………………………………………………………………………………………………………………………………………………………</w:t>
      </w:r>
    </w:p>
    <w:p w14:paraId="6CB743E0" w14:textId="77777777" w:rsidR="00B01D46" w:rsidRDefault="0067013E">
      <w:pPr>
        <w:numPr>
          <w:ilvl w:val="0"/>
          <w:numId w:val="25"/>
        </w:numPr>
        <w:spacing w:after="131" w:line="360" w:lineRule="auto"/>
        <w:ind w:hanging="336"/>
        <w:jc w:val="both"/>
        <w:rPr>
          <w:rFonts w:ascii="Times New Roman" w:hAnsi="Times New Roman" w:cs="Times New Roman"/>
          <w:sz w:val="24"/>
          <w:szCs w:val="24"/>
        </w:rPr>
      </w:pPr>
      <w:r>
        <w:rPr>
          <w:rFonts w:ascii="Times New Roman" w:hAnsi="Times New Roman" w:cs="Times New Roman"/>
          <w:sz w:val="24"/>
          <w:szCs w:val="24"/>
        </w:rPr>
        <w:t>How often is the policy reviewed?</w:t>
      </w:r>
    </w:p>
    <w:p w14:paraId="4DB3EAF0" w14:textId="77777777" w:rsidR="00B01D46" w:rsidRDefault="0067013E">
      <w:pPr>
        <w:pStyle w:val="ListParagraph"/>
        <w:autoSpaceDE w:val="0"/>
        <w:autoSpaceDN w:val="0"/>
        <w:adjustRightInd w:val="0"/>
        <w:spacing w:after="167" w:line="240" w:lineRule="auto"/>
        <w:ind w:left="677" w:firstLine="0"/>
        <w:jc w:val="left"/>
        <w:rPr>
          <w:szCs w:val="24"/>
        </w:rPr>
      </w:pPr>
      <w:r>
        <w:rPr>
          <w:szCs w:val="24"/>
        </w:rPr>
        <w:t>………………………………………………………………………………………………………………………………………………………………………………………………………………………………………………………………………</w:t>
      </w:r>
    </w:p>
    <w:p w14:paraId="0A48EA68" w14:textId="77777777" w:rsidR="00B01D46" w:rsidRDefault="0067013E">
      <w:pPr>
        <w:numPr>
          <w:ilvl w:val="0"/>
          <w:numId w:val="25"/>
        </w:numPr>
        <w:spacing w:after="131" w:line="360" w:lineRule="auto"/>
        <w:ind w:hanging="336"/>
        <w:jc w:val="both"/>
        <w:rPr>
          <w:rFonts w:ascii="Times New Roman" w:hAnsi="Times New Roman" w:cs="Times New Roman"/>
          <w:sz w:val="24"/>
          <w:szCs w:val="24"/>
        </w:rPr>
      </w:pPr>
      <w:r>
        <w:rPr>
          <w:rFonts w:ascii="Times New Roman" w:hAnsi="Times New Roman" w:cs="Times New Roman"/>
          <w:sz w:val="24"/>
          <w:szCs w:val="24"/>
        </w:rPr>
        <w:t>In your view is the policy adequate?</w:t>
      </w:r>
    </w:p>
    <w:p w14:paraId="2A555CDE" w14:textId="77777777" w:rsidR="00B01D46" w:rsidRDefault="0067013E">
      <w:pPr>
        <w:spacing w:after="131" w:line="240" w:lineRule="auto"/>
        <w:ind w:left="677"/>
        <w:rPr>
          <w:rFonts w:ascii="Times New Roman" w:hAnsi="Times New Roman" w:cs="Times New Roman"/>
          <w:sz w:val="24"/>
          <w:szCs w:val="24"/>
        </w:rPr>
      </w:pPr>
      <w:r>
        <w:rPr>
          <w:rFonts w:ascii="Times New Roman" w:hAnsi="Times New Roman" w:cs="Times New Roman"/>
          <w:sz w:val="24"/>
          <w:szCs w:val="24"/>
        </w:rPr>
        <w:t>………………………………………………………………………………………………………………………………………………………………………………………………………………………………………………………………………</w:t>
      </w:r>
    </w:p>
    <w:p w14:paraId="27D87642"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63D9200" w14:textId="77777777" w:rsidR="00B01D46" w:rsidRDefault="0067013E">
      <w:pPr>
        <w:numPr>
          <w:ilvl w:val="0"/>
          <w:numId w:val="25"/>
        </w:numPr>
        <w:spacing w:after="131" w:line="360" w:lineRule="auto"/>
        <w:ind w:hanging="336"/>
        <w:jc w:val="both"/>
        <w:rPr>
          <w:rFonts w:ascii="Times New Roman" w:hAnsi="Times New Roman" w:cs="Times New Roman"/>
          <w:sz w:val="24"/>
          <w:szCs w:val="24"/>
        </w:rPr>
      </w:pPr>
      <w:r>
        <w:rPr>
          <w:rFonts w:ascii="Times New Roman" w:hAnsi="Times New Roman" w:cs="Times New Roman"/>
          <w:sz w:val="24"/>
          <w:szCs w:val="24"/>
        </w:rPr>
        <w:lastRenderedPageBreak/>
        <w:t>Does your organization have an ILS curriculum</w:t>
      </w:r>
    </w:p>
    <w:p w14:paraId="7316E389" w14:textId="77777777" w:rsidR="00B01D46" w:rsidRDefault="0067013E">
      <w:pPr>
        <w:pStyle w:val="ListParagraph"/>
        <w:spacing w:after="131" w:line="240" w:lineRule="auto"/>
        <w:ind w:left="677" w:firstLine="0"/>
        <w:rPr>
          <w:szCs w:val="24"/>
        </w:rPr>
      </w:pPr>
      <w:r>
        <w:rPr>
          <w:szCs w:val="24"/>
        </w:rPr>
        <w:t>……………………………………………………………………………………………………………………………………………………………………………………………………………………………………………………………………..</w:t>
      </w:r>
    </w:p>
    <w:p w14:paraId="5024014B" w14:textId="77777777" w:rsidR="00B01D46" w:rsidRDefault="0067013E">
      <w:pPr>
        <w:numPr>
          <w:ilvl w:val="0"/>
          <w:numId w:val="25"/>
        </w:numPr>
        <w:spacing w:after="131" w:line="360" w:lineRule="auto"/>
        <w:ind w:hanging="336"/>
        <w:jc w:val="both"/>
        <w:rPr>
          <w:rFonts w:ascii="Times New Roman" w:hAnsi="Times New Roman" w:cs="Times New Roman"/>
          <w:sz w:val="24"/>
          <w:szCs w:val="24"/>
        </w:rPr>
      </w:pPr>
      <w:r>
        <w:rPr>
          <w:rFonts w:ascii="Times New Roman" w:hAnsi="Times New Roman" w:cs="Times New Roman"/>
          <w:sz w:val="24"/>
          <w:szCs w:val="24"/>
        </w:rPr>
        <w:t>How has the ILS policy guided the drafting and delivery of the ILS curriculum?</w:t>
      </w:r>
    </w:p>
    <w:p w14:paraId="10528446" w14:textId="77777777" w:rsidR="00B01D46" w:rsidRDefault="0067013E">
      <w:pPr>
        <w:pStyle w:val="ListParagraph"/>
        <w:spacing w:after="131" w:line="240" w:lineRule="auto"/>
        <w:ind w:left="677" w:firstLine="0"/>
        <w:rPr>
          <w:szCs w:val="24"/>
        </w:rPr>
      </w:pPr>
      <w:r>
        <w:rPr>
          <w:szCs w:val="24"/>
        </w:rPr>
        <w:t>………………………………………………………………………………………………………………………………………………………………………………………………………………………………………………………………………</w:t>
      </w:r>
    </w:p>
    <w:p w14:paraId="48A925BB" w14:textId="77777777" w:rsidR="00B01D46" w:rsidRDefault="0067013E">
      <w:pPr>
        <w:numPr>
          <w:ilvl w:val="0"/>
          <w:numId w:val="25"/>
        </w:numPr>
        <w:spacing w:after="131" w:line="360" w:lineRule="auto"/>
        <w:ind w:hanging="336"/>
        <w:jc w:val="both"/>
        <w:rPr>
          <w:rFonts w:ascii="Times New Roman" w:hAnsi="Times New Roman" w:cs="Times New Roman"/>
          <w:sz w:val="24"/>
          <w:szCs w:val="24"/>
        </w:rPr>
      </w:pPr>
      <w:r>
        <w:rPr>
          <w:rFonts w:ascii="Times New Roman" w:hAnsi="Times New Roman" w:cs="Times New Roman"/>
          <w:sz w:val="24"/>
          <w:szCs w:val="24"/>
        </w:rPr>
        <w:t>What are the main topics covered in the ILS curriculum?</w:t>
      </w:r>
    </w:p>
    <w:p w14:paraId="1C194888" w14:textId="77777777" w:rsidR="00B01D46" w:rsidRDefault="0067013E">
      <w:pPr>
        <w:spacing w:after="131" w:line="360" w:lineRule="auto"/>
        <w:ind w:left="311" w:hanging="9"/>
        <w:jc w:val="both"/>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i/>
          <w:sz w:val="24"/>
          <w:szCs w:val="24"/>
        </w:rPr>
        <w:t xml:space="preserve">Please </w:t>
      </w:r>
      <w:r>
        <w:rPr>
          <w:rFonts w:ascii="Times New Roman" w:hAnsi="Times New Roman" w:cs="Times New Roman"/>
          <w:b/>
          <w:i/>
          <w:sz w:val="24"/>
          <w:szCs w:val="24"/>
        </w:rPr>
        <w:t>CIRCLE</w:t>
      </w:r>
      <w:r>
        <w:rPr>
          <w:rFonts w:ascii="Times New Roman" w:hAnsi="Times New Roman" w:cs="Times New Roman"/>
          <w:i/>
          <w:sz w:val="24"/>
          <w:szCs w:val="24"/>
        </w:rPr>
        <w:t xml:space="preserve"> the number beside each statement that </w:t>
      </w:r>
      <w:r>
        <w:rPr>
          <w:rFonts w:ascii="Times New Roman" w:hAnsi="Times New Roman" w:cs="Times New Roman"/>
          <w:b/>
          <w:i/>
          <w:sz w:val="24"/>
          <w:szCs w:val="24"/>
        </w:rPr>
        <w:t>most accurately</w:t>
      </w:r>
      <w:r>
        <w:rPr>
          <w:rFonts w:ascii="Times New Roman" w:hAnsi="Times New Roman" w:cs="Times New Roman"/>
          <w:i/>
          <w:sz w:val="24"/>
          <w:szCs w:val="24"/>
        </w:rPr>
        <w:t xml:space="preserve"> reflects the extent to which you agree or disagree meaning 1 is </w:t>
      </w:r>
      <w:r>
        <w:rPr>
          <w:rFonts w:ascii="Times New Roman" w:hAnsi="Times New Roman" w:cs="Times New Roman"/>
          <w:b/>
          <w:i/>
          <w:sz w:val="24"/>
          <w:szCs w:val="24"/>
          <w:u w:val="single" w:color="000000"/>
        </w:rPr>
        <w:t>strongly DISAGREE</w:t>
      </w:r>
      <w:r>
        <w:rPr>
          <w:rFonts w:ascii="Times New Roman" w:hAnsi="Times New Roman" w:cs="Times New Roman"/>
          <w:i/>
          <w:sz w:val="24"/>
          <w:szCs w:val="24"/>
        </w:rPr>
        <w:t xml:space="preserve"> and 5 means you </w:t>
      </w:r>
      <w:r>
        <w:rPr>
          <w:rFonts w:ascii="Times New Roman" w:hAnsi="Times New Roman" w:cs="Times New Roman"/>
          <w:b/>
          <w:i/>
          <w:sz w:val="24"/>
          <w:szCs w:val="24"/>
          <w:u w:val="single" w:color="000000"/>
        </w:rPr>
        <w:t>Strongly AGREE</w:t>
      </w:r>
      <w:r>
        <w:rPr>
          <w:rFonts w:ascii="Times New Roman" w:hAnsi="Times New Roman" w:cs="Times New Roman"/>
          <w:i/>
          <w:sz w:val="24"/>
          <w:szCs w:val="24"/>
        </w:rPr>
        <w:t xml:space="preserve"> with the statement</w:t>
      </w:r>
      <w:r>
        <w:rPr>
          <w:rFonts w:ascii="Times New Roman" w:hAnsi="Times New Roman" w:cs="Times New Roman"/>
          <w:b/>
          <w:i/>
          <w:sz w:val="24"/>
          <w:szCs w:val="24"/>
        </w:rPr>
        <w:t>)</w:t>
      </w:r>
    </w:p>
    <w:tbl>
      <w:tblPr>
        <w:tblStyle w:val="TableGrid"/>
        <w:tblW w:w="7821" w:type="dxa"/>
        <w:tblInd w:w="311" w:type="dxa"/>
        <w:tblLook w:val="04A0" w:firstRow="1" w:lastRow="0" w:firstColumn="1" w:lastColumn="0" w:noHBand="0" w:noVBand="1"/>
      </w:tblPr>
      <w:tblGrid>
        <w:gridCol w:w="2110"/>
        <w:gridCol w:w="1097"/>
        <w:gridCol w:w="1222"/>
        <w:gridCol w:w="1181"/>
        <w:gridCol w:w="1114"/>
        <w:gridCol w:w="1097"/>
      </w:tblGrid>
      <w:tr w:rsidR="00B01D46" w14:paraId="50349A1B" w14:textId="77777777">
        <w:trPr>
          <w:trHeight w:val="795"/>
        </w:trPr>
        <w:tc>
          <w:tcPr>
            <w:tcW w:w="2205" w:type="dxa"/>
          </w:tcPr>
          <w:p w14:paraId="11005BD5"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b/>
                <w:bCs/>
                <w:sz w:val="24"/>
                <w:szCs w:val="24"/>
              </w:rPr>
              <w:t>Topic covered in the ILS Curriculum</w:t>
            </w:r>
          </w:p>
        </w:tc>
        <w:tc>
          <w:tcPr>
            <w:tcW w:w="981" w:type="dxa"/>
          </w:tcPr>
          <w:p w14:paraId="55CFA65C"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b/>
                <w:sz w:val="24"/>
                <w:szCs w:val="24"/>
              </w:rPr>
              <w:t>Strongly disagree</w:t>
            </w:r>
          </w:p>
        </w:tc>
        <w:tc>
          <w:tcPr>
            <w:tcW w:w="1249" w:type="dxa"/>
          </w:tcPr>
          <w:p w14:paraId="1A2E092A"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Disagree </w:t>
            </w:r>
          </w:p>
        </w:tc>
        <w:tc>
          <w:tcPr>
            <w:tcW w:w="1223" w:type="dxa"/>
          </w:tcPr>
          <w:p w14:paraId="73225FC1"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Neutral </w:t>
            </w:r>
          </w:p>
        </w:tc>
        <w:tc>
          <w:tcPr>
            <w:tcW w:w="1182" w:type="dxa"/>
          </w:tcPr>
          <w:p w14:paraId="08C0649B"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Agree </w:t>
            </w:r>
          </w:p>
        </w:tc>
        <w:tc>
          <w:tcPr>
            <w:tcW w:w="981" w:type="dxa"/>
          </w:tcPr>
          <w:p w14:paraId="57E03A97"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7CA09ABE" w14:textId="77777777">
        <w:trPr>
          <w:trHeight w:val="776"/>
        </w:trPr>
        <w:tc>
          <w:tcPr>
            <w:tcW w:w="2205" w:type="dxa"/>
            <w:vAlign w:val="bottom"/>
          </w:tcPr>
          <w:p w14:paraId="0D08E331"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Problem solving and critical thinking</w:t>
            </w:r>
          </w:p>
        </w:tc>
        <w:tc>
          <w:tcPr>
            <w:tcW w:w="981" w:type="dxa"/>
          </w:tcPr>
          <w:p w14:paraId="29007910"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249" w:type="dxa"/>
          </w:tcPr>
          <w:p w14:paraId="12311F60"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3" w:type="dxa"/>
          </w:tcPr>
          <w:p w14:paraId="018D6113"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182" w:type="dxa"/>
          </w:tcPr>
          <w:p w14:paraId="27D1B60C"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981" w:type="dxa"/>
          </w:tcPr>
          <w:p w14:paraId="3341C147"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41381FF0" w14:textId="77777777">
        <w:trPr>
          <w:trHeight w:val="795"/>
        </w:trPr>
        <w:tc>
          <w:tcPr>
            <w:tcW w:w="2205" w:type="dxa"/>
            <w:vAlign w:val="bottom"/>
          </w:tcPr>
          <w:p w14:paraId="385D5A55"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Information search and retrieval</w:t>
            </w:r>
          </w:p>
        </w:tc>
        <w:tc>
          <w:tcPr>
            <w:tcW w:w="981" w:type="dxa"/>
          </w:tcPr>
          <w:p w14:paraId="705F2EF1"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249" w:type="dxa"/>
          </w:tcPr>
          <w:p w14:paraId="0E98B902"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3" w:type="dxa"/>
          </w:tcPr>
          <w:p w14:paraId="13FE331B"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182" w:type="dxa"/>
          </w:tcPr>
          <w:p w14:paraId="19FB6130"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981" w:type="dxa"/>
          </w:tcPr>
          <w:p w14:paraId="5BCC21C3"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3DBF0644" w14:textId="77777777">
        <w:trPr>
          <w:trHeight w:val="795"/>
        </w:trPr>
        <w:tc>
          <w:tcPr>
            <w:tcW w:w="2205" w:type="dxa"/>
            <w:vAlign w:val="bottom"/>
          </w:tcPr>
          <w:p w14:paraId="212E1BD2"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Legal issues in information use</w:t>
            </w:r>
          </w:p>
        </w:tc>
        <w:tc>
          <w:tcPr>
            <w:tcW w:w="981" w:type="dxa"/>
          </w:tcPr>
          <w:p w14:paraId="00EE14C5"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249" w:type="dxa"/>
          </w:tcPr>
          <w:p w14:paraId="489F7600"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3" w:type="dxa"/>
          </w:tcPr>
          <w:p w14:paraId="287EACD4"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182" w:type="dxa"/>
          </w:tcPr>
          <w:p w14:paraId="1EB90341"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981" w:type="dxa"/>
          </w:tcPr>
          <w:p w14:paraId="3ABE9DF8"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05A6DFDC" w14:textId="77777777">
        <w:trPr>
          <w:trHeight w:val="795"/>
        </w:trPr>
        <w:tc>
          <w:tcPr>
            <w:tcW w:w="2205" w:type="dxa"/>
            <w:vAlign w:val="bottom"/>
          </w:tcPr>
          <w:p w14:paraId="64602A01"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Computer skills in information use</w:t>
            </w:r>
          </w:p>
        </w:tc>
        <w:tc>
          <w:tcPr>
            <w:tcW w:w="981" w:type="dxa"/>
          </w:tcPr>
          <w:p w14:paraId="58385742"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249" w:type="dxa"/>
          </w:tcPr>
          <w:p w14:paraId="0478523A"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3" w:type="dxa"/>
          </w:tcPr>
          <w:p w14:paraId="16F726FB"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182" w:type="dxa"/>
          </w:tcPr>
          <w:p w14:paraId="229F2F98"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981" w:type="dxa"/>
          </w:tcPr>
          <w:p w14:paraId="4FF1ADD7"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2FB30002" w14:textId="77777777">
        <w:trPr>
          <w:trHeight w:val="1128"/>
        </w:trPr>
        <w:tc>
          <w:tcPr>
            <w:tcW w:w="2205" w:type="dxa"/>
            <w:vAlign w:val="bottom"/>
          </w:tcPr>
          <w:p w14:paraId="6DE6AAB9"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Socialization and effective communication</w:t>
            </w:r>
          </w:p>
        </w:tc>
        <w:tc>
          <w:tcPr>
            <w:tcW w:w="981" w:type="dxa"/>
          </w:tcPr>
          <w:p w14:paraId="45307710"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249" w:type="dxa"/>
          </w:tcPr>
          <w:p w14:paraId="6F548464"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3" w:type="dxa"/>
          </w:tcPr>
          <w:p w14:paraId="1867D988"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182" w:type="dxa"/>
          </w:tcPr>
          <w:p w14:paraId="6310EAC8"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981" w:type="dxa"/>
          </w:tcPr>
          <w:p w14:paraId="1B0BD339"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0AB04CB4" w14:textId="77777777">
        <w:trPr>
          <w:trHeight w:val="795"/>
        </w:trPr>
        <w:tc>
          <w:tcPr>
            <w:tcW w:w="2205" w:type="dxa"/>
            <w:vAlign w:val="bottom"/>
          </w:tcPr>
          <w:p w14:paraId="01141F74"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Integration of information</w:t>
            </w:r>
          </w:p>
        </w:tc>
        <w:tc>
          <w:tcPr>
            <w:tcW w:w="981" w:type="dxa"/>
          </w:tcPr>
          <w:p w14:paraId="7C0746A1"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249" w:type="dxa"/>
          </w:tcPr>
          <w:p w14:paraId="3E2D961C"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3" w:type="dxa"/>
          </w:tcPr>
          <w:p w14:paraId="75E48CB5"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182" w:type="dxa"/>
          </w:tcPr>
          <w:p w14:paraId="5BF6E21B"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981" w:type="dxa"/>
          </w:tcPr>
          <w:p w14:paraId="294D0472" w14:textId="77777777" w:rsidR="00B01D46" w:rsidRDefault="0067013E">
            <w:pPr>
              <w:spacing w:after="0" w:line="240" w:lineRule="auto"/>
              <w:ind w:right="208"/>
              <w:rPr>
                <w:rFonts w:ascii="Times New Roman" w:hAnsi="Times New Roman" w:cs="Times New Roman"/>
                <w:sz w:val="24"/>
                <w:szCs w:val="24"/>
              </w:rPr>
            </w:pPr>
            <w:r>
              <w:rPr>
                <w:rFonts w:ascii="Times New Roman" w:hAnsi="Times New Roman" w:cs="Times New Roman"/>
                <w:sz w:val="24"/>
                <w:szCs w:val="24"/>
              </w:rPr>
              <w:t>5</w:t>
            </w:r>
          </w:p>
        </w:tc>
      </w:tr>
      <w:tr w:rsidR="00B01D46" w14:paraId="711B0EE2" w14:textId="77777777">
        <w:trPr>
          <w:trHeight w:val="795"/>
        </w:trPr>
        <w:tc>
          <w:tcPr>
            <w:tcW w:w="2205" w:type="dxa"/>
            <w:vAlign w:val="bottom"/>
          </w:tcPr>
          <w:p w14:paraId="287B4D37"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Basic library guidelines </w:t>
            </w:r>
          </w:p>
        </w:tc>
        <w:tc>
          <w:tcPr>
            <w:tcW w:w="981" w:type="dxa"/>
          </w:tcPr>
          <w:p w14:paraId="1D4DF6D2"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249" w:type="dxa"/>
          </w:tcPr>
          <w:p w14:paraId="5302A6D6"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3" w:type="dxa"/>
          </w:tcPr>
          <w:p w14:paraId="27C743B3"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182" w:type="dxa"/>
          </w:tcPr>
          <w:p w14:paraId="227CE958"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981" w:type="dxa"/>
          </w:tcPr>
          <w:p w14:paraId="2D109B1A"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27A1377C" w14:textId="77777777">
        <w:trPr>
          <w:trHeight w:val="443"/>
        </w:trPr>
        <w:tc>
          <w:tcPr>
            <w:tcW w:w="2205" w:type="dxa"/>
            <w:vAlign w:val="bottom"/>
          </w:tcPr>
          <w:p w14:paraId="3616D728"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Research skills</w:t>
            </w:r>
          </w:p>
        </w:tc>
        <w:tc>
          <w:tcPr>
            <w:tcW w:w="981" w:type="dxa"/>
          </w:tcPr>
          <w:p w14:paraId="2548F878"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249" w:type="dxa"/>
          </w:tcPr>
          <w:p w14:paraId="7B70CC63"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223" w:type="dxa"/>
          </w:tcPr>
          <w:p w14:paraId="315DE608"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182" w:type="dxa"/>
          </w:tcPr>
          <w:p w14:paraId="7A4E8251"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981" w:type="dxa"/>
          </w:tcPr>
          <w:p w14:paraId="30EA4D38"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r>
    </w:tbl>
    <w:p w14:paraId="6EDA573A" w14:textId="77777777" w:rsidR="00B01D46" w:rsidRDefault="00B01D46">
      <w:pPr>
        <w:spacing w:after="131" w:line="360" w:lineRule="auto"/>
        <w:ind w:left="677"/>
        <w:jc w:val="both"/>
        <w:rPr>
          <w:rFonts w:ascii="Times New Roman" w:hAnsi="Times New Roman" w:cs="Times New Roman"/>
          <w:sz w:val="24"/>
          <w:szCs w:val="24"/>
        </w:rPr>
      </w:pPr>
    </w:p>
    <w:p w14:paraId="49513B57"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4C5E4867" w14:textId="77777777" w:rsidR="00B01D46" w:rsidRDefault="0067013E">
      <w:pPr>
        <w:numPr>
          <w:ilvl w:val="0"/>
          <w:numId w:val="25"/>
        </w:numPr>
        <w:spacing w:after="131" w:line="360" w:lineRule="auto"/>
        <w:ind w:hanging="336"/>
        <w:jc w:val="both"/>
        <w:rPr>
          <w:rFonts w:ascii="Times New Roman" w:hAnsi="Times New Roman" w:cs="Times New Roman"/>
          <w:sz w:val="24"/>
          <w:szCs w:val="24"/>
        </w:rPr>
      </w:pPr>
      <w:r>
        <w:rPr>
          <w:rFonts w:ascii="Times New Roman" w:hAnsi="Times New Roman" w:cs="Times New Roman"/>
          <w:sz w:val="24"/>
          <w:szCs w:val="24"/>
        </w:rPr>
        <w:lastRenderedPageBreak/>
        <w:t xml:space="preserve">Which method(s) are used to deliver ILS programme to medical undergraduate students? </w:t>
      </w:r>
      <w:r>
        <w:rPr>
          <w:rFonts w:ascii="Times New Roman" w:hAnsi="Times New Roman" w:cs="Times New Roman"/>
          <w:b/>
          <w:sz w:val="24"/>
          <w:szCs w:val="24"/>
        </w:rPr>
        <w:t>(</w:t>
      </w:r>
      <w:r>
        <w:rPr>
          <w:rFonts w:ascii="Times New Roman" w:hAnsi="Times New Roman" w:cs="Times New Roman"/>
          <w:i/>
          <w:sz w:val="24"/>
          <w:szCs w:val="24"/>
        </w:rPr>
        <w:t xml:space="preserve">Please </w:t>
      </w:r>
      <w:r>
        <w:rPr>
          <w:rFonts w:ascii="Times New Roman" w:hAnsi="Times New Roman" w:cs="Times New Roman"/>
          <w:b/>
          <w:i/>
          <w:sz w:val="24"/>
          <w:szCs w:val="24"/>
        </w:rPr>
        <w:t>CIRCLE</w:t>
      </w:r>
      <w:r>
        <w:rPr>
          <w:rFonts w:ascii="Times New Roman" w:hAnsi="Times New Roman" w:cs="Times New Roman"/>
          <w:i/>
          <w:sz w:val="24"/>
          <w:szCs w:val="24"/>
        </w:rPr>
        <w:t xml:space="preserve"> the number beside each statement that </w:t>
      </w:r>
      <w:r>
        <w:rPr>
          <w:rFonts w:ascii="Times New Roman" w:hAnsi="Times New Roman" w:cs="Times New Roman"/>
          <w:b/>
          <w:i/>
          <w:sz w:val="24"/>
          <w:szCs w:val="24"/>
        </w:rPr>
        <w:t>most accurately</w:t>
      </w:r>
      <w:r>
        <w:rPr>
          <w:rFonts w:ascii="Times New Roman" w:hAnsi="Times New Roman" w:cs="Times New Roman"/>
          <w:i/>
          <w:sz w:val="24"/>
          <w:szCs w:val="24"/>
        </w:rPr>
        <w:t xml:space="preserve"> reflects the extent to which you agree or disagree meaning 1 is </w:t>
      </w:r>
      <w:r>
        <w:rPr>
          <w:rFonts w:ascii="Times New Roman" w:hAnsi="Times New Roman" w:cs="Times New Roman"/>
          <w:b/>
          <w:i/>
          <w:sz w:val="24"/>
          <w:szCs w:val="24"/>
          <w:u w:val="single" w:color="000000"/>
        </w:rPr>
        <w:t>strongly DISAGREE</w:t>
      </w:r>
      <w:r>
        <w:rPr>
          <w:rFonts w:ascii="Times New Roman" w:hAnsi="Times New Roman" w:cs="Times New Roman"/>
          <w:i/>
          <w:sz w:val="24"/>
          <w:szCs w:val="24"/>
        </w:rPr>
        <w:t xml:space="preserve"> and 5 means you </w:t>
      </w:r>
      <w:r>
        <w:rPr>
          <w:rFonts w:ascii="Times New Roman" w:hAnsi="Times New Roman" w:cs="Times New Roman"/>
          <w:b/>
          <w:i/>
          <w:sz w:val="24"/>
          <w:szCs w:val="24"/>
          <w:u w:val="single" w:color="000000"/>
        </w:rPr>
        <w:t>Strongly AGREE</w:t>
      </w:r>
      <w:r>
        <w:rPr>
          <w:rFonts w:ascii="Times New Roman" w:hAnsi="Times New Roman" w:cs="Times New Roman"/>
          <w:i/>
          <w:sz w:val="24"/>
          <w:szCs w:val="24"/>
        </w:rPr>
        <w:t xml:space="preserve"> with the statement</w:t>
      </w:r>
      <w:r>
        <w:rPr>
          <w:rFonts w:ascii="Times New Roman" w:hAnsi="Times New Roman" w:cs="Times New Roman"/>
          <w:b/>
          <w:i/>
          <w:sz w:val="24"/>
          <w:szCs w:val="24"/>
        </w:rPr>
        <w:t>)</w:t>
      </w:r>
    </w:p>
    <w:tbl>
      <w:tblPr>
        <w:tblStyle w:val="TableGrid"/>
        <w:tblW w:w="7795" w:type="dxa"/>
        <w:tblInd w:w="311" w:type="dxa"/>
        <w:tblLook w:val="04A0" w:firstRow="1" w:lastRow="0" w:firstColumn="1" w:lastColumn="0" w:noHBand="0" w:noVBand="1"/>
      </w:tblPr>
      <w:tblGrid>
        <w:gridCol w:w="2114"/>
        <w:gridCol w:w="1097"/>
        <w:gridCol w:w="1240"/>
        <w:gridCol w:w="1209"/>
        <w:gridCol w:w="1000"/>
        <w:gridCol w:w="1135"/>
      </w:tblGrid>
      <w:tr w:rsidR="00B01D46" w14:paraId="70823B8A" w14:textId="77777777">
        <w:trPr>
          <w:trHeight w:val="1260"/>
        </w:trPr>
        <w:tc>
          <w:tcPr>
            <w:tcW w:w="2177" w:type="dxa"/>
          </w:tcPr>
          <w:p w14:paraId="580C826A"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b/>
                <w:bCs/>
                <w:sz w:val="24"/>
                <w:szCs w:val="24"/>
              </w:rPr>
              <w:t>Method(s) used to deliver ILS curriculum</w:t>
            </w:r>
          </w:p>
        </w:tc>
        <w:tc>
          <w:tcPr>
            <w:tcW w:w="980" w:type="dxa"/>
          </w:tcPr>
          <w:p w14:paraId="72F40508"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b/>
                <w:sz w:val="24"/>
                <w:szCs w:val="24"/>
              </w:rPr>
              <w:t>Strongly disagree</w:t>
            </w:r>
          </w:p>
        </w:tc>
        <w:tc>
          <w:tcPr>
            <w:tcW w:w="1253" w:type="dxa"/>
          </w:tcPr>
          <w:p w14:paraId="1671ECA9"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b/>
                <w:sz w:val="24"/>
                <w:szCs w:val="24"/>
              </w:rPr>
              <w:t xml:space="preserve">Disagree </w:t>
            </w:r>
          </w:p>
        </w:tc>
        <w:tc>
          <w:tcPr>
            <w:tcW w:w="1229" w:type="dxa"/>
          </w:tcPr>
          <w:p w14:paraId="2B90C079"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b/>
                <w:sz w:val="24"/>
                <w:szCs w:val="24"/>
              </w:rPr>
              <w:t xml:space="preserve">Neutral </w:t>
            </w:r>
          </w:p>
        </w:tc>
        <w:tc>
          <w:tcPr>
            <w:tcW w:w="1017" w:type="dxa"/>
          </w:tcPr>
          <w:p w14:paraId="6B34BAD2"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b/>
                <w:sz w:val="24"/>
                <w:szCs w:val="24"/>
              </w:rPr>
              <w:t xml:space="preserve">Agree </w:t>
            </w:r>
          </w:p>
        </w:tc>
        <w:tc>
          <w:tcPr>
            <w:tcW w:w="1139" w:type="dxa"/>
          </w:tcPr>
          <w:p w14:paraId="60EFF476"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2CA21283" w14:textId="77777777">
        <w:trPr>
          <w:trHeight w:val="496"/>
        </w:trPr>
        <w:tc>
          <w:tcPr>
            <w:tcW w:w="2177" w:type="dxa"/>
            <w:vAlign w:val="bottom"/>
          </w:tcPr>
          <w:p w14:paraId="4F3313D2"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Computers</w:t>
            </w:r>
          </w:p>
        </w:tc>
        <w:tc>
          <w:tcPr>
            <w:tcW w:w="980" w:type="dxa"/>
          </w:tcPr>
          <w:p w14:paraId="758C2E56"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1</w:t>
            </w:r>
          </w:p>
        </w:tc>
        <w:tc>
          <w:tcPr>
            <w:tcW w:w="1253" w:type="dxa"/>
          </w:tcPr>
          <w:p w14:paraId="1DDA8B49"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2</w:t>
            </w:r>
          </w:p>
        </w:tc>
        <w:tc>
          <w:tcPr>
            <w:tcW w:w="1229" w:type="dxa"/>
          </w:tcPr>
          <w:p w14:paraId="641E34AD"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3</w:t>
            </w:r>
          </w:p>
        </w:tc>
        <w:tc>
          <w:tcPr>
            <w:tcW w:w="1017" w:type="dxa"/>
          </w:tcPr>
          <w:p w14:paraId="75D7C3C9"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4</w:t>
            </w:r>
          </w:p>
        </w:tc>
        <w:tc>
          <w:tcPr>
            <w:tcW w:w="1139" w:type="dxa"/>
          </w:tcPr>
          <w:p w14:paraId="717EE848"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021D0CD4" w14:textId="77777777">
        <w:trPr>
          <w:trHeight w:val="516"/>
        </w:trPr>
        <w:tc>
          <w:tcPr>
            <w:tcW w:w="2177" w:type="dxa"/>
            <w:vAlign w:val="bottom"/>
          </w:tcPr>
          <w:p w14:paraId="60ACE4E9"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Face to face teaching</w:t>
            </w:r>
          </w:p>
        </w:tc>
        <w:tc>
          <w:tcPr>
            <w:tcW w:w="980" w:type="dxa"/>
          </w:tcPr>
          <w:p w14:paraId="63D696C2"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1</w:t>
            </w:r>
          </w:p>
        </w:tc>
        <w:tc>
          <w:tcPr>
            <w:tcW w:w="1253" w:type="dxa"/>
          </w:tcPr>
          <w:p w14:paraId="3A6281B2"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2</w:t>
            </w:r>
          </w:p>
        </w:tc>
        <w:tc>
          <w:tcPr>
            <w:tcW w:w="1229" w:type="dxa"/>
          </w:tcPr>
          <w:p w14:paraId="70164EBF"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3</w:t>
            </w:r>
          </w:p>
        </w:tc>
        <w:tc>
          <w:tcPr>
            <w:tcW w:w="1017" w:type="dxa"/>
          </w:tcPr>
          <w:p w14:paraId="22D7E15C"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4</w:t>
            </w:r>
          </w:p>
        </w:tc>
        <w:tc>
          <w:tcPr>
            <w:tcW w:w="1139" w:type="dxa"/>
          </w:tcPr>
          <w:p w14:paraId="4EED5685"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02932ADF" w14:textId="77777777">
        <w:trPr>
          <w:trHeight w:val="496"/>
        </w:trPr>
        <w:tc>
          <w:tcPr>
            <w:tcW w:w="2177" w:type="dxa"/>
            <w:vAlign w:val="bottom"/>
          </w:tcPr>
          <w:p w14:paraId="2F81D2B2"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Online materials</w:t>
            </w:r>
          </w:p>
        </w:tc>
        <w:tc>
          <w:tcPr>
            <w:tcW w:w="980" w:type="dxa"/>
          </w:tcPr>
          <w:p w14:paraId="227CBA8E"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1</w:t>
            </w:r>
          </w:p>
        </w:tc>
        <w:tc>
          <w:tcPr>
            <w:tcW w:w="1253" w:type="dxa"/>
          </w:tcPr>
          <w:p w14:paraId="260D936F"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2</w:t>
            </w:r>
          </w:p>
        </w:tc>
        <w:tc>
          <w:tcPr>
            <w:tcW w:w="1229" w:type="dxa"/>
          </w:tcPr>
          <w:p w14:paraId="71DDC57D"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3</w:t>
            </w:r>
          </w:p>
        </w:tc>
        <w:tc>
          <w:tcPr>
            <w:tcW w:w="1017" w:type="dxa"/>
          </w:tcPr>
          <w:p w14:paraId="63EE4724"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4</w:t>
            </w:r>
          </w:p>
        </w:tc>
        <w:tc>
          <w:tcPr>
            <w:tcW w:w="1139" w:type="dxa"/>
          </w:tcPr>
          <w:p w14:paraId="472C1E4C"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1664B883" w14:textId="77777777">
        <w:trPr>
          <w:trHeight w:val="496"/>
        </w:trPr>
        <w:tc>
          <w:tcPr>
            <w:tcW w:w="2177" w:type="dxa"/>
            <w:vAlign w:val="bottom"/>
          </w:tcPr>
          <w:p w14:paraId="62E057A5"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Handouts</w:t>
            </w:r>
          </w:p>
        </w:tc>
        <w:tc>
          <w:tcPr>
            <w:tcW w:w="980" w:type="dxa"/>
          </w:tcPr>
          <w:p w14:paraId="538F3C58"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1</w:t>
            </w:r>
          </w:p>
        </w:tc>
        <w:tc>
          <w:tcPr>
            <w:tcW w:w="1253" w:type="dxa"/>
          </w:tcPr>
          <w:p w14:paraId="390ADFED"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2</w:t>
            </w:r>
          </w:p>
        </w:tc>
        <w:tc>
          <w:tcPr>
            <w:tcW w:w="1229" w:type="dxa"/>
          </w:tcPr>
          <w:p w14:paraId="713D4669"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3</w:t>
            </w:r>
          </w:p>
        </w:tc>
        <w:tc>
          <w:tcPr>
            <w:tcW w:w="1017" w:type="dxa"/>
          </w:tcPr>
          <w:p w14:paraId="56C316A4"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4</w:t>
            </w:r>
          </w:p>
        </w:tc>
        <w:tc>
          <w:tcPr>
            <w:tcW w:w="1139" w:type="dxa"/>
          </w:tcPr>
          <w:p w14:paraId="15486C05"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7E9F194D" w14:textId="77777777">
        <w:trPr>
          <w:trHeight w:val="496"/>
        </w:trPr>
        <w:tc>
          <w:tcPr>
            <w:tcW w:w="2177" w:type="dxa"/>
            <w:vAlign w:val="bottom"/>
          </w:tcPr>
          <w:p w14:paraId="31073203"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Library orientation</w:t>
            </w:r>
          </w:p>
        </w:tc>
        <w:tc>
          <w:tcPr>
            <w:tcW w:w="980" w:type="dxa"/>
          </w:tcPr>
          <w:p w14:paraId="7C166E4F"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1</w:t>
            </w:r>
          </w:p>
        </w:tc>
        <w:tc>
          <w:tcPr>
            <w:tcW w:w="1253" w:type="dxa"/>
          </w:tcPr>
          <w:p w14:paraId="0392C902"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2</w:t>
            </w:r>
          </w:p>
        </w:tc>
        <w:tc>
          <w:tcPr>
            <w:tcW w:w="1229" w:type="dxa"/>
          </w:tcPr>
          <w:p w14:paraId="31361264"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3</w:t>
            </w:r>
          </w:p>
        </w:tc>
        <w:tc>
          <w:tcPr>
            <w:tcW w:w="1017" w:type="dxa"/>
          </w:tcPr>
          <w:p w14:paraId="026C56CE"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4</w:t>
            </w:r>
          </w:p>
        </w:tc>
        <w:tc>
          <w:tcPr>
            <w:tcW w:w="1139" w:type="dxa"/>
          </w:tcPr>
          <w:p w14:paraId="114AD376"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3397EF7A" w14:textId="77777777">
        <w:trPr>
          <w:trHeight w:val="867"/>
        </w:trPr>
        <w:tc>
          <w:tcPr>
            <w:tcW w:w="2177" w:type="dxa"/>
            <w:vAlign w:val="bottom"/>
          </w:tcPr>
          <w:p w14:paraId="389AA219"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WhatsApp group engagements</w:t>
            </w:r>
          </w:p>
        </w:tc>
        <w:tc>
          <w:tcPr>
            <w:tcW w:w="980" w:type="dxa"/>
          </w:tcPr>
          <w:p w14:paraId="1F496E21"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1</w:t>
            </w:r>
          </w:p>
        </w:tc>
        <w:tc>
          <w:tcPr>
            <w:tcW w:w="1253" w:type="dxa"/>
          </w:tcPr>
          <w:p w14:paraId="5F12A1AE"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2</w:t>
            </w:r>
          </w:p>
        </w:tc>
        <w:tc>
          <w:tcPr>
            <w:tcW w:w="1229" w:type="dxa"/>
          </w:tcPr>
          <w:p w14:paraId="68D18B2B"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3</w:t>
            </w:r>
          </w:p>
        </w:tc>
        <w:tc>
          <w:tcPr>
            <w:tcW w:w="1017" w:type="dxa"/>
          </w:tcPr>
          <w:p w14:paraId="49D4CD3B"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4</w:t>
            </w:r>
          </w:p>
        </w:tc>
        <w:tc>
          <w:tcPr>
            <w:tcW w:w="1139" w:type="dxa"/>
          </w:tcPr>
          <w:p w14:paraId="03D23DC2"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1391CDE3" w14:textId="77777777">
        <w:trPr>
          <w:trHeight w:val="496"/>
        </w:trPr>
        <w:tc>
          <w:tcPr>
            <w:tcW w:w="2177" w:type="dxa"/>
            <w:vAlign w:val="bottom"/>
          </w:tcPr>
          <w:p w14:paraId="66CAF768"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Peer training</w:t>
            </w:r>
          </w:p>
        </w:tc>
        <w:tc>
          <w:tcPr>
            <w:tcW w:w="980" w:type="dxa"/>
          </w:tcPr>
          <w:p w14:paraId="138233B1"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1</w:t>
            </w:r>
          </w:p>
        </w:tc>
        <w:tc>
          <w:tcPr>
            <w:tcW w:w="1253" w:type="dxa"/>
          </w:tcPr>
          <w:p w14:paraId="0505B7CA"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2</w:t>
            </w:r>
          </w:p>
        </w:tc>
        <w:tc>
          <w:tcPr>
            <w:tcW w:w="1229" w:type="dxa"/>
          </w:tcPr>
          <w:p w14:paraId="4768737C"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3</w:t>
            </w:r>
          </w:p>
        </w:tc>
        <w:tc>
          <w:tcPr>
            <w:tcW w:w="1017" w:type="dxa"/>
          </w:tcPr>
          <w:p w14:paraId="0D23313E"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4</w:t>
            </w:r>
          </w:p>
        </w:tc>
        <w:tc>
          <w:tcPr>
            <w:tcW w:w="1139" w:type="dxa"/>
          </w:tcPr>
          <w:p w14:paraId="1A24DF28"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1713E70B" w14:textId="77777777">
        <w:trPr>
          <w:trHeight w:val="889"/>
        </w:trPr>
        <w:tc>
          <w:tcPr>
            <w:tcW w:w="2177" w:type="dxa"/>
            <w:vAlign w:val="bottom"/>
          </w:tcPr>
          <w:p w14:paraId="5B943476"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Pre-recorded audio-video clips</w:t>
            </w:r>
          </w:p>
        </w:tc>
        <w:tc>
          <w:tcPr>
            <w:tcW w:w="980" w:type="dxa"/>
          </w:tcPr>
          <w:p w14:paraId="5FAD7925"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1</w:t>
            </w:r>
          </w:p>
        </w:tc>
        <w:tc>
          <w:tcPr>
            <w:tcW w:w="1253" w:type="dxa"/>
          </w:tcPr>
          <w:p w14:paraId="1D0D57F6"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2</w:t>
            </w:r>
          </w:p>
        </w:tc>
        <w:tc>
          <w:tcPr>
            <w:tcW w:w="1229" w:type="dxa"/>
          </w:tcPr>
          <w:p w14:paraId="23F431D7"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3</w:t>
            </w:r>
          </w:p>
        </w:tc>
        <w:tc>
          <w:tcPr>
            <w:tcW w:w="1017" w:type="dxa"/>
          </w:tcPr>
          <w:p w14:paraId="6A28C4CB"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4</w:t>
            </w:r>
          </w:p>
        </w:tc>
        <w:tc>
          <w:tcPr>
            <w:tcW w:w="1139" w:type="dxa"/>
          </w:tcPr>
          <w:p w14:paraId="391288B9"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5</w:t>
            </w:r>
          </w:p>
        </w:tc>
      </w:tr>
      <w:tr w:rsidR="00B01D46" w14:paraId="7B81A196" w14:textId="77777777">
        <w:trPr>
          <w:trHeight w:val="867"/>
        </w:trPr>
        <w:tc>
          <w:tcPr>
            <w:tcW w:w="2177" w:type="dxa"/>
            <w:vAlign w:val="bottom"/>
          </w:tcPr>
          <w:p w14:paraId="71934F8F"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Weekly librarian-student engagements</w:t>
            </w:r>
          </w:p>
        </w:tc>
        <w:tc>
          <w:tcPr>
            <w:tcW w:w="980" w:type="dxa"/>
          </w:tcPr>
          <w:p w14:paraId="3B60147D"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1</w:t>
            </w:r>
          </w:p>
        </w:tc>
        <w:tc>
          <w:tcPr>
            <w:tcW w:w="1253" w:type="dxa"/>
          </w:tcPr>
          <w:p w14:paraId="6FFEDCD8"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2</w:t>
            </w:r>
          </w:p>
        </w:tc>
        <w:tc>
          <w:tcPr>
            <w:tcW w:w="1229" w:type="dxa"/>
          </w:tcPr>
          <w:p w14:paraId="1F6B37B7"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3</w:t>
            </w:r>
          </w:p>
        </w:tc>
        <w:tc>
          <w:tcPr>
            <w:tcW w:w="1017" w:type="dxa"/>
          </w:tcPr>
          <w:p w14:paraId="6F453B06"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4</w:t>
            </w:r>
          </w:p>
        </w:tc>
        <w:tc>
          <w:tcPr>
            <w:tcW w:w="1139" w:type="dxa"/>
          </w:tcPr>
          <w:p w14:paraId="4DF64353"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5</w:t>
            </w:r>
          </w:p>
        </w:tc>
      </w:tr>
    </w:tbl>
    <w:p w14:paraId="372100E9" w14:textId="77777777" w:rsidR="00B01D46" w:rsidRDefault="00B01D46">
      <w:pPr>
        <w:spacing w:after="131" w:line="360" w:lineRule="auto"/>
        <w:ind w:left="311" w:hanging="9"/>
        <w:rPr>
          <w:rFonts w:ascii="Times New Roman" w:hAnsi="Times New Roman" w:cs="Times New Roman"/>
          <w:sz w:val="24"/>
          <w:szCs w:val="24"/>
        </w:rPr>
      </w:pPr>
    </w:p>
    <w:p w14:paraId="082CC995" w14:textId="77777777" w:rsidR="00B01D46" w:rsidRDefault="0067013E">
      <w:pPr>
        <w:numPr>
          <w:ilvl w:val="0"/>
          <w:numId w:val="25"/>
        </w:numPr>
        <w:spacing w:after="131" w:line="241" w:lineRule="auto"/>
        <w:ind w:hanging="535"/>
        <w:jc w:val="both"/>
        <w:rPr>
          <w:rFonts w:ascii="Times New Roman" w:hAnsi="Times New Roman" w:cs="Times New Roman"/>
          <w:sz w:val="24"/>
          <w:szCs w:val="24"/>
        </w:rPr>
      </w:pPr>
      <w:r>
        <w:rPr>
          <w:rFonts w:ascii="Times New Roman" w:hAnsi="Times New Roman" w:cs="Times New Roman"/>
          <w:sz w:val="24"/>
          <w:szCs w:val="24"/>
        </w:rPr>
        <w:t xml:space="preserve"> Who delivers the ILS curriculum in your institution</w:t>
      </w:r>
    </w:p>
    <w:p w14:paraId="393E11ED" w14:textId="77777777" w:rsidR="00B01D46" w:rsidRDefault="0067013E">
      <w:pPr>
        <w:spacing w:after="131" w:line="241" w:lineRule="auto"/>
        <w:ind w:left="677"/>
        <w:rPr>
          <w:rFonts w:ascii="Times New Roman" w:hAnsi="Times New Roman" w:cs="Times New Roman"/>
          <w:sz w:val="24"/>
          <w:szCs w:val="24"/>
        </w:rPr>
      </w:pPr>
      <w:r>
        <w:rPr>
          <w:rFonts w:ascii="Times New Roman" w:hAnsi="Times New Roman" w:cs="Times New Roman"/>
          <w:sz w:val="24"/>
          <w:szCs w:val="24"/>
        </w:rPr>
        <w:t>………………………………………………………………………………………………………………………………………………………………………………………………………………………………………………………………………</w:t>
      </w:r>
    </w:p>
    <w:p w14:paraId="1D427ECD" w14:textId="77777777" w:rsidR="00B01D46" w:rsidRDefault="0067013E">
      <w:pPr>
        <w:numPr>
          <w:ilvl w:val="0"/>
          <w:numId w:val="25"/>
        </w:numPr>
        <w:spacing w:after="131" w:line="241" w:lineRule="auto"/>
        <w:ind w:hanging="535"/>
        <w:jc w:val="both"/>
        <w:rPr>
          <w:rFonts w:ascii="Times New Roman" w:hAnsi="Times New Roman" w:cs="Times New Roman"/>
          <w:sz w:val="24"/>
          <w:szCs w:val="24"/>
        </w:rPr>
      </w:pPr>
      <w:r>
        <w:rPr>
          <w:rFonts w:ascii="Times New Roman" w:hAnsi="Times New Roman" w:cs="Times New Roman"/>
          <w:sz w:val="24"/>
          <w:szCs w:val="24"/>
        </w:rPr>
        <w:t>What assessment techniques do you use to measure ILS curriculum effectiveness?</w:t>
      </w:r>
    </w:p>
    <w:p w14:paraId="1B073FD0" w14:textId="77777777" w:rsidR="00B01D46" w:rsidRDefault="0067013E">
      <w:pPr>
        <w:pStyle w:val="ListParagraph"/>
        <w:autoSpaceDE w:val="0"/>
        <w:autoSpaceDN w:val="0"/>
        <w:adjustRightInd w:val="0"/>
        <w:spacing w:after="167" w:line="240" w:lineRule="auto"/>
        <w:ind w:left="677" w:firstLine="0"/>
        <w:jc w:val="left"/>
        <w:rPr>
          <w:szCs w:val="24"/>
        </w:rPr>
      </w:pPr>
      <w:r>
        <w:rPr>
          <w:szCs w:val="24"/>
        </w:rPr>
        <w:t>……………………………………………………………………………………………………………………………………………………………………</w:t>
      </w:r>
    </w:p>
    <w:p w14:paraId="0027D107" w14:textId="77777777" w:rsidR="00B01D46" w:rsidRDefault="0067013E">
      <w:pPr>
        <w:pStyle w:val="NoSpacing"/>
        <w:ind w:left="0" w:firstLine="0"/>
        <w:rPr>
          <w:rFonts w:ascii="Times New Roman" w:hAnsi="Times New Roman" w:cs="Times New Roman"/>
          <w:b/>
          <w:bCs/>
          <w:sz w:val="24"/>
          <w:szCs w:val="24"/>
        </w:rPr>
      </w:pPr>
      <w:r>
        <w:rPr>
          <w:rFonts w:ascii="Times New Roman" w:hAnsi="Times New Roman" w:cs="Times New Roman"/>
          <w:b/>
          <w:bCs/>
          <w:sz w:val="24"/>
          <w:szCs w:val="24"/>
        </w:rPr>
        <w:lastRenderedPageBreak/>
        <w:t xml:space="preserve">D. ILS Understanding among Medical Undergraduate Students </w:t>
      </w:r>
    </w:p>
    <w:p w14:paraId="128AB171" w14:textId="77777777" w:rsidR="00B01D46" w:rsidRDefault="00B01D46">
      <w:pPr>
        <w:pStyle w:val="NoSpacing"/>
        <w:rPr>
          <w:rFonts w:ascii="Times New Roman" w:hAnsi="Times New Roman" w:cs="Times New Roman"/>
          <w:sz w:val="24"/>
          <w:szCs w:val="24"/>
        </w:rPr>
      </w:pPr>
    </w:p>
    <w:p w14:paraId="6DC602DB" w14:textId="77777777" w:rsidR="00B01D46" w:rsidRDefault="0067013E">
      <w:pPr>
        <w:numPr>
          <w:ilvl w:val="0"/>
          <w:numId w:val="26"/>
        </w:numPr>
        <w:spacing w:after="131" w:line="240" w:lineRule="auto"/>
        <w:ind w:hanging="341"/>
        <w:jc w:val="both"/>
        <w:rPr>
          <w:rFonts w:ascii="Times New Roman" w:hAnsi="Times New Roman" w:cs="Times New Roman"/>
          <w:sz w:val="24"/>
          <w:szCs w:val="24"/>
        </w:rPr>
      </w:pPr>
      <w:r>
        <w:rPr>
          <w:rFonts w:ascii="Times New Roman" w:hAnsi="Times New Roman" w:cs="Times New Roman"/>
          <w:sz w:val="24"/>
          <w:szCs w:val="24"/>
        </w:rPr>
        <w:t>(a) How do students view ILS n  your department/institution</w:t>
      </w:r>
    </w:p>
    <w:p w14:paraId="60688CB7" w14:textId="77777777" w:rsidR="00B01D46" w:rsidRDefault="0067013E">
      <w:pPr>
        <w:spacing w:after="131" w:line="240" w:lineRule="auto"/>
        <w:ind w:left="426"/>
        <w:jc w:val="both"/>
        <w:rPr>
          <w:rFonts w:ascii="Times New Roman" w:hAnsi="Times New Roman" w:cs="Times New Roman"/>
          <w:sz w:val="24"/>
          <w:szCs w:val="24"/>
        </w:rPr>
      </w:pPr>
      <w:r>
        <w:rPr>
          <w:rFonts w:ascii="Times New Roman" w:hAnsi="Times New Roman" w:cs="Times New Roman"/>
          <w:sz w:val="24"/>
          <w:szCs w:val="24"/>
        </w:rPr>
        <w:t>……………………………………………………………………………………………………………………………………………………………………………………</w:t>
      </w:r>
    </w:p>
    <w:p w14:paraId="25EB2FF5" w14:textId="77777777" w:rsidR="00B01D46" w:rsidRDefault="00B01D46">
      <w:pPr>
        <w:spacing w:after="131" w:line="240" w:lineRule="auto"/>
        <w:jc w:val="both"/>
        <w:rPr>
          <w:rFonts w:ascii="Times New Roman" w:hAnsi="Times New Roman" w:cs="Times New Roman"/>
          <w:sz w:val="24"/>
          <w:szCs w:val="24"/>
        </w:rPr>
      </w:pPr>
    </w:p>
    <w:p w14:paraId="4A9B9DEC" w14:textId="77777777" w:rsidR="00B01D46" w:rsidRDefault="0067013E">
      <w:pPr>
        <w:spacing w:after="131" w:line="360" w:lineRule="auto"/>
        <w:ind w:left="682" w:hanging="256"/>
        <w:rPr>
          <w:rFonts w:ascii="Times New Roman" w:hAnsi="Times New Roman" w:cs="Times New Roman"/>
          <w:sz w:val="24"/>
          <w:szCs w:val="24"/>
        </w:rPr>
      </w:pPr>
      <w:r>
        <w:rPr>
          <w:rFonts w:ascii="Times New Roman" w:hAnsi="Times New Roman" w:cs="Times New Roman"/>
          <w:sz w:val="24"/>
          <w:szCs w:val="24"/>
        </w:rPr>
        <w:t>(b) Explain 1(a) above</w:t>
      </w:r>
    </w:p>
    <w:p w14:paraId="4F06515B" w14:textId="77777777" w:rsidR="00B01D46" w:rsidRDefault="0067013E">
      <w:pPr>
        <w:spacing w:after="131" w:line="240" w:lineRule="auto"/>
        <w:ind w:left="682"/>
        <w:rPr>
          <w:rFonts w:ascii="Times New Roman" w:hAnsi="Times New Roman" w:cs="Times New Roman"/>
          <w:sz w:val="24"/>
          <w:szCs w:val="24"/>
        </w:rPr>
      </w:pPr>
      <w:r>
        <w:rPr>
          <w:rFonts w:ascii="Times New Roman" w:hAnsi="Times New Roman" w:cs="Times New Roman"/>
          <w:sz w:val="24"/>
          <w:szCs w:val="24"/>
        </w:rPr>
        <w:t>………………………………………………………………………………………………………………………………………………………………………………………………………………………………………………………………………………………………………………………………………………………………</w:t>
      </w:r>
    </w:p>
    <w:p w14:paraId="406BFC1B" w14:textId="77777777" w:rsidR="00B01D46" w:rsidRDefault="0067013E">
      <w:pPr>
        <w:pStyle w:val="ListParagraph"/>
        <w:numPr>
          <w:ilvl w:val="0"/>
          <w:numId w:val="26"/>
        </w:numPr>
        <w:spacing w:after="131" w:line="360" w:lineRule="auto"/>
        <w:ind w:hanging="284"/>
        <w:jc w:val="left"/>
        <w:rPr>
          <w:szCs w:val="24"/>
        </w:rPr>
      </w:pPr>
      <w:r>
        <w:rPr>
          <w:szCs w:val="24"/>
        </w:rPr>
        <w:t xml:space="preserve">What is the students’ library experience after undergoing ILS training? </w:t>
      </w:r>
    </w:p>
    <w:tbl>
      <w:tblPr>
        <w:tblStyle w:val="TableGrid0"/>
        <w:tblpPr w:leftFromText="180" w:rightFromText="180" w:vertAnchor="text" w:horzAnchor="page" w:tblpX="2156" w:tblpY="1674"/>
        <w:tblW w:w="8119" w:type="dxa"/>
        <w:tblInd w:w="0" w:type="dxa"/>
        <w:tblCellMar>
          <w:top w:w="80" w:type="dxa"/>
          <w:left w:w="80" w:type="dxa"/>
          <w:right w:w="115" w:type="dxa"/>
        </w:tblCellMar>
        <w:tblLook w:val="04A0" w:firstRow="1" w:lastRow="0" w:firstColumn="1" w:lastColumn="0" w:noHBand="0" w:noVBand="1"/>
      </w:tblPr>
      <w:tblGrid>
        <w:gridCol w:w="417"/>
        <w:gridCol w:w="2672"/>
        <w:gridCol w:w="1076"/>
        <w:gridCol w:w="1088"/>
        <w:gridCol w:w="982"/>
        <w:gridCol w:w="808"/>
        <w:gridCol w:w="1076"/>
      </w:tblGrid>
      <w:tr w:rsidR="00B01D46" w14:paraId="4A670EF2" w14:textId="77777777">
        <w:trPr>
          <w:trHeight w:val="251"/>
        </w:trPr>
        <w:tc>
          <w:tcPr>
            <w:tcW w:w="448" w:type="dxa"/>
            <w:tcBorders>
              <w:top w:val="single" w:sz="6" w:space="0" w:color="221F20"/>
              <w:left w:val="single" w:sz="6" w:space="0" w:color="221F20"/>
              <w:bottom w:val="single" w:sz="6" w:space="0" w:color="221F20"/>
              <w:right w:val="single" w:sz="6" w:space="0" w:color="221F20"/>
            </w:tcBorders>
          </w:tcPr>
          <w:p w14:paraId="09B36ECE" w14:textId="77777777" w:rsidR="00B01D46" w:rsidRDefault="00B01D46">
            <w:pPr>
              <w:spacing w:after="0" w:line="360" w:lineRule="auto"/>
              <w:rPr>
                <w:rFonts w:ascii="Times New Roman" w:hAnsi="Times New Roman" w:cs="Times New Roman"/>
                <w:sz w:val="24"/>
                <w:szCs w:val="24"/>
              </w:rPr>
            </w:pPr>
          </w:p>
        </w:tc>
        <w:tc>
          <w:tcPr>
            <w:tcW w:w="3081" w:type="dxa"/>
            <w:tcBorders>
              <w:top w:val="single" w:sz="6" w:space="0" w:color="221F20"/>
              <w:left w:val="single" w:sz="6" w:space="0" w:color="221F20"/>
              <w:bottom w:val="single" w:sz="6" w:space="0" w:color="221F20"/>
              <w:right w:val="single" w:sz="6" w:space="0" w:color="221F20"/>
            </w:tcBorders>
          </w:tcPr>
          <w:p w14:paraId="43AE83E4" w14:textId="77777777" w:rsidR="00B01D46" w:rsidRDefault="0067013E">
            <w:pPr>
              <w:spacing w:after="0"/>
              <w:rPr>
                <w:rFonts w:ascii="Times New Roman" w:eastAsia="Calibri" w:hAnsi="Times New Roman" w:cs="Times New Roman"/>
                <w:b/>
                <w:bCs/>
                <w:sz w:val="24"/>
                <w:szCs w:val="24"/>
              </w:rPr>
            </w:pPr>
            <w:r>
              <w:rPr>
                <w:rFonts w:ascii="Times New Roman" w:eastAsia="Calibri" w:hAnsi="Times New Roman" w:cs="Times New Roman"/>
                <w:b/>
                <w:bCs/>
                <w:sz w:val="24"/>
                <w:szCs w:val="24"/>
              </w:rPr>
              <w:t>Students’ library experience after ILS training</w:t>
            </w:r>
          </w:p>
        </w:tc>
        <w:tc>
          <w:tcPr>
            <w:tcW w:w="982" w:type="dxa"/>
            <w:tcBorders>
              <w:top w:val="single" w:sz="6" w:space="0" w:color="221F20"/>
              <w:left w:val="single" w:sz="6" w:space="0" w:color="221F20"/>
              <w:bottom w:val="single" w:sz="6" w:space="0" w:color="221F20"/>
              <w:right w:val="single" w:sz="6" w:space="0" w:color="221F20"/>
            </w:tcBorders>
          </w:tcPr>
          <w:p w14:paraId="19069E5E" w14:textId="77777777" w:rsidR="00B01D46" w:rsidRDefault="0067013E">
            <w:pPr>
              <w:spacing w:after="0"/>
              <w:jc w:val="center"/>
              <w:rPr>
                <w:rFonts w:ascii="Times New Roman" w:hAnsi="Times New Roman" w:cs="Times New Roman"/>
                <w:b/>
                <w:sz w:val="24"/>
                <w:szCs w:val="24"/>
              </w:rPr>
            </w:pPr>
            <w:r>
              <w:rPr>
                <w:rFonts w:ascii="Times New Roman" w:hAnsi="Times New Roman" w:cs="Times New Roman"/>
                <w:b/>
                <w:sz w:val="24"/>
                <w:szCs w:val="24"/>
              </w:rPr>
              <w:t>Strongly disagree</w:t>
            </w:r>
          </w:p>
        </w:tc>
        <w:tc>
          <w:tcPr>
            <w:tcW w:w="993" w:type="dxa"/>
            <w:tcBorders>
              <w:top w:val="single" w:sz="6" w:space="0" w:color="221F20"/>
              <w:left w:val="single" w:sz="6" w:space="0" w:color="221F20"/>
              <w:bottom w:val="single" w:sz="6" w:space="0" w:color="221F20"/>
              <w:right w:val="single" w:sz="6" w:space="0" w:color="221F20"/>
            </w:tcBorders>
          </w:tcPr>
          <w:p w14:paraId="2DF63C23" w14:textId="77777777" w:rsidR="00B01D46" w:rsidRDefault="0067013E">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Disagree </w:t>
            </w:r>
          </w:p>
        </w:tc>
        <w:tc>
          <w:tcPr>
            <w:tcW w:w="896" w:type="dxa"/>
            <w:tcBorders>
              <w:top w:val="single" w:sz="6" w:space="0" w:color="221F20"/>
              <w:left w:val="single" w:sz="6" w:space="0" w:color="221F20"/>
              <w:bottom w:val="single" w:sz="6" w:space="0" w:color="221F20"/>
              <w:right w:val="single" w:sz="6" w:space="0" w:color="221F20"/>
            </w:tcBorders>
          </w:tcPr>
          <w:p w14:paraId="5A6DE933" w14:textId="77777777" w:rsidR="00B01D46" w:rsidRDefault="0067013E">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Neutral </w:t>
            </w:r>
          </w:p>
        </w:tc>
        <w:tc>
          <w:tcPr>
            <w:tcW w:w="737" w:type="dxa"/>
            <w:tcBorders>
              <w:top w:val="single" w:sz="6" w:space="0" w:color="221F20"/>
              <w:left w:val="single" w:sz="6" w:space="0" w:color="221F20"/>
              <w:bottom w:val="single" w:sz="6" w:space="0" w:color="221F20"/>
              <w:right w:val="single" w:sz="6" w:space="0" w:color="221F20"/>
            </w:tcBorders>
          </w:tcPr>
          <w:p w14:paraId="4598253D" w14:textId="77777777" w:rsidR="00B01D46" w:rsidRDefault="0067013E">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Agree </w:t>
            </w:r>
          </w:p>
        </w:tc>
        <w:tc>
          <w:tcPr>
            <w:tcW w:w="982" w:type="dxa"/>
            <w:tcBorders>
              <w:top w:val="single" w:sz="6" w:space="0" w:color="221F20"/>
              <w:left w:val="single" w:sz="6" w:space="0" w:color="221F20"/>
              <w:bottom w:val="single" w:sz="6" w:space="0" w:color="221F20"/>
              <w:right w:val="single" w:sz="6" w:space="0" w:color="221F20"/>
            </w:tcBorders>
          </w:tcPr>
          <w:p w14:paraId="78D97B96" w14:textId="77777777" w:rsidR="00B01D46" w:rsidRDefault="0067013E">
            <w:pPr>
              <w:spacing w:after="0"/>
              <w:jc w:val="center"/>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7E5B9733" w14:textId="77777777">
        <w:trPr>
          <w:trHeight w:val="251"/>
        </w:trPr>
        <w:tc>
          <w:tcPr>
            <w:tcW w:w="448" w:type="dxa"/>
            <w:tcBorders>
              <w:top w:val="single" w:sz="6" w:space="0" w:color="221F20"/>
              <w:left w:val="single" w:sz="6" w:space="0" w:color="221F20"/>
              <w:bottom w:val="single" w:sz="6" w:space="0" w:color="221F20"/>
              <w:right w:val="single" w:sz="6" w:space="0" w:color="221F20"/>
            </w:tcBorders>
          </w:tcPr>
          <w:p w14:paraId="6EB531A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81" w:type="dxa"/>
            <w:tcBorders>
              <w:top w:val="single" w:sz="6" w:space="0" w:color="221F20"/>
              <w:left w:val="single" w:sz="6" w:space="0" w:color="221F20"/>
              <w:bottom w:val="single" w:sz="6" w:space="0" w:color="221F20"/>
              <w:right w:val="single" w:sz="6" w:space="0" w:color="221F20"/>
            </w:tcBorders>
            <w:vAlign w:val="bottom"/>
          </w:tcPr>
          <w:p w14:paraId="383EC868" w14:textId="77777777" w:rsidR="00B01D46" w:rsidRDefault="0067013E">
            <w:pPr>
              <w:spacing w:after="0"/>
              <w:jc w:val="both"/>
              <w:rPr>
                <w:rFonts w:ascii="Times New Roman" w:hAnsi="Times New Roman" w:cs="Times New Roman"/>
                <w:sz w:val="24"/>
                <w:szCs w:val="24"/>
              </w:rPr>
            </w:pPr>
            <w:r>
              <w:rPr>
                <w:rFonts w:ascii="Times New Roman" w:hAnsi="Times New Roman" w:cs="Times New Roman"/>
                <w:sz w:val="24"/>
                <w:szCs w:val="24"/>
              </w:rPr>
              <w:t>Students utilize the library resources for my term papers and general information needs</w:t>
            </w:r>
          </w:p>
        </w:tc>
        <w:tc>
          <w:tcPr>
            <w:tcW w:w="982" w:type="dxa"/>
            <w:tcBorders>
              <w:top w:val="single" w:sz="6" w:space="0" w:color="221F20"/>
              <w:left w:val="single" w:sz="6" w:space="0" w:color="221F20"/>
              <w:bottom w:val="single" w:sz="6" w:space="0" w:color="221F20"/>
              <w:right w:val="single" w:sz="6" w:space="0" w:color="221F20"/>
            </w:tcBorders>
          </w:tcPr>
          <w:p w14:paraId="5B9B179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Borders>
              <w:top w:val="single" w:sz="6" w:space="0" w:color="221F20"/>
              <w:left w:val="single" w:sz="6" w:space="0" w:color="221F20"/>
              <w:bottom w:val="single" w:sz="6" w:space="0" w:color="221F20"/>
              <w:right w:val="single" w:sz="6" w:space="0" w:color="221F20"/>
            </w:tcBorders>
          </w:tcPr>
          <w:p w14:paraId="67E6006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6" w:type="dxa"/>
            <w:tcBorders>
              <w:top w:val="single" w:sz="6" w:space="0" w:color="221F20"/>
              <w:left w:val="single" w:sz="6" w:space="0" w:color="221F20"/>
              <w:bottom w:val="single" w:sz="6" w:space="0" w:color="221F20"/>
              <w:right w:val="single" w:sz="6" w:space="0" w:color="221F20"/>
            </w:tcBorders>
          </w:tcPr>
          <w:p w14:paraId="7DAB7BB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7" w:type="dxa"/>
            <w:tcBorders>
              <w:top w:val="single" w:sz="6" w:space="0" w:color="221F20"/>
              <w:left w:val="single" w:sz="6" w:space="0" w:color="221F20"/>
              <w:bottom w:val="single" w:sz="6" w:space="0" w:color="221F20"/>
              <w:right w:val="single" w:sz="6" w:space="0" w:color="221F20"/>
            </w:tcBorders>
          </w:tcPr>
          <w:p w14:paraId="36B5E9B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82" w:type="dxa"/>
            <w:tcBorders>
              <w:top w:val="single" w:sz="6" w:space="0" w:color="221F20"/>
              <w:left w:val="single" w:sz="6" w:space="0" w:color="221F20"/>
              <w:bottom w:val="single" w:sz="6" w:space="0" w:color="221F20"/>
              <w:right w:val="single" w:sz="6" w:space="0" w:color="221F20"/>
            </w:tcBorders>
          </w:tcPr>
          <w:p w14:paraId="7BD3908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198AE49E" w14:textId="77777777">
        <w:trPr>
          <w:trHeight w:val="251"/>
        </w:trPr>
        <w:tc>
          <w:tcPr>
            <w:tcW w:w="448" w:type="dxa"/>
            <w:tcBorders>
              <w:top w:val="single" w:sz="6" w:space="0" w:color="221F20"/>
              <w:left w:val="single" w:sz="6" w:space="0" w:color="221F20"/>
              <w:bottom w:val="single" w:sz="6" w:space="0" w:color="221F20"/>
              <w:right w:val="single" w:sz="6" w:space="0" w:color="221F20"/>
            </w:tcBorders>
          </w:tcPr>
          <w:p w14:paraId="1AC486E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81" w:type="dxa"/>
            <w:tcBorders>
              <w:top w:val="single" w:sz="6" w:space="0" w:color="221F20"/>
              <w:left w:val="single" w:sz="6" w:space="0" w:color="221F20"/>
              <w:bottom w:val="single" w:sz="6" w:space="0" w:color="221F20"/>
              <w:right w:val="single" w:sz="6" w:space="0" w:color="221F20"/>
            </w:tcBorders>
            <w:vAlign w:val="bottom"/>
          </w:tcPr>
          <w:p w14:paraId="0078EE45" w14:textId="77777777" w:rsidR="00B01D46" w:rsidRDefault="0067013E">
            <w:pPr>
              <w:spacing w:after="0"/>
              <w:jc w:val="both"/>
              <w:rPr>
                <w:rFonts w:ascii="Times New Roman" w:hAnsi="Times New Roman" w:cs="Times New Roman"/>
                <w:sz w:val="24"/>
                <w:szCs w:val="24"/>
              </w:rPr>
            </w:pPr>
            <w:r>
              <w:rPr>
                <w:rFonts w:ascii="Times New Roman" w:hAnsi="Times New Roman" w:cs="Times New Roman"/>
                <w:sz w:val="24"/>
                <w:szCs w:val="24"/>
              </w:rPr>
              <w:t>Students know how to get specific titles easily using online library catalogs</w:t>
            </w:r>
          </w:p>
        </w:tc>
        <w:tc>
          <w:tcPr>
            <w:tcW w:w="982" w:type="dxa"/>
            <w:tcBorders>
              <w:top w:val="single" w:sz="6" w:space="0" w:color="221F20"/>
              <w:left w:val="single" w:sz="6" w:space="0" w:color="221F20"/>
              <w:bottom w:val="single" w:sz="6" w:space="0" w:color="221F20"/>
              <w:right w:val="single" w:sz="6" w:space="0" w:color="221F20"/>
            </w:tcBorders>
          </w:tcPr>
          <w:p w14:paraId="3A597B1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Borders>
              <w:top w:val="single" w:sz="6" w:space="0" w:color="221F20"/>
              <w:left w:val="single" w:sz="6" w:space="0" w:color="221F20"/>
              <w:bottom w:val="single" w:sz="6" w:space="0" w:color="221F20"/>
              <w:right w:val="single" w:sz="6" w:space="0" w:color="221F20"/>
            </w:tcBorders>
          </w:tcPr>
          <w:p w14:paraId="15D34F9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6" w:type="dxa"/>
            <w:tcBorders>
              <w:top w:val="single" w:sz="6" w:space="0" w:color="221F20"/>
              <w:left w:val="single" w:sz="6" w:space="0" w:color="221F20"/>
              <w:bottom w:val="single" w:sz="6" w:space="0" w:color="221F20"/>
              <w:right w:val="single" w:sz="6" w:space="0" w:color="221F20"/>
            </w:tcBorders>
          </w:tcPr>
          <w:p w14:paraId="66A1F27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7" w:type="dxa"/>
            <w:tcBorders>
              <w:top w:val="single" w:sz="6" w:space="0" w:color="221F20"/>
              <w:left w:val="single" w:sz="6" w:space="0" w:color="221F20"/>
              <w:bottom w:val="single" w:sz="6" w:space="0" w:color="221F20"/>
              <w:right w:val="single" w:sz="6" w:space="0" w:color="221F20"/>
            </w:tcBorders>
          </w:tcPr>
          <w:p w14:paraId="6DDF43B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82" w:type="dxa"/>
            <w:tcBorders>
              <w:top w:val="single" w:sz="6" w:space="0" w:color="221F20"/>
              <w:left w:val="single" w:sz="6" w:space="0" w:color="221F20"/>
              <w:bottom w:val="single" w:sz="6" w:space="0" w:color="221F20"/>
              <w:right w:val="single" w:sz="6" w:space="0" w:color="221F20"/>
            </w:tcBorders>
          </w:tcPr>
          <w:p w14:paraId="29360C8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56545843" w14:textId="77777777">
        <w:trPr>
          <w:trHeight w:val="251"/>
        </w:trPr>
        <w:tc>
          <w:tcPr>
            <w:tcW w:w="448" w:type="dxa"/>
            <w:tcBorders>
              <w:top w:val="single" w:sz="6" w:space="0" w:color="221F20"/>
              <w:left w:val="single" w:sz="6" w:space="0" w:color="221F20"/>
              <w:bottom w:val="single" w:sz="6" w:space="0" w:color="221F20"/>
              <w:right w:val="single" w:sz="6" w:space="0" w:color="221F20"/>
            </w:tcBorders>
          </w:tcPr>
          <w:p w14:paraId="007151E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81" w:type="dxa"/>
            <w:tcBorders>
              <w:top w:val="single" w:sz="6" w:space="0" w:color="221F20"/>
              <w:left w:val="single" w:sz="6" w:space="0" w:color="221F20"/>
              <w:bottom w:val="single" w:sz="6" w:space="0" w:color="221F20"/>
              <w:right w:val="single" w:sz="6" w:space="0" w:color="221F20"/>
            </w:tcBorders>
            <w:vAlign w:val="bottom"/>
          </w:tcPr>
          <w:p w14:paraId="165EB500" w14:textId="77777777" w:rsidR="00B01D46" w:rsidRDefault="0067013E">
            <w:pPr>
              <w:spacing w:after="0"/>
              <w:jc w:val="both"/>
              <w:rPr>
                <w:rFonts w:ascii="Times New Roman" w:hAnsi="Times New Roman" w:cs="Times New Roman"/>
                <w:sz w:val="24"/>
                <w:szCs w:val="24"/>
              </w:rPr>
            </w:pPr>
            <w:r>
              <w:rPr>
                <w:rFonts w:ascii="Times New Roman" w:hAnsi="Times New Roman" w:cs="Times New Roman"/>
                <w:sz w:val="24"/>
                <w:szCs w:val="24"/>
              </w:rPr>
              <w:t xml:space="preserve">Students can find and use various types of information materials resources like books, journals, audiovisual videos </w:t>
            </w:r>
          </w:p>
        </w:tc>
        <w:tc>
          <w:tcPr>
            <w:tcW w:w="982" w:type="dxa"/>
            <w:tcBorders>
              <w:top w:val="single" w:sz="6" w:space="0" w:color="221F20"/>
              <w:left w:val="single" w:sz="6" w:space="0" w:color="221F20"/>
              <w:bottom w:val="single" w:sz="6" w:space="0" w:color="221F20"/>
              <w:right w:val="single" w:sz="6" w:space="0" w:color="221F20"/>
            </w:tcBorders>
          </w:tcPr>
          <w:p w14:paraId="4A52847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Borders>
              <w:top w:val="single" w:sz="6" w:space="0" w:color="221F20"/>
              <w:left w:val="single" w:sz="6" w:space="0" w:color="221F20"/>
              <w:bottom w:val="single" w:sz="6" w:space="0" w:color="221F20"/>
              <w:right w:val="single" w:sz="6" w:space="0" w:color="221F20"/>
            </w:tcBorders>
          </w:tcPr>
          <w:p w14:paraId="5AAF8DF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6" w:type="dxa"/>
            <w:tcBorders>
              <w:top w:val="single" w:sz="6" w:space="0" w:color="221F20"/>
              <w:left w:val="single" w:sz="6" w:space="0" w:color="221F20"/>
              <w:bottom w:val="single" w:sz="6" w:space="0" w:color="221F20"/>
              <w:right w:val="single" w:sz="6" w:space="0" w:color="221F20"/>
            </w:tcBorders>
          </w:tcPr>
          <w:p w14:paraId="1BE5699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7" w:type="dxa"/>
            <w:tcBorders>
              <w:top w:val="single" w:sz="6" w:space="0" w:color="221F20"/>
              <w:left w:val="single" w:sz="6" w:space="0" w:color="221F20"/>
              <w:bottom w:val="single" w:sz="6" w:space="0" w:color="221F20"/>
              <w:right w:val="single" w:sz="6" w:space="0" w:color="221F20"/>
            </w:tcBorders>
          </w:tcPr>
          <w:p w14:paraId="4B0F7B5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82" w:type="dxa"/>
            <w:tcBorders>
              <w:top w:val="single" w:sz="6" w:space="0" w:color="221F20"/>
              <w:left w:val="single" w:sz="6" w:space="0" w:color="221F20"/>
              <w:bottom w:val="single" w:sz="6" w:space="0" w:color="221F20"/>
              <w:right w:val="single" w:sz="6" w:space="0" w:color="221F20"/>
            </w:tcBorders>
          </w:tcPr>
          <w:p w14:paraId="2BFAF9F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457A5DC9" w14:textId="77777777">
        <w:trPr>
          <w:trHeight w:val="251"/>
        </w:trPr>
        <w:tc>
          <w:tcPr>
            <w:tcW w:w="448" w:type="dxa"/>
            <w:tcBorders>
              <w:top w:val="single" w:sz="6" w:space="0" w:color="221F20"/>
              <w:left w:val="single" w:sz="6" w:space="0" w:color="221F20"/>
              <w:bottom w:val="single" w:sz="6" w:space="0" w:color="221F20"/>
              <w:right w:val="single" w:sz="6" w:space="0" w:color="221F20"/>
            </w:tcBorders>
          </w:tcPr>
          <w:p w14:paraId="7CCAF2E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81" w:type="dxa"/>
            <w:tcBorders>
              <w:top w:val="single" w:sz="6" w:space="0" w:color="221F20"/>
              <w:left w:val="single" w:sz="6" w:space="0" w:color="221F20"/>
              <w:bottom w:val="single" w:sz="6" w:space="0" w:color="221F20"/>
              <w:right w:val="single" w:sz="6" w:space="0" w:color="221F20"/>
            </w:tcBorders>
            <w:vAlign w:val="bottom"/>
          </w:tcPr>
          <w:p w14:paraId="10D49B33" w14:textId="77777777" w:rsidR="00B01D46" w:rsidRDefault="0067013E">
            <w:pPr>
              <w:spacing w:after="0"/>
              <w:jc w:val="both"/>
              <w:rPr>
                <w:rFonts w:ascii="Times New Roman" w:hAnsi="Times New Roman" w:cs="Times New Roman"/>
                <w:sz w:val="24"/>
                <w:szCs w:val="24"/>
              </w:rPr>
            </w:pPr>
            <w:r>
              <w:rPr>
                <w:rFonts w:ascii="Times New Roman" w:hAnsi="Times New Roman" w:cs="Times New Roman"/>
                <w:sz w:val="24"/>
                <w:szCs w:val="24"/>
              </w:rPr>
              <w:t>Students can evaluate the various sources of information materials</w:t>
            </w:r>
          </w:p>
        </w:tc>
        <w:tc>
          <w:tcPr>
            <w:tcW w:w="982" w:type="dxa"/>
            <w:tcBorders>
              <w:top w:val="single" w:sz="6" w:space="0" w:color="221F20"/>
              <w:left w:val="single" w:sz="6" w:space="0" w:color="221F20"/>
              <w:bottom w:val="single" w:sz="6" w:space="0" w:color="221F20"/>
              <w:right w:val="single" w:sz="6" w:space="0" w:color="221F20"/>
            </w:tcBorders>
          </w:tcPr>
          <w:p w14:paraId="4752B7F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Borders>
              <w:top w:val="single" w:sz="6" w:space="0" w:color="221F20"/>
              <w:left w:val="single" w:sz="6" w:space="0" w:color="221F20"/>
              <w:bottom w:val="single" w:sz="6" w:space="0" w:color="221F20"/>
              <w:right w:val="single" w:sz="6" w:space="0" w:color="221F20"/>
            </w:tcBorders>
          </w:tcPr>
          <w:p w14:paraId="4B6745C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6" w:type="dxa"/>
            <w:tcBorders>
              <w:top w:val="single" w:sz="6" w:space="0" w:color="221F20"/>
              <w:left w:val="single" w:sz="6" w:space="0" w:color="221F20"/>
              <w:bottom w:val="single" w:sz="6" w:space="0" w:color="221F20"/>
              <w:right w:val="single" w:sz="6" w:space="0" w:color="221F20"/>
            </w:tcBorders>
          </w:tcPr>
          <w:p w14:paraId="53EDE4F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7" w:type="dxa"/>
            <w:tcBorders>
              <w:top w:val="single" w:sz="6" w:space="0" w:color="221F20"/>
              <w:left w:val="single" w:sz="6" w:space="0" w:color="221F20"/>
              <w:bottom w:val="single" w:sz="6" w:space="0" w:color="221F20"/>
              <w:right w:val="single" w:sz="6" w:space="0" w:color="221F20"/>
            </w:tcBorders>
          </w:tcPr>
          <w:p w14:paraId="6875147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82" w:type="dxa"/>
            <w:tcBorders>
              <w:top w:val="single" w:sz="6" w:space="0" w:color="221F20"/>
              <w:left w:val="single" w:sz="6" w:space="0" w:color="221F20"/>
              <w:bottom w:val="single" w:sz="6" w:space="0" w:color="221F20"/>
              <w:right w:val="single" w:sz="6" w:space="0" w:color="221F20"/>
            </w:tcBorders>
          </w:tcPr>
          <w:p w14:paraId="6E9E2EE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106CE620" w14:textId="77777777">
        <w:trPr>
          <w:trHeight w:val="251"/>
        </w:trPr>
        <w:tc>
          <w:tcPr>
            <w:tcW w:w="448" w:type="dxa"/>
            <w:tcBorders>
              <w:top w:val="single" w:sz="6" w:space="0" w:color="221F20"/>
              <w:left w:val="single" w:sz="6" w:space="0" w:color="221F20"/>
              <w:bottom w:val="single" w:sz="6" w:space="0" w:color="221F20"/>
              <w:right w:val="single" w:sz="6" w:space="0" w:color="221F20"/>
            </w:tcBorders>
          </w:tcPr>
          <w:p w14:paraId="026CCA4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081" w:type="dxa"/>
            <w:tcBorders>
              <w:top w:val="single" w:sz="6" w:space="0" w:color="221F20"/>
              <w:left w:val="single" w:sz="6" w:space="0" w:color="221F20"/>
              <w:bottom w:val="single" w:sz="6" w:space="0" w:color="221F20"/>
              <w:right w:val="single" w:sz="6" w:space="0" w:color="221F20"/>
            </w:tcBorders>
            <w:vAlign w:val="bottom"/>
          </w:tcPr>
          <w:p w14:paraId="2297D81D" w14:textId="77777777" w:rsidR="00B01D46" w:rsidRDefault="0067013E">
            <w:pPr>
              <w:spacing w:after="0"/>
              <w:jc w:val="both"/>
              <w:rPr>
                <w:rFonts w:ascii="Times New Roman" w:hAnsi="Times New Roman" w:cs="Times New Roman"/>
                <w:sz w:val="24"/>
                <w:szCs w:val="24"/>
              </w:rPr>
            </w:pPr>
            <w:r>
              <w:rPr>
                <w:rFonts w:ascii="Times New Roman" w:hAnsi="Times New Roman" w:cs="Times New Roman"/>
                <w:sz w:val="24"/>
                <w:szCs w:val="24"/>
              </w:rPr>
              <w:t>Students know how to access e-resources off-campus and on-campus</w:t>
            </w:r>
          </w:p>
        </w:tc>
        <w:tc>
          <w:tcPr>
            <w:tcW w:w="982" w:type="dxa"/>
            <w:tcBorders>
              <w:top w:val="single" w:sz="6" w:space="0" w:color="221F20"/>
              <w:left w:val="single" w:sz="6" w:space="0" w:color="221F20"/>
              <w:bottom w:val="single" w:sz="6" w:space="0" w:color="221F20"/>
              <w:right w:val="single" w:sz="6" w:space="0" w:color="221F20"/>
            </w:tcBorders>
          </w:tcPr>
          <w:p w14:paraId="364A825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Borders>
              <w:top w:val="single" w:sz="6" w:space="0" w:color="221F20"/>
              <w:left w:val="single" w:sz="6" w:space="0" w:color="221F20"/>
              <w:bottom w:val="single" w:sz="6" w:space="0" w:color="221F20"/>
              <w:right w:val="single" w:sz="6" w:space="0" w:color="221F20"/>
            </w:tcBorders>
          </w:tcPr>
          <w:p w14:paraId="6378129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96" w:type="dxa"/>
            <w:tcBorders>
              <w:top w:val="single" w:sz="6" w:space="0" w:color="221F20"/>
              <w:left w:val="single" w:sz="6" w:space="0" w:color="221F20"/>
              <w:bottom w:val="single" w:sz="6" w:space="0" w:color="221F20"/>
              <w:right w:val="single" w:sz="6" w:space="0" w:color="221F20"/>
            </w:tcBorders>
          </w:tcPr>
          <w:p w14:paraId="106EC8E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37" w:type="dxa"/>
            <w:tcBorders>
              <w:top w:val="single" w:sz="6" w:space="0" w:color="221F20"/>
              <w:left w:val="single" w:sz="6" w:space="0" w:color="221F20"/>
              <w:bottom w:val="single" w:sz="6" w:space="0" w:color="221F20"/>
              <w:right w:val="single" w:sz="6" w:space="0" w:color="221F20"/>
            </w:tcBorders>
          </w:tcPr>
          <w:p w14:paraId="051F3FA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82" w:type="dxa"/>
            <w:tcBorders>
              <w:top w:val="single" w:sz="6" w:space="0" w:color="221F20"/>
              <w:left w:val="single" w:sz="6" w:space="0" w:color="221F20"/>
              <w:bottom w:val="single" w:sz="6" w:space="0" w:color="221F20"/>
              <w:right w:val="single" w:sz="6" w:space="0" w:color="221F20"/>
            </w:tcBorders>
          </w:tcPr>
          <w:p w14:paraId="1AD8F64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3CC5156B" w14:textId="77777777" w:rsidR="00B01D46" w:rsidRDefault="0067013E">
      <w:pPr>
        <w:pStyle w:val="NormalWeb"/>
        <w:shd w:val="clear" w:color="auto" w:fill="FFFFFF"/>
        <w:tabs>
          <w:tab w:val="left" w:pos="360"/>
        </w:tabs>
        <w:autoSpaceDE w:val="0"/>
        <w:autoSpaceDN w:val="0"/>
        <w:adjustRightInd w:val="0"/>
        <w:spacing w:before="120" w:after="0" w:line="360" w:lineRule="auto"/>
        <w:ind w:left="682"/>
        <w:jc w:val="both"/>
        <w:rPr>
          <w:b/>
        </w:rPr>
      </w:pPr>
      <w:r>
        <w:rPr>
          <w:b/>
        </w:rPr>
        <w:t xml:space="preserve"> (</w:t>
      </w:r>
      <w:r>
        <w:rPr>
          <w:i/>
        </w:rPr>
        <w:t xml:space="preserve">Please </w:t>
      </w:r>
      <w:r>
        <w:rPr>
          <w:b/>
          <w:i/>
        </w:rPr>
        <w:t>CIRCLE</w:t>
      </w:r>
      <w:r>
        <w:rPr>
          <w:i/>
        </w:rPr>
        <w:t xml:space="preserve"> the number beside each statement that </w:t>
      </w:r>
      <w:r>
        <w:rPr>
          <w:b/>
          <w:i/>
        </w:rPr>
        <w:t>most accurately</w:t>
      </w:r>
      <w:r>
        <w:rPr>
          <w:i/>
        </w:rPr>
        <w:t xml:space="preserve"> reflects the extent to which you agree or disagree meaning 1 is </w:t>
      </w:r>
      <w:r>
        <w:rPr>
          <w:b/>
          <w:i/>
          <w:u w:val="single" w:color="000000"/>
        </w:rPr>
        <w:t>strongly DISAGREE</w:t>
      </w:r>
      <w:r>
        <w:rPr>
          <w:i/>
        </w:rPr>
        <w:t xml:space="preserve"> and 5 means you </w:t>
      </w:r>
      <w:r>
        <w:rPr>
          <w:b/>
          <w:i/>
          <w:u w:val="single" w:color="000000"/>
        </w:rPr>
        <w:t>Strongly AGREE</w:t>
      </w:r>
      <w:r>
        <w:rPr>
          <w:i/>
        </w:rPr>
        <w:t xml:space="preserve"> with the statement</w:t>
      </w:r>
      <w:r>
        <w:rPr>
          <w:b/>
          <w:i/>
        </w:rPr>
        <w:t>)</w:t>
      </w:r>
    </w:p>
    <w:p w14:paraId="6FD381C2" w14:textId="77777777" w:rsidR="00B01D46" w:rsidRDefault="0067013E">
      <w:pPr>
        <w:autoSpaceDE w:val="0"/>
        <w:autoSpaceDN w:val="0"/>
        <w:adjustRightInd w:val="0"/>
        <w:spacing w:after="167" w:line="360" w:lineRule="auto"/>
        <w:ind w:left="360" w:hanging="360"/>
        <w:jc w:val="both"/>
        <w:rPr>
          <w:rFonts w:ascii="Times New Roman" w:hAnsi="Times New Roman" w:cs="Times New Roman"/>
          <w:b/>
          <w:sz w:val="24"/>
          <w:szCs w:val="24"/>
        </w:rPr>
      </w:pPr>
      <w:r>
        <w:rPr>
          <w:rFonts w:ascii="Times New Roman" w:hAnsi="Times New Roman" w:cs="Times New Roman"/>
          <w:b/>
          <w:sz w:val="24"/>
          <w:szCs w:val="24"/>
        </w:rPr>
        <w:lastRenderedPageBreak/>
        <w:t>F. K</w:t>
      </w:r>
      <w:r>
        <w:rPr>
          <w:rFonts w:ascii="Times New Roman" w:eastAsia="Calibri" w:hAnsi="Times New Roman" w:cs="Times New Roman"/>
          <w:b/>
          <w:sz w:val="24"/>
          <w:szCs w:val="24"/>
        </w:rPr>
        <w:t xml:space="preserve">nowledge and Skills Possessed by the Staff in Facilitating ILS among </w:t>
      </w:r>
      <w:r>
        <w:rPr>
          <w:rFonts w:ascii="Times New Roman" w:hAnsi="Times New Roman" w:cs="Times New Roman"/>
          <w:b/>
          <w:sz w:val="24"/>
          <w:szCs w:val="24"/>
        </w:rPr>
        <w:t>Medical Undergraduate Students</w:t>
      </w:r>
    </w:p>
    <w:p w14:paraId="2025F227" w14:textId="77777777" w:rsidR="00B01D46" w:rsidRDefault="0067013E">
      <w:pPr>
        <w:pStyle w:val="NoSpacing"/>
        <w:numPr>
          <w:ilvl w:val="0"/>
          <w:numId w:val="21"/>
        </w:numPr>
        <w:spacing w:line="360" w:lineRule="auto"/>
        <w:ind w:right="8"/>
        <w:rPr>
          <w:rFonts w:ascii="Times New Roman" w:hAnsi="Times New Roman" w:cs="Times New Roman"/>
          <w:sz w:val="24"/>
          <w:szCs w:val="24"/>
        </w:rPr>
      </w:pPr>
      <w:r>
        <w:rPr>
          <w:rFonts w:ascii="Times New Roman" w:hAnsi="Times New Roman" w:cs="Times New Roman"/>
          <w:sz w:val="24"/>
          <w:szCs w:val="24"/>
        </w:rPr>
        <w:t xml:space="preserve">(a) What ILS knowledge and skills do librarians possess that enable them deliver ILS content to medical undergraduate students?  </w:t>
      </w:r>
    </w:p>
    <w:p w14:paraId="6AC7939D" w14:textId="77777777" w:rsidR="00B01D46" w:rsidRDefault="0067013E">
      <w:pPr>
        <w:pStyle w:val="NormalWeb"/>
        <w:shd w:val="clear" w:color="auto" w:fill="FFFFFF"/>
        <w:tabs>
          <w:tab w:val="left" w:pos="360"/>
        </w:tabs>
        <w:autoSpaceDE w:val="0"/>
        <w:autoSpaceDN w:val="0"/>
        <w:adjustRightInd w:val="0"/>
        <w:spacing w:before="120" w:after="0" w:line="360" w:lineRule="auto"/>
        <w:ind w:left="682"/>
        <w:jc w:val="both"/>
        <w:rPr>
          <w:b/>
        </w:rPr>
      </w:pPr>
      <w:r>
        <w:rPr>
          <w:b/>
        </w:rPr>
        <w:t>(</w:t>
      </w:r>
      <w:r>
        <w:rPr>
          <w:i/>
        </w:rPr>
        <w:t xml:space="preserve">Please </w:t>
      </w:r>
      <w:r>
        <w:rPr>
          <w:b/>
          <w:i/>
        </w:rPr>
        <w:t>CIRCLE</w:t>
      </w:r>
      <w:r>
        <w:rPr>
          <w:i/>
        </w:rPr>
        <w:t xml:space="preserve"> the number beside each statement that </w:t>
      </w:r>
      <w:r>
        <w:rPr>
          <w:b/>
          <w:i/>
        </w:rPr>
        <w:t>most accurately</w:t>
      </w:r>
      <w:r>
        <w:rPr>
          <w:i/>
        </w:rPr>
        <w:t xml:space="preserve"> reflects the extent to which you agree or disagree meaning 1 is </w:t>
      </w:r>
      <w:r>
        <w:rPr>
          <w:b/>
          <w:i/>
          <w:u w:val="single" w:color="000000"/>
        </w:rPr>
        <w:t>strongly DISAGREE</w:t>
      </w:r>
      <w:r>
        <w:rPr>
          <w:i/>
        </w:rPr>
        <w:t xml:space="preserve"> and 5 means you </w:t>
      </w:r>
      <w:r>
        <w:rPr>
          <w:b/>
          <w:i/>
          <w:u w:val="single" w:color="000000"/>
        </w:rPr>
        <w:t>Strongly AGREE</w:t>
      </w:r>
      <w:r>
        <w:rPr>
          <w:i/>
        </w:rPr>
        <w:t xml:space="preserve"> with the statement</w:t>
      </w:r>
      <w:r>
        <w:rPr>
          <w:b/>
          <w:i/>
        </w:rPr>
        <w:t>)</w:t>
      </w:r>
    </w:p>
    <w:tbl>
      <w:tblPr>
        <w:tblStyle w:val="TableGrid0"/>
        <w:tblpPr w:leftFromText="180" w:rightFromText="180" w:vertAnchor="text" w:horzAnchor="page" w:tblpX="2582" w:tblpY="519"/>
        <w:tblW w:w="7603" w:type="dxa"/>
        <w:tblInd w:w="0" w:type="dxa"/>
        <w:tblCellMar>
          <w:top w:w="80" w:type="dxa"/>
          <w:left w:w="80" w:type="dxa"/>
          <w:right w:w="115" w:type="dxa"/>
        </w:tblCellMar>
        <w:tblLook w:val="04A0" w:firstRow="1" w:lastRow="0" w:firstColumn="1" w:lastColumn="0" w:noHBand="0" w:noVBand="1"/>
      </w:tblPr>
      <w:tblGrid>
        <w:gridCol w:w="372"/>
        <w:gridCol w:w="2201"/>
        <w:gridCol w:w="1076"/>
        <w:gridCol w:w="1088"/>
        <w:gridCol w:w="982"/>
        <w:gridCol w:w="808"/>
        <w:gridCol w:w="1076"/>
      </w:tblGrid>
      <w:tr w:rsidR="00B01D46" w14:paraId="496C88A2" w14:textId="77777777">
        <w:trPr>
          <w:trHeight w:val="254"/>
        </w:trPr>
        <w:tc>
          <w:tcPr>
            <w:tcW w:w="407" w:type="dxa"/>
            <w:tcBorders>
              <w:top w:val="single" w:sz="6" w:space="0" w:color="221F20"/>
              <w:left w:val="single" w:sz="6" w:space="0" w:color="221F20"/>
              <w:bottom w:val="single" w:sz="6" w:space="0" w:color="221F20"/>
              <w:right w:val="single" w:sz="6" w:space="0" w:color="221F20"/>
            </w:tcBorders>
          </w:tcPr>
          <w:p w14:paraId="0576D8E3" w14:textId="77777777" w:rsidR="00B01D46" w:rsidRDefault="00B01D46">
            <w:pPr>
              <w:spacing w:line="360" w:lineRule="auto"/>
              <w:rPr>
                <w:rFonts w:ascii="Times New Roman" w:hAnsi="Times New Roman" w:cs="Times New Roman"/>
                <w:sz w:val="24"/>
                <w:szCs w:val="24"/>
              </w:rPr>
            </w:pPr>
          </w:p>
        </w:tc>
        <w:tc>
          <w:tcPr>
            <w:tcW w:w="2740" w:type="dxa"/>
            <w:tcBorders>
              <w:top w:val="single" w:sz="6" w:space="0" w:color="221F20"/>
              <w:left w:val="single" w:sz="6" w:space="0" w:color="221F20"/>
              <w:bottom w:val="single" w:sz="6" w:space="0" w:color="221F20"/>
              <w:right w:val="single" w:sz="6" w:space="0" w:color="221F20"/>
            </w:tcBorders>
          </w:tcPr>
          <w:p w14:paraId="3B6B30D7" w14:textId="77777777" w:rsidR="00B01D46" w:rsidRDefault="0067013E">
            <w:pPr>
              <w:rPr>
                <w:rFonts w:ascii="Times New Roman" w:eastAsia="Calibri" w:hAnsi="Times New Roman" w:cs="Times New Roman"/>
                <w:b/>
                <w:bCs/>
                <w:sz w:val="24"/>
                <w:szCs w:val="24"/>
              </w:rPr>
            </w:pPr>
            <w:r>
              <w:rPr>
                <w:rFonts w:ascii="Times New Roman" w:hAnsi="Times New Roman" w:cs="Times New Roman"/>
                <w:b/>
                <w:bCs/>
                <w:sz w:val="24"/>
                <w:szCs w:val="24"/>
              </w:rPr>
              <w:t>ILS knowledge and skills possessed by librarians</w:t>
            </w:r>
          </w:p>
        </w:tc>
        <w:tc>
          <w:tcPr>
            <w:tcW w:w="953" w:type="dxa"/>
            <w:tcBorders>
              <w:top w:val="single" w:sz="6" w:space="0" w:color="221F20"/>
              <w:left w:val="single" w:sz="6" w:space="0" w:color="221F20"/>
              <w:bottom w:val="single" w:sz="6" w:space="0" w:color="221F20"/>
              <w:right w:val="single" w:sz="6" w:space="0" w:color="221F20"/>
            </w:tcBorders>
          </w:tcPr>
          <w:p w14:paraId="1A3D80AC"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Strongly disagree</w:t>
            </w:r>
          </w:p>
        </w:tc>
        <w:tc>
          <w:tcPr>
            <w:tcW w:w="964" w:type="dxa"/>
            <w:tcBorders>
              <w:top w:val="single" w:sz="6" w:space="0" w:color="221F20"/>
              <w:left w:val="single" w:sz="6" w:space="0" w:color="221F20"/>
              <w:bottom w:val="single" w:sz="6" w:space="0" w:color="221F20"/>
              <w:right w:val="single" w:sz="6" w:space="0" w:color="221F20"/>
            </w:tcBorders>
          </w:tcPr>
          <w:p w14:paraId="447E14C9"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Disagree </w:t>
            </w:r>
          </w:p>
        </w:tc>
        <w:tc>
          <w:tcPr>
            <w:tcW w:w="870" w:type="dxa"/>
            <w:tcBorders>
              <w:top w:val="single" w:sz="6" w:space="0" w:color="221F20"/>
              <w:left w:val="single" w:sz="6" w:space="0" w:color="221F20"/>
              <w:bottom w:val="single" w:sz="6" w:space="0" w:color="221F20"/>
              <w:right w:val="single" w:sz="6" w:space="0" w:color="221F20"/>
            </w:tcBorders>
          </w:tcPr>
          <w:p w14:paraId="33F035BE"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Neutral </w:t>
            </w:r>
          </w:p>
        </w:tc>
        <w:tc>
          <w:tcPr>
            <w:tcW w:w="716" w:type="dxa"/>
            <w:tcBorders>
              <w:top w:val="single" w:sz="6" w:space="0" w:color="221F20"/>
              <w:left w:val="single" w:sz="6" w:space="0" w:color="221F20"/>
              <w:bottom w:val="single" w:sz="6" w:space="0" w:color="221F20"/>
              <w:right w:val="single" w:sz="6" w:space="0" w:color="221F20"/>
            </w:tcBorders>
          </w:tcPr>
          <w:p w14:paraId="214A81E2"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Agree </w:t>
            </w:r>
          </w:p>
        </w:tc>
        <w:tc>
          <w:tcPr>
            <w:tcW w:w="953" w:type="dxa"/>
            <w:tcBorders>
              <w:top w:val="single" w:sz="6" w:space="0" w:color="221F20"/>
              <w:left w:val="single" w:sz="6" w:space="0" w:color="221F20"/>
              <w:bottom w:val="single" w:sz="6" w:space="0" w:color="221F20"/>
              <w:right w:val="single" w:sz="6" w:space="0" w:color="221F20"/>
            </w:tcBorders>
          </w:tcPr>
          <w:p w14:paraId="426575F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54A94602" w14:textId="77777777">
        <w:trPr>
          <w:trHeight w:val="254"/>
        </w:trPr>
        <w:tc>
          <w:tcPr>
            <w:tcW w:w="407" w:type="dxa"/>
            <w:tcBorders>
              <w:top w:val="single" w:sz="6" w:space="0" w:color="221F20"/>
              <w:left w:val="single" w:sz="6" w:space="0" w:color="221F20"/>
              <w:bottom w:val="single" w:sz="6" w:space="0" w:color="221F20"/>
              <w:right w:val="single" w:sz="6" w:space="0" w:color="221F20"/>
            </w:tcBorders>
          </w:tcPr>
          <w:p w14:paraId="63C29640"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40" w:type="dxa"/>
            <w:tcBorders>
              <w:top w:val="single" w:sz="6" w:space="0" w:color="221F20"/>
              <w:left w:val="single" w:sz="6" w:space="0" w:color="221F20"/>
              <w:bottom w:val="single" w:sz="6" w:space="0" w:color="221F20"/>
              <w:right w:val="single" w:sz="6" w:space="0" w:color="221F20"/>
            </w:tcBorders>
            <w:vAlign w:val="bottom"/>
          </w:tcPr>
          <w:p w14:paraId="3B0B0891"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The capacity to select information that is most relevant to the indicated information demands</w:t>
            </w:r>
          </w:p>
        </w:tc>
        <w:tc>
          <w:tcPr>
            <w:tcW w:w="953" w:type="dxa"/>
            <w:tcBorders>
              <w:top w:val="single" w:sz="6" w:space="0" w:color="221F20"/>
              <w:left w:val="single" w:sz="6" w:space="0" w:color="221F20"/>
              <w:bottom w:val="single" w:sz="6" w:space="0" w:color="221F20"/>
              <w:right w:val="single" w:sz="6" w:space="0" w:color="221F20"/>
            </w:tcBorders>
          </w:tcPr>
          <w:p w14:paraId="31546B0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4" w:type="dxa"/>
            <w:tcBorders>
              <w:top w:val="single" w:sz="6" w:space="0" w:color="221F20"/>
              <w:left w:val="single" w:sz="6" w:space="0" w:color="221F20"/>
              <w:bottom w:val="single" w:sz="6" w:space="0" w:color="221F20"/>
              <w:right w:val="single" w:sz="6" w:space="0" w:color="221F20"/>
            </w:tcBorders>
          </w:tcPr>
          <w:p w14:paraId="0E9BE3C3"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0" w:type="dxa"/>
            <w:tcBorders>
              <w:top w:val="single" w:sz="6" w:space="0" w:color="221F20"/>
              <w:left w:val="single" w:sz="6" w:space="0" w:color="221F20"/>
              <w:bottom w:val="single" w:sz="6" w:space="0" w:color="221F20"/>
              <w:right w:val="single" w:sz="6" w:space="0" w:color="221F20"/>
            </w:tcBorders>
          </w:tcPr>
          <w:p w14:paraId="0D7D63FE"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16" w:type="dxa"/>
            <w:tcBorders>
              <w:top w:val="single" w:sz="6" w:space="0" w:color="221F20"/>
              <w:left w:val="single" w:sz="6" w:space="0" w:color="221F20"/>
              <w:bottom w:val="single" w:sz="6" w:space="0" w:color="221F20"/>
              <w:right w:val="single" w:sz="6" w:space="0" w:color="221F20"/>
            </w:tcBorders>
          </w:tcPr>
          <w:p w14:paraId="1E71CAF0"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3" w:type="dxa"/>
            <w:tcBorders>
              <w:top w:val="single" w:sz="6" w:space="0" w:color="221F20"/>
              <w:left w:val="single" w:sz="6" w:space="0" w:color="221F20"/>
              <w:bottom w:val="single" w:sz="6" w:space="0" w:color="221F20"/>
              <w:right w:val="single" w:sz="6" w:space="0" w:color="221F20"/>
            </w:tcBorders>
          </w:tcPr>
          <w:p w14:paraId="0E830D7E"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398CE9B6" w14:textId="77777777">
        <w:trPr>
          <w:trHeight w:val="254"/>
        </w:trPr>
        <w:tc>
          <w:tcPr>
            <w:tcW w:w="407" w:type="dxa"/>
            <w:tcBorders>
              <w:top w:val="single" w:sz="6" w:space="0" w:color="221F20"/>
              <w:left w:val="single" w:sz="6" w:space="0" w:color="221F20"/>
              <w:bottom w:val="single" w:sz="6" w:space="0" w:color="221F20"/>
              <w:right w:val="single" w:sz="6" w:space="0" w:color="221F20"/>
            </w:tcBorders>
          </w:tcPr>
          <w:p w14:paraId="7CEF8D25"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40" w:type="dxa"/>
            <w:tcBorders>
              <w:top w:val="single" w:sz="6" w:space="0" w:color="221F20"/>
              <w:left w:val="single" w:sz="6" w:space="0" w:color="221F20"/>
              <w:bottom w:val="single" w:sz="6" w:space="0" w:color="221F20"/>
              <w:right w:val="single" w:sz="6" w:space="0" w:color="221F20"/>
            </w:tcBorders>
            <w:vAlign w:val="bottom"/>
          </w:tcPr>
          <w:p w14:paraId="0D06BD28"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Ability to discern potential information sources</w:t>
            </w:r>
          </w:p>
        </w:tc>
        <w:tc>
          <w:tcPr>
            <w:tcW w:w="953" w:type="dxa"/>
            <w:tcBorders>
              <w:top w:val="single" w:sz="6" w:space="0" w:color="221F20"/>
              <w:left w:val="single" w:sz="6" w:space="0" w:color="221F20"/>
              <w:bottom w:val="single" w:sz="6" w:space="0" w:color="221F20"/>
              <w:right w:val="single" w:sz="6" w:space="0" w:color="221F20"/>
            </w:tcBorders>
          </w:tcPr>
          <w:p w14:paraId="56934C9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4" w:type="dxa"/>
            <w:tcBorders>
              <w:top w:val="single" w:sz="6" w:space="0" w:color="221F20"/>
              <w:left w:val="single" w:sz="6" w:space="0" w:color="221F20"/>
              <w:bottom w:val="single" w:sz="6" w:space="0" w:color="221F20"/>
              <w:right w:val="single" w:sz="6" w:space="0" w:color="221F20"/>
            </w:tcBorders>
          </w:tcPr>
          <w:p w14:paraId="6BEF463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0" w:type="dxa"/>
            <w:tcBorders>
              <w:top w:val="single" w:sz="6" w:space="0" w:color="221F20"/>
              <w:left w:val="single" w:sz="6" w:space="0" w:color="221F20"/>
              <w:bottom w:val="single" w:sz="6" w:space="0" w:color="221F20"/>
              <w:right w:val="single" w:sz="6" w:space="0" w:color="221F20"/>
            </w:tcBorders>
          </w:tcPr>
          <w:p w14:paraId="55661070"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16" w:type="dxa"/>
            <w:tcBorders>
              <w:top w:val="single" w:sz="6" w:space="0" w:color="221F20"/>
              <w:left w:val="single" w:sz="6" w:space="0" w:color="221F20"/>
              <w:bottom w:val="single" w:sz="6" w:space="0" w:color="221F20"/>
              <w:right w:val="single" w:sz="6" w:space="0" w:color="221F20"/>
            </w:tcBorders>
          </w:tcPr>
          <w:p w14:paraId="47916BC8"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3" w:type="dxa"/>
            <w:tcBorders>
              <w:top w:val="single" w:sz="6" w:space="0" w:color="221F20"/>
              <w:left w:val="single" w:sz="6" w:space="0" w:color="221F20"/>
              <w:bottom w:val="single" w:sz="6" w:space="0" w:color="221F20"/>
              <w:right w:val="single" w:sz="6" w:space="0" w:color="221F20"/>
            </w:tcBorders>
          </w:tcPr>
          <w:p w14:paraId="30E0C25B"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4F2338EE" w14:textId="77777777">
        <w:trPr>
          <w:trHeight w:val="254"/>
        </w:trPr>
        <w:tc>
          <w:tcPr>
            <w:tcW w:w="407" w:type="dxa"/>
            <w:tcBorders>
              <w:top w:val="single" w:sz="6" w:space="0" w:color="221F20"/>
              <w:left w:val="single" w:sz="6" w:space="0" w:color="221F20"/>
              <w:bottom w:val="single" w:sz="6" w:space="0" w:color="221F20"/>
              <w:right w:val="single" w:sz="6" w:space="0" w:color="221F20"/>
            </w:tcBorders>
          </w:tcPr>
          <w:p w14:paraId="6DEEBDF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40" w:type="dxa"/>
            <w:tcBorders>
              <w:top w:val="single" w:sz="6" w:space="0" w:color="221F20"/>
              <w:left w:val="single" w:sz="6" w:space="0" w:color="221F20"/>
              <w:bottom w:val="single" w:sz="6" w:space="0" w:color="221F20"/>
              <w:right w:val="single" w:sz="6" w:space="0" w:color="221F20"/>
            </w:tcBorders>
            <w:vAlign w:val="bottom"/>
          </w:tcPr>
          <w:p w14:paraId="7AFB68B3"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 xml:space="preserve">Aptitude to create tactics for finding information </w:t>
            </w:r>
          </w:p>
        </w:tc>
        <w:tc>
          <w:tcPr>
            <w:tcW w:w="953" w:type="dxa"/>
            <w:tcBorders>
              <w:top w:val="single" w:sz="6" w:space="0" w:color="221F20"/>
              <w:left w:val="single" w:sz="6" w:space="0" w:color="221F20"/>
              <w:bottom w:val="single" w:sz="6" w:space="0" w:color="221F20"/>
              <w:right w:val="single" w:sz="6" w:space="0" w:color="221F20"/>
            </w:tcBorders>
          </w:tcPr>
          <w:p w14:paraId="19EC9A7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4" w:type="dxa"/>
            <w:tcBorders>
              <w:top w:val="single" w:sz="6" w:space="0" w:color="221F20"/>
              <w:left w:val="single" w:sz="6" w:space="0" w:color="221F20"/>
              <w:bottom w:val="single" w:sz="6" w:space="0" w:color="221F20"/>
              <w:right w:val="single" w:sz="6" w:space="0" w:color="221F20"/>
            </w:tcBorders>
          </w:tcPr>
          <w:p w14:paraId="24EF397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0" w:type="dxa"/>
            <w:tcBorders>
              <w:top w:val="single" w:sz="6" w:space="0" w:color="221F20"/>
              <w:left w:val="single" w:sz="6" w:space="0" w:color="221F20"/>
              <w:bottom w:val="single" w:sz="6" w:space="0" w:color="221F20"/>
              <w:right w:val="single" w:sz="6" w:space="0" w:color="221F20"/>
            </w:tcBorders>
          </w:tcPr>
          <w:p w14:paraId="087CBA2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16" w:type="dxa"/>
            <w:tcBorders>
              <w:top w:val="single" w:sz="6" w:space="0" w:color="221F20"/>
              <w:left w:val="single" w:sz="6" w:space="0" w:color="221F20"/>
              <w:bottom w:val="single" w:sz="6" w:space="0" w:color="221F20"/>
              <w:right w:val="single" w:sz="6" w:space="0" w:color="221F20"/>
            </w:tcBorders>
          </w:tcPr>
          <w:p w14:paraId="33FEA39E"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3" w:type="dxa"/>
            <w:tcBorders>
              <w:top w:val="single" w:sz="6" w:space="0" w:color="221F20"/>
              <w:left w:val="single" w:sz="6" w:space="0" w:color="221F20"/>
              <w:bottom w:val="single" w:sz="6" w:space="0" w:color="221F20"/>
              <w:right w:val="single" w:sz="6" w:space="0" w:color="221F20"/>
            </w:tcBorders>
          </w:tcPr>
          <w:p w14:paraId="4AD7AD61"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3D9AB9A5" w14:textId="77777777">
        <w:trPr>
          <w:trHeight w:val="254"/>
        </w:trPr>
        <w:tc>
          <w:tcPr>
            <w:tcW w:w="407" w:type="dxa"/>
            <w:tcBorders>
              <w:top w:val="single" w:sz="6" w:space="0" w:color="221F20"/>
              <w:left w:val="single" w:sz="6" w:space="0" w:color="221F20"/>
              <w:bottom w:val="single" w:sz="6" w:space="0" w:color="221F20"/>
              <w:right w:val="single" w:sz="6" w:space="0" w:color="221F20"/>
            </w:tcBorders>
          </w:tcPr>
          <w:p w14:paraId="154BE25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40" w:type="dxa"/>
            <w:tcBorders>
              <w:top w:val="single" w:sz="6" w:space="0" w:color="221F20"/>
              <w:left w:val="single" w:sz="6" w:space="0" w:color="221F20"/>
              <w:bottom w:val="single" w:sz="6" w:space="0" w:color="221F20"/>
              <w:right w:val="single" w:sz="6" w:space="0" w:color="221F20"/>
            </w:tcBorders>
            <w:vAlign w:val="bottom"/>
          </w:tcPr>
          <w:p w14:paraId="1B381D2C"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Aptitude to contrast and analyze information obtained from different sources</w:t>
            </w:r>
          </w:p>
        </w:tc>
        <w:tc>
          <w:tcPr>
            <w:tcW w:w="953" w:type="dxa"/>
            <w:tcBorders>
              <w:top w:val="single" w:sz="6" w:space="0" w:color="221F20"/>
              <w:left w:val="single" w:sz="6" w:space="0" w:color="221F20"/>
              <w:bottom w:val="single" w:sz="6" w:space="0" w:color="221F20"/>
              <w:right w:val="single" w:sz="6" w:space="0" w:color="221F20"/>
            </w:tcBorders>
          </w:tcPr>
          <w:p w14:paraId="52C3DF79"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4" w:type="dxa"/>
            <w:tcBorders>
              <w:top w:val="single" w:sz="6" w:space="0" w:color="221F20"/>
              <w:left w:val="single" w:sz="6" w:space="0" w:color="221F20"/>
              <w:bottom w:val="single" w:sz="6" w:space="0" w:color="221F20"/>
              <w:right w:val="single" w:sz="6" w:space="0" w:color="221F20"/>
            </w:tcBorders>
          </w:tcPr>
          <w:p w14:paraId="3F611187"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0" w:type="dxa"/>
            <w:tcBorders>
              <w:top w:val="single" w:sz="6" w:space="0" w:color="221F20"/>
              <w:left w:val="single" w:sz="6" w:space="0" w:color="221F20"/>
              <w:bottom w:val="single" w:sz="6" w:space="0" w:color="221F20"/>
              <w:right w:val="single" w:sz="6" w:space="0" w:color="221F20"/>
            </w:tcBorders>
          </w:tcPr>
          <w:p w14:paraId="09EA4974"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16" w:type="dxa"/>
            <w:tcBorders>
              <w:top w:val="single" w:sz="6" w:space="0" w:color="221F20"/>
              <w:left w:val="single" w:sz="6" w:space="0" w:color="221F20"/>
              <w:bottom w:val="single" w:sz="6" w:space="0" w:color="221F20"/>
              <w:right w:val="single" w:sz="6" w:space="0" w:color="221F20"/>
            </w:tcBorders>
          </w:tcPr>
          <w:p w14:paraId="7C109FB5"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3" w:type="dxa"/>
            <w:tcBorders>
              <w:top w:val="single" w:sz="6" w:space="0" w:color="221F20"/>
              <w:left w:val="single" w:sz="6" w:space="0" w:color="221F20"/>
              <w:bottom w:val="single" w:sz="6" w:space="0" w:color="221F20"/>
              <w:right w:val="single" w:sz="6" w:space="0" w:color="221F20"/>
            </w:tcBorders>
          </w:tcPr>
          <w:p w14:paraId="24CBE847"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4CA6290" w14:textId="77777777">
        <w:trPr>
          <w:trHeight w:val="254"/>
        </w:trPr>
        <w:tc>
          <w:tcPr>
            <w:tcW w:w="407" w:type="dxa"/>
            <w:tcBorders>
              <w:top w:val="single" w:sz="6" w:space="0" w:color="221F20"/>
              <w:left w:val="single" w:sz="6" w:space="0" w:color="221F20"/>
              <w:bottom w:val="single" w:sz="6" w:space="0" w:color="221F20"/>
              <w:right w:val="single" w:sz="6" w:space="0" w:color="221F20"/>
            </w:tcBorders>
          </w:tcPr>
          <w:p w14:paraId="73D0BE36"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740" w:type="dxa"/>
            <w:tcBorders>
              <w:top w:val="single" w:sz="6" w:space="0" w:color="221F20"/>
              <w:left w:val="single" w:sz="6" w:space="0" w:color="221F20"/>
              <w:bottom w:val="single" w:sz="6" w:space="0" w:color="221F20"/>
              <w:right w:val="single" w:sz="6" w:space="0" w:color="221F20"/>
            </w:tcBorders>
            <w:vAlign w:val="bottom"/>
          </w:tcPr>
          <w:p w14:paraId="2A1E2491"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Aptitude to arrange, use, and pass on information</w:t>
            </w:r>
          </w:p>
        </w:tc>
        <w:tc>
          <w:tcPr>
            <w:tcW w:w="953" w:type="dxa"/>
            <w:tcBorders>
              <w:top w:val="single" w:sz="6" w:space="0" w:color="221F20"/>
              <w:left w:val="single" w:sz="6" w:space="0" w:color="221F20"/>
              <w:bottom w:val="single" w:sz="6" w:space="0" w:color="221F20"/>
              <w:right w:val="single" w:sz="6" w:space="0" w:color="221F20"/>
            </w:tcBorders>
          </w:tcPr>
          <w:p w14:paraId="616D8765"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4" w:type="dxa"/>
            <w:tcBorders>
              <w:top w:val="single" w:sz="6" w:space="0" w:color="221F20"/>
              <w:left w:val="single" w:sz="6" w:space="0" w:color="221F20"/>
              <w:bottom w:val="single" w:sz="6" w:space="0" w:color="221F20"/>
              <w:right w:val="single" w:sz="6" w:space="0" w:color="221F20"/>
            </w:tcBorders>
          </w:tcPr>
          <w:p w14:paraId="41F01AC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0" w:type="dxa"/>
            <w:tcBorders>
              <w:top w:val="single" w:sz="6" w:space="0" w:color="221F20"/>
              <w:left w:val="single" w:sz="6" w:space="0" w:color="221F20"/>
              <w:bottom w:val="single" w:sz="6" w:space="0" w:color="221F20"/>
              <w:right w:val="single" w:sz="6" w:space="0" w:color="221F20"/>
            </w:tcBorders>
          </w:tcPr>
          <w:p w14:paraId="33407CD8"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16" w:type="dxa"/>
            <w:tcBorders>
              <w:top w:val="single" w:sz="6" w:space="0" w:color="221F20"/>
              <w:left w:val="single" w:sz="6" w:space="0" w:color="221F20"/>
              <w:bottom w:val="single" w:sz="6" w:space="0" w:color="221F20"/>
              <w:right w:val="single" w:sz="6" w:space="0" w:color="221F20"/>
            </w:tcBorders>
          </w:tcPr>
          <w:p w14:paraId="4C022C8E"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3" w:type="dxa"/>
            <w:tcBorders>
              <w:top w:val="single" w:sz="6" w:space="0" w:color="221F20"/>
              <w:left w:val="single" w:sz="6" w:space="0" w:color="221F20"/>
              <w:bottom w:val="single" w:sz="6" w:space="0" w:color="221F20"/>
              <w:right w:val="single" w:sz="6" w:space="0" w:color="221F20"/>
            </w:tcBorders>
          </w:tcPr>
          <w:p w14:paraId="0A74255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7D2A2F5A" w14:textId="77777777">
        <w:trPr>
          <w:trHeight w:val="254"/>
        </w:trPr>
        <w:tc>
          <w:tcPr>
            <w:tcW w:w="407" w:type="dxa"/>
            <w:tcBorders>
              <w:top w:val="single" w:sz="6" w:space="0" w:color="221F20"/>
              <w:left w:val="single" w:sz="6" w:space="0" w:color="221F20"/>
              <w:bottom w:val="single" w:sz="6" w:space="0" w:color="221F20"/>
              <w:right w:val="single" w:sz="6" w:space="0" w:color="221F20"/>
            </w:tcBorders>
          </w:tcPr>
          <w:p w14:paraId="0333F8D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740" w:type="dxa"/>
            <w:tcBorders>
              <w:top w:val="single" w:sz="6" w:space="0" w:color="221F20"/>
              <w:left w:val="single" w:sz="6" w:space="0" w:color="221F20"/>
              <w:bottom w:val="single" w:sz="6" w:space="0" w:color="221F20"/>
              <w:right w:val="single" w:sz="6" w:space="0" w:color="221F20"/>
            </w:tcBorders>
            <w:vAlign w:val="bottom"/>
          </w:tcPr>
          <w:p w14:paraId="7BDF2C38"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Aptitude to generate and expand on existing information</w:t>
            </w:r>
          </w:p>
        </w:tc>
        <w:tc>
          <w:tcPr>
            <w:tcW w:w="953" w:type="dxa"/>
            <w:tcBorders>
              <w:top w:val="single" w:sz="6" w:space="0" w:color="221F20"/>
              <w:left w:val="single" w:sz="6" w:space="0" w:color="221F20"/>
              <w:bottom w:val="single" w:sz="6" w:space="0" w:color="221F20"/>
              <w:right w:val="single" w:sz="6" w:space="0" w:color="221F20"/>
            </w:tcBorders>
          </w:tcPr>
          <w:p w14:paraId="3BB05CCD"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64" w:type="dxa"/>
            <w:tcBorders>
              <w:top w:val="single" w:sz="6" w:space="0" w:color="221F20"/>
              <w:left w:val="single" w:sz="6" w:space="0" w:color="221F20"/>
              <w:bottom w:val="single" w:sz="6" w:space="0" w:color="221F20"/>
              <w:right w:val="single" w:sz="6" w:space="0" w:color="221F20"/>
            </w:tcBorders>
          </w:tcPr>
          <w:p w14:paraId="77E509F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70" w:type="dxa"/>
            <w:tcBorders>
              <w:top w:val="single" w:sz="6" w:space="0" w:color="221F20"/>
              <w:left w:val="single" w:sz="6" w:space="0" w:color="221F20"/>
              <w:bottom w:val="single" w:sz="6" w:space="0" w:color="221F20"/>
              <w:right w:val="single" w:sz="6" w:space="0" w:color="221F20"/>
            </w:tcBorders>
          </w:tcPr>
          <w:p w14:paraId="28BD8090"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16" w:type="dxa"/>
            <w:tcBorders>
              <w:top w:val="single" w:sz="6" w:space="0" w:color="221F20"/>
              <w:left w:val="single" w:sz="6" w:space="0" w:color="221F20"/>
              <w:bottom w:val="single" w:sz="6" w:space="0" w:color="221F20"/>
              <w:right w:val="single" w:sz="6" w:space="0" w:color="221F20"/>
            </w:tcBorders>
          </w:tcPr>
          <w:p w14:paraId="08F9D0C9"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53" w:type="dxa"/>
            <w:tcBorders>
              <w:top w:val="single" w:sz="6" w:space="0" w:color="221F20"/>
              <w:left w:val="single" w:sz="6" w:space="0" w:color="221F20"/>
              <w:bottom w:val="single" w:sz="6" w:space="0" w:color="221F20"/>
              <w:right w:val="single" w:sz="6" w:space="0" w:color="221F20"/>
            </w:tcBorders>
          </w:tcPr>
          <w:p w14:paraId="72CB5288"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56678AF4" w14:textId="77777777" w:rsidR="00B01D46" w:rsidRDefault="00B01D46">
      <w:pPr>
        <w:pStyle w:val="NormalWeb"/>
        <w:shd w:val="clear" w:color="auto" w:fill="FFFFFF"/>
        <w:tabs>
          <w:tab w:val="left" w:pos="360"/>
        </w:tabs>
        <w:autoSpaceDE w:val="0"/>
        <w:autoSpaceDN w:val="0"/>
        <w:adjustRightInd w:val="0"/>
        <w:spacing w:before="120" w:after="0" w:line="360" w:lineRule="auto"/>
        <w:jc w:val="both"/>
        <w:rPr>
          <w:b/>
        </w:rPr>
      </w:pPr>
    </w:p>
    <w:p w14:paraId="5D4A84D6" w14:textId="77777777" w:rsidR="00B01D46" w:rsidRDefault="0067013E">
      <w:pPr>
        <w:pStyle w:val="NoSpacing"/>
        <w:spacing w:line="360" w:lineRule="auto"/>
        <w:rPr>
          <w:rFonts w:ascii="Times New Roman" w:hAnsi="Times New Roman" w:cs="Times New Roman"/>
          <w:sz w:val="24"/>
          <w:szCs w:val="24"/>
        </w:rPr>
      </w:pPr>
      <w:r>
        <w:rPr>
          <w:rFonts w:ascii="Times New Roman" w:hAnsi="Times New Roman" w:cs="Times New Roman"/>
          <w:sz w:val="24"/>
          <w:szCs w:val="24"/>
        </w:rPr>
        <w:lastRenderedPageBreak/>
        <w:t>(b) Any other skill and knowledge</w:t>
      </w:r>
    </w:p>
    <w:p w14:paraId="0ED6E98D" w14:textId="77777777" w:rsidR="00B01D46" w:rsidRDefault="0067013E">
      <w:pPr>
        <w:spacing w:after="131" w:line="240" w:lineRule="auto"/>
        <w:ind w:left="900"/>
        <w:rPr>
          <w:rFonts w:ascii="Times New Roman" w:hAnsi="Times New Roman" w:cs="Times New Roman"/>
          <w:sz w:val="24"/>
          <w:szCs w:val="24"/>
        </w:rPr>
      </w:pPr>
      <w:r>
        <w:rPr>
          <w:rFonts w:ascii="Times New Roman" w:hAnsi="Times New Roman" w:cs="Times New Roman"/>
          <w:sz w:val="24"/>
          <w:szCs w:val="24"/>
        </w:rPr>
        <w:t>………………………………………………………………………………………………………………………………………………………………………………………………………………………………………………………………</w:t>
      </w:r>
    </w:p>
    <w:p w14:paraId="65CA7799" w14:textId="77777777" w:rsidR="00B01D46" w:rsidRDefault="0067013E">
      <w:pPr>
        <w:pStyle w:val="NoSpacing"/>
        <w:numPr>
          <w:ilvl w:val="0"/>
          <w:numId w:val="21"/>
        </w:numPr>
        <w:spacing w:line="360" w:lineRule="auto"/>
        <w:ind w:right="8"/>
        <w:rPr>
          <w:rFonts w:ascii="Times New Roman" w:hAnsi="Times New Roman" w:cs="Times New Roman"/>
          <w:sz w:val="24"/>
          <w:szCs w:val="24"/>
        </w:rPr>
      </w:pPr>
      <w:r>
        <w:rPr>
          <w:rFonts w:ascii="Times New Roman" w:hAnsi="Times New Roman" w:cs="Times New Roman"/>
          <w:sz w:val="24"/>
          <w:szCs w:val="24"/>
        </w:rPr>
        <w:t>In your view, are the skills adequate in facilitating ILS instruction and learning</w:t>
      </w:r>
    </w:p>
    <w:p w14:paraId="235B1D53" w14:textId="77777777" w:rsidR="00B01D46" w:rsidRDefault="0067013E">
      <w:pPr>
        <w:pStyle w:val="ListParagraph"/>
        <w:spacing w:after="131" w:line="240" w:lineRule="auto"/>
        <w:ind w:left="900" w:firstLine="0"/>
        <w:rPr>
          <w:szCs w:val="24"/>
        </w:rPr>
      </w:pPr>
      <w:r>
        <w:rPr>
          <w:szCs w:val="24"/>
        </w:rPr>
        <w:t>………………………………………………………………………………………………………………………………………………………………………………………………………………………………………………………………</w:t>
      </w:r>
    </w:p>
    <w:p w14:paraId="7980AC7A" w14:textId="77777777" w:rsidR="00B01D46" w:rsidRDefault="0067013E">
      <w:pPr>
        <w:pStyle w:val="NoSpacing"/>
        <w:numPr>
          <w:ilvl w:val="0"/>
          <w:numId w:val="21"/>
        </w:numPr>
        <w:spacing w:line="360" w:lineRule="auto"/>
        <w:ind w:right="8"/>
        <w:rPr>
          <w:rFonts w:ascii="Times New Roman" w:hAnsi="Times New Roman" w:cs="Times New Roman"/>
          <w:sz w:val="24"/>
          <w:szCs w:val="24"/>
        </w:rPr>
      </w:pPr>
      <w:bookmarkStart w:id="2524" w:name="_Hlk159078034"/>
      <w:r>
        <w:rPr>
          <w:rFonts w:ascii="Times New Roman" w:hAnsi="Times New Roman" w:cs="Times New Roman"/>
          <w:sz w:val="24"/>
          <w:szCs w:val="24"/>
        </w:rPr>
        <w:t>In your view, what needs to be done to enhance the skills of staff facilitating ILS among medical undergraduate students</w:t>
      </w:r>
    </w:p>
    <w:p w14:paraId="5865AE6B" w14:textId="77777777" w:rsidR="00B01D46" w:rsidRDefault="0067013E">
      <w:pPr>
        <w:pStyle w:val="ListParagraph"/>
        <w:spacing w:after="131" w:line="240" w:lineRule="auto"/>
        <w:ind w:left="900" w:firstLine="0"/>
        <w:rPr>
          <w:szCs w:val="24"/>
        </w:rPr>
      </w:pPr>
      <w:r>
        <w:rPr>
          <w:szCs w:val="24"/>
        </w:rPr>
        <w:t>……………………………………………………………………………………………………………………………………………………………………………………………………………………………………………………………….</w:t>
      </w:r>
    </w:p>
    <w:bookmarkEnd w:id="2524"/>
    <w:p w14:paraId="4FE12081" w14:textId="77777777" w:rsidR="00B01D46" w:rsidRDefault="0067013E">
      <w:pPr>
        <w:pStyle w:val="NormalWeb"/>
        <w:shd w:val="clear" w:color="auto" w:fill="FFFFFF"/>
        <w:tabs>
          <w:tab w:val="left" w:pos="0"/>
        </w:tabs>
        <w:autoSpaceDE w:val="0"/>
        <w:autoSpaceDN w:val="0"/>
        <w:adjustRightInd w:val="0"/>
        <w:spacing w:before="120" w:after="0" w:line="360" w:lineRule="auto"/>
        <w:jc w:val="both"/>
        <w:rPr>
          <w:b/>
        </w:rPr>
      </w:pPr>
      <w:r>
        <w:rPr>
          <w:b/>
        </w:rPr>
        <w:t>G. R</w:t>
      </w:r>
      <w:r>
        <w:rPr>
          <w:rFonts w:eastAsia="Calibri"/>
          <w:b/>
        </w:rPr>
        <w:t>ole of ICT in Promoting the Training and Learning of Information Literacy Skills among Undergraduate Medical Students</w:t>
      </w:r>
    </w:p>
    <w:p w14:paraId="0AA8C258" w14:textId="77777777" w:rsidR="00B01D46" w:rsidRDefault="0067013E">
      <w:pPr>
        <w:spacing w:after="140" w:line="360" w:lineRule="auto"/>
        <w:ind w:left="360" w:right="8"/>
        <w:rPr>
          <w:rFonts w:ascii="Times New Roman" w:hAnsi="Times New Roman" w:cs="Times New Roman"/>
          <w:sz w:val="24"/>
          <w:szCs w:val="24"/>
        </w:rPr>
      </w:pPr>
      <w:r>
        <w:rPr>
          <w:rFonts w:ascii="Times New Roman" w:hAnsi="Times New Roman" w:cs="Times New Roman"/>
          <w:sz w:val="24"/>
          <w:szCs w:val="24"/>
        </w:rPr>
        <w:t>1. How do students integrate ICT skills with ILS</w:t>
      </w:r>
    </w:p>
    <w:p w14:paraId="07345668" w14:textId="77777777" w:rsidR="00B01D46" w:rsidRDefault="0067013E">
      <w:pPr>
        <w:pStyle w:val="NormalWeb"/>
        <w:shd w:val="clear" w:color="auto" w:fill="FFFFFF"/>
        <w:tabs>
          <w:tab w:val="left" w:pos="360"/>
        </w:tabs>
        <w:autoSpaceDE w:val="0"/>
        <w:autoSpaceDN w:val="0"/>
        <w:adjustRightInd w:val="0"/>
        <w:spacing w:before="120" w:after="0" w:line="360" w:lineRule="auto"/>
        <w:ind w:left="720"/>
        <w:jc w:val="both"/>
        <w:rPr>
          <w:b/>
        </w:rPr>
      </w:pPr>
      <w:r>
        <w:rPr>
          <w:b/>
        </w:rPr>
        <w:t>(</w:t>
      </w:r>
      <w:r>
        <w:rPr>
          <w:i/>
        </w:rPr>
        <w:t xml:space="preserve">Please </w:t>
      </w:r>
      <w:r>
        <w:rPr>
          <w:b/>
          <w:i/>
        </w:rPr>
        <w:t>CIRCLE</w:t>
      </w:r>
      <w:r>
        <w:rPr>
          <w:i/>
        </w:rPr>
        <w:t xml:space="preserve"> the number beside each statement that </w:t>
      </w:r>
      <w:r>
        <w:rPr>
          <w:b/>
          <w:i/>
        </w:rPr>
        <w:t>most accurately</w:t>
      </w:r>
      <w:r>
        <w:rPr>
          <w:i/>
        </w:rPr>
        <w:t xml:space="preserve"> reflects the extent to which you agree or disagree meaning 1 is </w:t>
      </w:r>
      <w:r>
        <w:rPr>
          <w:b/>
          <w:i/>
          <w:u w:val="single" w:color="000000"/>
        </w:rPr>
        <w:t>strongly DISAGREE</w:t>
      </w:r>
      <w:r>
        <w:rPr>
          <w:i/>
        </w:rPr>
        <w:t xml:space="preserve"> and 5 means you </w:t>
      </w:r>
      <w:r>
        <w:rPr>
          <w:b/>
          <w:i/>
          <w:u w:val="single" w:color="000000"/>
        </w:rPr>
        <w:t>Strongly AGREE</w:t>
      </w:r>
      <w:r>
        <w:rPr>
          <w:i/>
        </w:rPr>
        <w:t xml:space="preserve"> with the statement</w:t>
      </w:r>
      <w:r>
        <w:rPr>
          <w:b/>
          <w:i/>
        </w:rPr>
        <w:t>)</w:t>
      </w:r>
    </w:p>
    <w:tbl>
      <w:tblPr>
        <w:tblStyle w:val="TableGrid0"/>
        <w:tblpPr w:leftFromText="180" w:rightFromText="180" w:vertAnchor="text" w:horzAnchor="margin" w:tblpXSpec="center" w:tblpY="36"/>
        <w:tblW w:w="8463" w:type="dxa"/>
        <w:tblInd w:w="0" w:type="dxa"/>
        <w:tblCellMar>
          <w:top w:w="80" w:type="dxa"/>
          <w:left w:w="80" w:type="dxa"/>
          <w:right w:w="115" w:type="dxa"/>
        </w:tblCellMar>
        <w:tblLook w:val="04A0" w:firstRow="1" w:lastRow="0" w:firstColumn="1" w:lastColumn="0" w:noHBand="0" w:noVBand="1"/>
      </w:tblPr>
      <w:tblGrid>
        <w:gridCol w:w="444"/>
        <w:gridCol w:w="2989"/>
        <w:gridCol w:w="1076"/>
        <w:gridCol w:w="1088"/>
        <w:gridCol w:w="982"/>
        <w:gridCol w:w="808"/>
        <w:gridCol w:w="1076"/>
      </w:tblGrid>
      <w:tr w:rsidR="00B01D46" w14:paraId="45BD9B08" w14:textId="77777777">
        <w:trPr>
          <w:trHeight w:val="110"/>
        </w:trPr>
        <w:tc>
          <w:tcPr>
            <w:tcW w:w="444" w:type="dxa"/>
            <w:tcBorders>
              <w:top w:val="single" w:sz="6" w:space="0" w:color="221F20"/>
              <w:left w:val="single" w:sz="6" w:space="0" w:color="221F20"/>
              <w:bottom w:val="single" w:sz="6" w:space="0" w:color="221F20"/>
              <w:right w:val="single" w:sz="6" w:space="0" w:color="221F20"/>
            </w:tcBorders>
          </w:tcPr>
          <w:p w14:paraId="7DE37C3D" w14:textId="77777777" w:rsidR="00B01D46" w:rsidRDefault="00B01D46">
            <w:pPr>
              <w:spacing w:after="0" w:line="360" w:lineRule="auto"/>
              <w:rPr>
                <w:rFonts w:ascii="Times New Roman" w:hAnsi="Times New Roman" w:cs="Times New Roman"/>
                <w:sz w:val="24"/>
                <w:szCs w:val="24"/>
              </w:rPr>
            </w:pPr>
          </w:p>
        </w:tc>
        <w:tc>
          <w:tcPr>
            <w:tcW w:w="2989" w:type="dxa"/>
            <w:tcBorders>
              <w:top w:val="single" w:sz="6" w:space="0" w:color="221F20"/>
              <w:left w:val="single" w:sz="6" w:space="0" w:color="221F20"/>
              <w:bottom w:val="single" w:sz="6" w:space="0" w:color="221F20"/>
              <w:right w:val="single" w:sz="6" w:space="0" w:color="221F20"/>
            </w:tcBorders>
          </w:tcPr>
          <w:p w14:paraId="1B2233A9" w14:textId="77777777" w:rsidR="00B01D46" w:rsidRDefault="0067013E">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How do students integrate ICT skills with ILS</w:t>
            </w:r>
          </w:p>
        </w:tc>
        <w:tc>
          <w:tcPr>
            <w:tcW w:w="1076" w:type="dxa"/>
            <w:tcBorders>
              <w:top w:val="single" w:sz="6" w:space="0" w:color="221F20"/>
              <w:left w:val="single" w:sz="6" w:space="0" w:color="221F20"/>
              <w:bottom w:val="single" w:sz="6" w:space="0" w:color="221F20"/>
              <w:right w:val="single" w:sz="6" w:space="0" w:color="221F20"/>
            </w:tcBorders>
          </w:tcPr>
          <w:p w14:paraId="0A24ABD8"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Strongly disagree</w:t>
            </w:r>
          </w:p>
        </w:tc>
        <w:tc>
          <w:tcPr>
            <w:tcW w:w="1088" w:type="dxa"/>
            <w:tcBorders>
              <w:top w:val="single" w:sz="6" w:space="0" w:color="221F20"/>
              <w:left w:val="single" w:sz="6" w:space="0" w:color="221F20"/>
              <w:bottom w:val="single" w:sz="6" w:space="0" w:color="221F20"/>
              <w:right w:val="single" w:sz="6" w:space="0" w:color="221F20"/>
            </w:tcBorders>
          </w:tcPr>
          <w:p w14:paraId="3BE141F4"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Disagree </w:t>
            </w:r>
          </w:p>
        </w:tc>
        <w:tc>
          <w:tcPr>
            <w:tcW w:w="982" w:type="dxa"/>
            <w:tcBorders>
              <w:top w:val="single" w:sz="6" w:space="0" w:color="221F20"/>
              <w:left w:val="single" w:sz="6" w:space="0" w:color="221F20"/>
              <w:bottom w:val="single" w:sz="6" w:space="0" w:color="221F20"/>
              <w:right w:val="single" w:sz="6" w:space="0" w:color="221F20"/>
            </w:tcBorders>
          </w:tcPr>
          <w:p w14:paraId="4BAC083B"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Neutral </w:t>
            </w:r>
          </w:p>
        </w:tc>
        <w:tc>
          <w:tcPr>
            <w:tcW w:w="808" w:type="dxa"/>
            <w:tcBorders>
              <w:top w:val="single" w:sz="6" w:space="0" w:color="221F20"/>
              <w:left w:val="single" w:sz="6" w:space="0" w:color="221F20"/>
              <w:bottom w:val="single" w:sz="6" w:space="0" w:color="221F20"/>
              <w:right w:val="single" w:sz="6" w:space="0" w:color="221F20"/>
            </w:tcBorders>
          </w:tcPr>
          <w:p w14:paraId="21C48A10" w14:textId="77777777" w:rsidR="00B01D46" w:rsidRDefault="0067013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Agree </w:t>
            </w:r>
          </w:p>
        </w:tc>
        <w:tc>
          <w:tcPr>
            <w:tcW w:w="1076" w:type="dxa"/>
            <w:tcBorders>
              <w:top w:val="single" w:sz="6" w:space="0" w:color="221F20"/>
              <w:left w:val="single" w:sz="6" w:space="0" w:color="221F20"/>
              <w:bottom w:val="single" w:sz="6" w:space="0" w:color="221F20"/>
              <w:right w:val="single" w:sz="6" w:space="0" w:color="221F20"/>
            </w:tcBorders>
          </w:tcPr>
          <w:p w14:paraId="0BF15E5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499C0660" w14:textId="77777777">
        <w:trPr>
          <w:trHeight w:val="110"/>
        </w:trPr>
        <w:tc>
          <w:tcPr>
            <w:tcW w:w="444" w:type="dxa"/>
            <w:tcBorders>
              <w:top w:val="single" w:sz="6" w:space="0" w:color="221F20"/>
              <w:left w:val="single" w:sz="6" w:space="0" w:color="221F20"/>
              <w:bottom w:val="single" w:sz="6" w:space="0" w:color="221F20"/>
              <w:right w:val="single" w:sz="6" w:space="0" w:color="221F20"/>
            </w:tcBorders>
          </w:tcPr>
          <w:p w14:paraId="15F150CF"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989" w:type="dxa"/>
            <w:tcBorders>
              <w:top w:val="single" w:sz="6" w:space="0" w:color="221F20"/>
              <w:left w:val="single" w:sz="6" w:space="0" w:color="221F20"/>
              <w:bottom w:val="single" w:sz="6" w:space="0" w:color="221F20"/>
              <w:right w:val="single" w:sz="6" w:space="0" w:color="221F20"/>
            </w:tcBorders>
            <w:vAlign w:val="bottom"/>
          </w:tcPr>
          <w:p w14:paraId="65B5D2F0" w14:textId="77777777" w:rsidR="00B01D46" w:rsidRDefault="0067013E">
            <w:pPr>
              <w:spacing w:after="0"/>
              <w:rPr>
                <w:rFonts w:ascii="Times New Roman" w:hAnsi="Times New Roman" w:cs="Times New Roman"/>
                <w:sz w:val="24"/>
                <w:szCs w:val="24"/>
              </w:rPr>
            </w:pPr>
            <w:r>
              <w:rPr>
                <w:rFonts w:ascii="Times New Roman" w:hAnsi="Times New Roman" w:cs="Times New Roman"/>
                <w:sz w:val="24"/>
                <w:szCs w:val="24"/>
              </w:rPr>
              <w:t>Students use computers to prepare reports and term papers</w:t>
            </w:r>
          </w:p>
        </w:tc>
        <w:tc>
          <w:tcPr>
            <w:tcW w:w="1076" w:type="dxa"/>
            <w:tcBorders>
              <w:top w:val="single" w:sz="6" w:space="0" w:color="221F20"/>
              <w:left w:val="single" w:sz="6" w:space="0" w:color="221F20"/>
              <w:bottom w:val="single" w:sz="6" w:space="0" w:color="221F20"/>
              <w:right w:val="single" w:sz="6" w:space="0" w:color="221F20"/>
            </w:tcBorders>
          </w:tcPr>
          <w:p w14:paraId="0B6A34C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047880B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1DEF3AC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7DAE007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1755975A"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57BD6977" w14:textId="77777777">
        <w:trPr>
          <w:trHeight w:val="110"/>
        </w:trPr>
        <w:tc>
          <w:tcPr>
            <w:tcW w:w="444" w:type="dxa"/>
            <w:tcBorders>
              <w:top w:val="single" w:sz="6" w:space="0" w:color="221F20"/>
              <w:left w:val="single" w:sz="6" w:space="0" w:color="221F20"/>
              <w:bottom w:val="single" w:sz="6" w:space="0" w:color="221F20"/>
              <w:right w:val="single" w:sz="6" w:space="0" w:color="221F20"/>
            </w:tcBorders>
          </w:tcPr>
          <w:p w14:paraId="01AD70F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989" w:type="dxa"/>
            <w:tcBorders>
              <w:top w:val="single" w:sz="6" w:space="0" w:color="221F20"/>
              <w:left w:val="single" w:sz="6" w:space="0" w:color="221F20"/>
              <w:bottom w:val="single" w:sz="6" w:space="0" w:color="221F20"/>
              <w:right w:val="single" w:sz="6" w:space="0" w:color="221F20"/>
            </w:tcBorders>
            <w:vAlign w:val="bottom"/>
          </w:tcPr>
          <w:p w14:paraId="75D2556A" w14:textId="77777777" w:rsidR="00B01D46" w:rsidRDefault="0067013E">
            <w:pPr>
              <w:spacing w:after="0"/>
              <w:rPr>
                <w:rFonts w:ascii="Times New Roman" w:hAnsi="Times New Roman" w:cs="Times New Roman"/>
                <w:sz w:val="24"/>
                <w:szCs w:val="24"/>
              </w:rPr>
            </w:pPr>
            <w:r>
              <w:rPr>
                <w:rFonts w:ascii="Times New Roman" w:hAnsi="Times New Roman" w:cs="Times New Roman"/>
                <w:sz w:val="24"/>
                <w:szCs w:val="24"/>
              </w:rPr>
              <w:t>Students use email or other online communication programs effectively</w:t>
            </w:r>
          </w:p>
        </w:tc>
        <w:tc>
          <w:tcPr>
            <w:tcW w:w="1076" w:type="dxa"/>
            <w:tcBorders>
              <w:top w:val="single" w:sz="6" w:space="0" w:color="221F20"/>
              <w:left w:val="single" w:sz="6" w:space="0" w:color="221F20"/>
              <w:bottom w:val="single" w:sz="6" w:space="0" w:color="221F20"/>
              <w:right w:val="single" w:sz="6" w:space="0" w:color="221F20"/>
            </w:tcBorders>
          </w:tcPr>
          <w:p w14:paraId="2123C67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7482611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48D33AE5"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6A873C2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611AAF2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0EAE0F40" w14:textId="77777777">
        <w:trPr>
          <w:trHeight w:val="110"/>
        </w:trPr>
        <w:tc>
          <w:tcPr>
            <w:tcW w:w="444" w:type="dxa"/>
            <w:tcBorders>
              <w:top w:val="single" w:sz="6" w:space="0" w:color="221F20"/>
              <w:left w:val="single" w:sz="6" w:space="0" w:color="221F20"/>
              <w:bottom w:val="single" w:sz="6" w:space="0" w:color="221F20"/>
              <w:right w:val="single" w:sz="6" w:space="0" w:color="221F20"/>
            </w:tcBorders>
          </w:tcPr>
          <w:p w14:paraId="1883EA5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989" w:type="dxa"/>
            <w:tcBorders>
              <w:top w:val="single" w:sz="6" w:space="0" w:color="221F20"/>
              <w:left w:val="single" w:sz="6" w:space="0" w:color="221F20"/>
              <w:bottom w:val="single" w:sz="6" w:space="0" w:color="221F20"/>
              <w:right w:val="single" w:sz="6" w:space="0" w:color="221F20"/>
            </w:tcBorders>
            <w:vAlign w:val="bottom"/>
          </w:tcPr>
          <w:p w14:paraId="17C141CE" w14:textId="77777777" w:rsidR="00B01D46" w:rsidRDefault="0067013E">
            <w:pPr>
              <w:spacing w:after="0"/>
              <w:rPr>
                <w:rFonts w:ascii="Times New Roman" w:hAnsi="Times New Roman" w:cs="Times New Roman"/>
                <w:sz w:val="24"/>
                <w:szCs w:val="24"/>
              </w:rPr>
            </w:pPr>
            <w:r>
              <w:rPr>
                <w:rFonts w:ascii="Times New Roman" w:hAnsi="Times New Roman" w:cs="Times New Roman"/>
                <w:sz w:val="24"/>
                <w:szCs w:val="24"/>
              </w:rPr>
              <w:t>Students search the internet for course-related materials</w:t>
            </w:r>
          </w:p>
        </w:tc>
        <w:tc>
          <w:tcPr>
            <w:tcW w:w="1076" w:type="dxa"/>
            <w:tcBorders>
              <w:top w:val="single" w:sz="6" w:space="0" w:color="221F20"/>
              <w:left w:val="single" w:sz="6" w:space="0" w:color="221F20"/>
              <w:bottom w:val="single" w:sz="6" w:space="0" w:color="221F20"/>
              <w:right w:val="single" w:sz="6" w:space="0" w:color="221F20"/>
            </w:tcBorders>
          </w:tcPr>
          <w:p w14:paraId="6C06328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44CD7C2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1A218C1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140700C1"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6BB4B5C4"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42B38758" w14:textId="77777777">
        <w:trPr>
          <w:trHeight w:val="110"/>
        </w:trPr>
        <w:tc>
          <w:tcPr>
            <w:tcW w:w="444" w:type="dxa"/>
            <w:tcBorders>
              <w:top w:val="single" w:sz="6" w:space="0" w:color="221F20"/>
              <w:left w:val="single" w:sz="6" w:space="0" w:color="221F20"/>
              <w:bottom w:val="single" w:sz="6" w:space="0" w:color="221F20"/>
              <w:right w:val="single" w:sz="6" w:space="0" w:color="221F20"/>
            </w:tcBorders>
          </w:tcPr>
          <w:p w14:paraId="468BC538"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2989" w:type="dxa"/>
            <w:tcBorders>
              <w:top w:val="single" w:sz="6" w:space="0" w:color="221F20"/>
              <w:left w:val="single" w:sz="6" w:space="0" w:color="221F20"/>
              <w:bottom w:val="single" w:sz="6" w:space="0" w:color="221F20"/>
              <w:right w:val="single" w:sz="6" w:space="0" w:color="221F20"/>
            </w:tcBorders>
            <w:vAlign w:val="bottom"/>
          </w:tcPr>
          <w:p w14:paraId="7B19CD4E" w14:textId="77777777" w:rsidR="00B01D46" w:rsidRDefault="0067013E">
            <w:pPr>
              <w:spacing w:after="0"/>
              <w:rPr>
                <w:rFonts w:ascii="Times New Roman" w:hAnsi="Times New Roman" w:cs="Times New Roman"/>
                <w:sz w:val="24"/>
                <w:szCs w:val="24"/>
              </w:rPr>
            </w:pPr>
            <w:r>
              <w:rPr>
                <w:rFonts w:ascii="Times New Roman" w:hAnsi="Times New Roman" w:cs="Times New Roman"/>
                <w:sz w:val="24"/>
                <w:szCs w:val="24"/>
              </w:rPr>
              <w:t>Students use electronic databases with ease to get needed information</w:t>
            </w:r>
          </w:p>
        </w:tc>
        <w:tc>
          <w:tcPr>
            <w:tcW w:w="1076" w:type="dxa"/>
            <w:tcBorders>
              <w:top w:val="single" w:sz="6" w:space="0" w:color="221F20"/>
              <w:left w:val="single" w:sz="6" w:space="0" w:color="221F20"/>
              <w:bottom w:val="single" w:sz="6" w:space="0" w:color="221F20"/>
              <w:right w:val="single" w:sz="6" w:space="0" w:color="221F20"/>
            </w:tcBorders>
          </w:tcPr>
          <w:p w14:paraId="27E632F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453E949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0CD70A5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30B3BEB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7AA90F0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4CE9479" w14:textId="77777777">
        <w:trPr>
          <w:trHeight w:val="110"/>
        </w:trPr>
        <w:tc>
          <w:tcPr>
            <w:tcW w:w="444" w:type="dxa"/>
            <w:tcBorders>
              <w:top w:val="single" w:sz="6" w:space="0" w:color="221F20"/>
              <w:left w:val="single" w:sz="6" w:space="0" w:color="221F20"/>
              <w:bottom w:val="single" w:sz="6" w:space="0" w:color="221F20"/>
              <w:right w:val="single" w:sz="6" w:space="0" w:color="221F20"/>
            </w:tcBorders>
          </w:tcPr>
          <w:p w14:paraId="7C5C0D2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989" w:type="dxa"/>
            <w:tcBorders>
              <w:top w:val="single" w:sz="6" w:space="0" w:color="221F20"/>
              <w:left w:val="single" w:sz="6" w:space="0" w:color="221F20"/>
              <w:bottom w:val="single" w:sz="6" w:space="0" w:color="221F20"/>
              <w:right w:val="single" w:sz="6" w:space="0" w:color="221F20"/>
            </w:tcBorders>
            <w:vAlign w:val="bottom"/>
          </w:tcPr>
          <w:p w14:paraId="7271E80F" w14:textId="77777777" w:rsidR="00B01D46" w:rsidRDefault="0067013E">
            <w:pPr>
              <w:spacing w:after="0"/>
              <w:rPr>
                <w:rFonts w:ascii="Times New Roman" w:hAnsi="Times New Roman" w:cs="Times New Roman"/>
                <w:sz w:val="24"/>
                <w:szCs w:val="24"/>
              </w:rPr>
            </w:pPr>
            <w:r>
              <w:rPr>
                <w:rFonts w:ascii="Times New Roman" w:hAnsi="Times New Roman" w:cs="Times New Roman"/>
                <w:sz w:val="24"/>
                <w:szCs w:val="24"/>
              </w:rPr>
              <w:t xml:space="preserve">Students understand how to evaluate free information on the internet for validity  </w:t>
            </w:r>
          </w:p>
        </w:tc>
        <w:tc>
          <w:tcPr>
            <w:tcW w:w="1076" w:type="dxa"/>
            <w:tcBorders>
              <w:top w:val="single" w:sz="6" w:space="0" w:color="221F20"/>
              <w:left w:val="single" w:sz="6" w:space="0" w:color="221F20"/>
              <w:bottom w:val="single" w:sz="6" w:space="0" w:color="221F20"/>
              <w:right w:val="single" w:sz="6" w:space="0" w:color="221F20"/>
            </w:tcBorders>
          </w:tcPr>
          <w:p w14:paraId="16E0858E"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3E70670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792DA4E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671CFE1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5E4C00F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4A0375BE" w14:textId="77777777">
        <w:trPr>
          <w:trHeight w:val="110"/>
        </w:trPr>
        <w:tc>
          <w:tcPr>
            <w:tcW w:w="444" w:type="dxa"/>
            <w:tcBorders>
              <w:top w:val="single" w:sz="6" w:space="0" w:color="221F20"/>
              <w:left w:val="single" w:sz="6" w:space="0" w:color="221F20"/>
              <w:bottom w:val="single" w:sz="6" w:space="0" w:color="221F20"/>
              <w:right w:val="single" w:sz="6" w:space="0" w:color="221F20"/>
            </w:tcBorders>
          </w:tcPr>
          <w:p w14:paraId="2422A00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989" w:type="dxa"/>
            <w:tcBorders>
              <w:top w:val="single" w:sz="6" w:space="0" w:color="221F20"/>
              <w:left w:val="single" w:sz="6" w:space="0" w:color="221F20"/>
              <w:bottom w:val="single" w:sz="6" w:space="0" w:color="221F20"/>
              <w:right w:val="single" w:sz="6" w:space="0" w:color="221F20"/>
            </w:tcBorders>
            <w:vAlign w:val="bottom"/>
          </w:tcPr>
          <w:p w14:paraId="5F61FD9D" w14:textId="77777777" w:rsidR="00B01D46" w:rsidRDefault="0067013E">
            <w:pPr>
              <w:spacing w:after="0"/>
              <w:rPr>
                <w:rFonts w:ascii="Times New Roman" w:hAnsi="Times New Roman" w:cs="Times New Roman"/>
                <w:sz w:val="24"/>
                <w:szCs w:val="24"/>
              </w:rPr>
            </w:pPr>
            <w:r>
              <w:rPr>
                <w:rFonts w:ascii="Times New Roman" w:hAnsi="Times New Roman" w:cs="Times New Roman"/>
                <w:sz w:val="24"/>
                <w:szCs w:val="24"/>
              </w:rPr>
              <w:t>Students use electronic sources as their priority when looking for information</w:t>
            </w:r>
          </w:p>
        </w:tc>
        <w:tc>
          <w:tcPr>
            <w:tcW w:w="1076" w:type="dxa"/>
            <w:tcBorders>
              <w:top w:val="single" w:sz="6" w:space="0" w:color="221F20"/>
              <w:left w:val="single" w:sz="6" w:space="0" w:color="221F20"/>
              <w:bottom w:val="single" w:sz="6" w:space="0" w:color="221F20"/>
              <w:right w:val="single" w:sz="6" w:space="0" w:color="221F20"/>
            </w:tcBorders>
          </w:tcPr>
          <w:p w14:paraId="4D4B5E6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5F71849C"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20F943CB"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15AA848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49AB41AD"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2652BA3" w14:textId="77777777">
        <w:trPr>
          <w:trHeight w:val="110"/>
        </w:trPr>
        <w:tc>
          <w:tcPr>
            <w:tcW w:w="444" w:type="dxa"/>
            <w:tcBorders>
              <w:top w:val="single" w:sz="6" w:space="0" w:color="221F20"/>
              <w:left w:val="single" w:sz="6" w:space="0" w:color="221F20"/>
              <w:bottom w:val="single" w:sz="6" w:space="0" w:color="221F20"/>
              <w:right w:val="single" w:sz="6" w:space="0" w:color="221F20"/>
            </w:tcBorders>
          </w:tcPr>
          <w:p w14:paraId="01C8E972"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989" w:type="dxa"/>
            <w:tcBorders>
              <w:top w:val="single" w:sz="6" w:space="0" w:color="221F20"/>
              <w:left w:val="single" w:sz="6" w:space="0" w:color="221F20"/>
              <w:bottom w:val="single" w:sz="6" w:space="0" w:color="221F20"/>
              <w:right w:val="single" w:sz="6" w:space="0" w:color="221F20"/>
            </w:tcBorders>
            <w:vAlign w:val="bottom"/>
          </w:tcPr>
          <w:p w14:paraId="13B071B7" w14:textId="77777777" w:rsidR="00B01D46" w:rsidRDefault="0067013E">
            <w:pPr>
              <w:spacing w:after="0"/>
              <w:rPr>
                <w:rFonts w:ascii="Times New Roman" w:hAnsi="Times New Roman" w:cs="Times New Roman"/>
                <w:sz w:val="24"/>
                <w:szCs w:val="24"/>
              </w:rPr>
            </w:pPr>
            <w:r>
              <w:rPr>
                <w:rFonts w:ascii="Times New Roman" w:hAnsi="Times New Roman" w:cs="Times New Roman"/>
                <w:sz w:val="24"/>
                <w:szCs w:val="24"/>
              </w:rPr>
              <w:t>Students can analysis data with a computer package</w:t>
            </w:r>
          </w:p>
        </w:tc>
        <w:tc>
          <w:tcPr>
            <w:tcW w:w="1076" w:type="dxa"/>
            <w:tcBorders>
              <w:top w:val="single" w:sz="6" w:space="0" w:color="221F20"/>
              <w:left w:val="single" w:sz="6" w:space="0" w:color="221F20"/>
              <w:bottom w:val="single" w:sz="6" w:space="0" w:color="221F20"/>
              <w:right w:val="single" w:sz="6" w:space="0" w:color="221F20"/>
            </w:tcBorders>
          </w:tcPr>
          <w:p w14:paraId="73072EE7"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88" w:type="dxa"/>
            <w:tcBorders>
              <w:top w:val="single" w:sz="6" w:space="0" w:color="221F20"/>
              <w:left w:val="single" w:sz="6" w:space="0" w:color="221F20"/>
              <w:bottom w:val="single" w:sz="6" w:space="0" w:color="221F20"/>
              <w:right w:val="single" w:sz="6" w:space="0" w:color="221F20"/>
            </w:tcBorders>
          </w:tcPr>
          <w:p w14:paraId="759F5850"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82" w:type="dxa"/>
            <w:tcBorders>
              <w:top w:val="single" w:sz="6" w:space="0" w:color="221F20"/>
              <w:left w:val="single" w:sz="6" w:space="0" w:color="221F20"/>
              <w:bottom w:val="single" w:sz="6" w:space="0" w:color="221F20"/>
              <w:right w:val="single" w:sz="6" w:space="0" w:color="221F20"/>
            </w:tcBorders>
          </w:tcPr>
          <w:p w14:paraId="7D0BF3C3"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08" w:type="dxa"/>
            <w:tcBorders>
              <w:top w:val="single" w:sz="6" w:space="0" w:color="221F20"/>
              <w:left w:val="single" w:sz="6" w:space="0" w:color="221F20"/>
              <w:bottom w:val="single" w:sz="6" w:space="0" w:color="221F20"/>
              <w:right w:val="single" w:sz="6" w:space="0" w:color="221F20"/>
            </w:tcBorders>
          </w:tcPr>
          <w:p w14:paraId="4E938609"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76" w:type="dxa"/>
            <w:tcBorders>
              <w:top w:val="single" w:sz="6" w:space="0" w:color="221F20"/>
              <w:left w:val="single" w:sz="6" w:space="0" w:color="221F20"/>
              <w:bottom w:val="single" w:sz="6" w:space="0" w:color="221F20"/>
              <w:right w:val="single" w:sz="6" w:space="0" w:color="221F20"/>
            </w:tcBorders>
          </w:tcPr>
          <w:p w14:paraId="0C89ED66" w14:textId="77777777" w:rsidR="00B01D46" w:rsidRDefault="006701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1E47CDEE" w14:textId="77777777" w:rsidR="00B01D46" w:rsidRDefault="00B01D46">
      <w:pPr>
        <w:pStyle w:val="ListParagraph"/>
        <w:spacing w:line="360" w:lineRule="auto"/>
        <w:ind w:firstLine="0"/>
        <w:rPr>
          <w:szCs w:val="24"/>
        </w:rPr>
      </w:pPr>
    </w:p>
    <w:p w14:paraId="43B3E267" w14:textId="5E95C116" w:rsidR="00B01D46" w:rsidRDefault="00B01D46">
      <w:pPr>
        <w:spacing w:after="0" w:line="240" w:lineRule="auto"/>
        <w:rPr>
          <w:rFonts w:ascii="Times New Roman" w:eastAsia="Times New Roman" w:hAnsi="Times New Roman" w:cs="Times New Roman"/>
          <w:color w:val="000000"/>
          <w:sz w:val="24"/>
          <w:szCs w:val="24"/>
        </w:rPr>
      </w:pPr>
    </w:p>
    <w:p w14:paraId="38DCC895" w14:textId="77777777" w:rsidR="00B01D46" w:rsidRDefault="0067013E">
      <w:pPr>
        <w:pStyle w:val="ListParagraph"/>
        <w:numPr>
          <w:ilvl w:val="0"/>
          <w:numId w:val="21"/>
        </w:numPr>
        <w:spacing w:after="140" w:line="360" w:lineRule="auto"/>
        <w:ind w:right="8" w:hanging="474"/>
        <w:rPr>
          <w:szCs w:val="24"/>
        </w:rPr>
      </w:pPr>
      <w:r>
        <w:rPr>
          <w:szCs w:val="24"/>
        </w:rPr>
        <w:t>How do you as an instructor use ICT to teach ILS</w:t>
      </w:r>
    </w:p>
    <w:tbl>
      <w:tblPr>
        <w:tblStyle w:val="TableGrid0"/>
        <w:tblpPr w:leftFromText="180" w:rightFromText="180" w:vertAnchor="text" w:horzAnchor="margin" w:tblpXSpec="center" w:tblpY="1534"/>
        <w:tblW w:w="8431" w:type="dxa"/>
        <w:tblInd w:w="0" w:type="dxa"/>
        <w:tblCellMar>
          <w:top w:w="80" w:type="dxa"/>
          <w:left w:w="80" w:type="dxa"/>
          <w:right w:w="115" w:type="dxa"/>
        </w:tblCellMar>
        <w:tblLook w:val="04A0" w:firstRow="1" w:lastRow="0" w:firstColumn="1" w:lastColumn="0" w:noHBand="0" w:noVBand="1"/>
      </w:tblPr>
      <w:tblGrid>
        <w:gridCol w:w="440"/>
        <w:gridCol w:w="2961"/>
        <w:gridCol w:w="1076"/>
        <w:gridCol w:w="1088"/>
        <w:gridCol w:w="982"/>
        <w:gridCol w:w="808"/>
        <w:gridCol w:w="1076"/>
      </w:tblGrid>
      <w:tr w:rsidR="00B01D46" w14:paraId="729C7536" w14:textId="77777777">
        <w:trPr>
          <w:trHeight w:val="272"/>
        </w:trPr>
        <w:tc>
          <w:tcPr>
            <w:tcW w:w="449" w:type="dxa"/>
            <w:tcBorders>
              <w:top w:val="single" w:sz="6" w:space="0" w:color="221F20"/>
              <w:left w:val="single" w:sz="6" w:space="0" w:color="221F20"/>
              <w:bottom w:val="single" w:sz="6" w:space="0" w:color="221F20"/>
              <w:right w:val="single" w:sz="6" w:space="0" w:color="221F20"/>
            </w:tcBorders>
          </w:tcPr>
          <w:p w14:paraId="0907DD51" w14:textId="77777777" w:rsidR="00B01D46" w:rsidRDefault="00B01D46">
            <w:pPr>
              <w:spacing w:line="360" w:lineRule="auto"/>
              <w:rPr>
                <w:rFonts w:ascii="Times New Roman" w:hAnsi="Times New Roman" w:cs="Times New Roman"/>
                <w:sz w:val="24"/>
                <w:szCs w:val="24"/>
              </w:rPr>
            </w:pPr>
          </w:p>
        </w:tc>
        <w:tc>
          <w:tcPr>
            <w:tcW w:w="3057" w:type="dxa"/>
            <w:tcBorders>
              <w:top w:val="single" w:sz="6" w:space="0" w:color="221F20"/>
              <w:left w:val="single" w:sz="6" w:space="0" w:color="221F20"/>
              <w:bottom w:val="single" w:sz="6" w:space="0" w:color="221F20"/>
              <w:right w:val="single" w:sz="6" w:space="0" w:color="221F20"/>
            </w:tcBorders>
          </w:tcPr>
          <w:p w14:paraId="0DC21018" w14:textId="77777777" w:rsidR="00B01D46" w:rsidRDefault="0067013E">
            <w:pPr>
              <w:rPr>
                <w:rFonts w:ascii="Times New Roman" w:eastAsia="Calibri" w:hAnsi="Times New Roman" w:cs="Times New Roman"/>
                <w:b/>
                <w:bCs/>
                <w:sz w:val="24"/>
                <w:szCs w:val="24"/>
              </w:rPr>
            </w:pPr>
            <w:r>
              <w:rPr>
                <w:rFonts w:ascii="Times New Roman" w:hAnsi="Times New Roman" w:cs="Times New Roman"/>
                <w:b/>
                <w:bCs/>
                <w:sz w:val="24"/>
                <w:szCs w:val="24"/>
              </w:rPr>
              <w:t>Application of ICT to teach ILS</w:t>
            </w:r>
          </w:p>
        </w:tc>
        <w:tc>
          <w:tcPr>
            <w:tcW w:w="1054" w:type="dxa"/>
            <w:tcBorders>
              <w:top w:val="single" w:sz="6" w:space="0" w:color="221F20"/>
              <w:left w:val="single" w:sz="6" w:space="0" w:color="221F20"/>
              <w:bottom w:val="single" w:sz="6" w:space="0" w:color="221F20"/>
              <w:right w:val="single" w:sz="6" w:space="0" w:color="221F20"/>
            </w:tcBorders>
          </w:tcPr>
          <w:p w14:paraId="68F02DE0"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Strongly disagree</w:t>
            </w:r>
          </w:p>
        </w:tc>
        <w:tc>
          <w:tcPr>
            <w:tcW w:w="1065" w:type="dxa"/>
            <w:tcBorders>
              <w:top w:val="single" w:sz="6" w:space="0" w:color="221F20"/>
              <w:left w:val="single" w:sz="6" w:space="0" w:color="221F20"/>
              <w:bottom w:val="single" w:sz="6" w:space="0" w:color="221F20"/>
              <w:right w:val="single" w:sz="6" w:space="0" w:color="221F20"/>
            </w:tcBorders>
          </w:tcPr>
          <w:p w14:paraId="611CDD50"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Disagree </w:t>
            </w:r>
          </w:p>
        </w:tc>
        <w:tc>
          <w:tcPr>
            <w:tcW w:w="961" w:type="dxa"/>
            <w:tcBorders>
              <w:top w:val="single" w:sz="6" w:space="0" w:color="221F20"/>
              <w:left w:val="single" w:sz="6" w:space="0" w:color="221F20"/>
              <w:bottom w:val="single" w:sz="6" w:space="0" w:color="221F20"/>
              <w:right w:val="single" w:sz="6" w:space="0" w:color="221F20"/>
            </w:tcBorders>
          </w:tcPr>
          <w:p w14:paraId="2B633854"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Neutral </w:t>
            </w:r>
          </w:p>
        </w:tc>
        <w:tc>
          <w:tcPr>
            <w:tcW w:w="791" w:type="dxa"/>
            <w:tcBorders>
              <w:top w:val="single" w:sz="6" w:space="0" w:color="221F20"/>
              <w:left w:val="single" w:sz="6" w:space="0" w:color="221F20"/>
              <w:bottom w:val="single" w:sz="6" w:space="0" w:color="221F20"/>
              <w:right w:val="single" w:sz="6" w:space="0" w:color="221F20"/>
            </w:tcBorders>
          </w:tcPr>
          <w:p w14:paraId="1874C86F"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Agree </w:t>
            </w:r>
          </w:p>
        </w:tc>
        <w:tc>
          <w:tcPr>
            <w:tcW w:w="1054" w:type="dxa"/>
            <w:tcBorders>
              <w:top w:val="single" w:sz="6" w:space="0" w:color="221F20"/>
              <w:left w:val="single" w:sz="6" w:space="0" w:color="221F20"/>
              <w:bottom w:val="single" w:sz="6" w:space="0" w:color="221F20"/>
              <w:right w:val="single" w:sz="6" w:space="0" w:color="221F20"/>
            </w:tcBorders>
          </w:tcPr>
          <w:p w14:paraId="5339FC9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1AB49F1F" w14:textId="77777777">
        <w:trPr>
          <w:trHeight w:val="272"/>
        </w:trPr>
        <w:tc>
          <w:tcPr>
            <w:tcW w:w="449" w:type="dxa"/>
            <w:tcBorders>
              <w:top w:val="single" w:sz="6" w:space="0" w:color="221F20"/>
              <w:left w:val="single" w:sz="6" w:space="0" w:color="221F20"/>
              <w:bottom w:val="single" w:sz="6" w:space="0" w:color="221F20"/>
              <w:right w:val="single" w:sz="6" w:space="0" w:color="221F20"/>
            </w:tcBorders>
          </w:tcPr>
          <w:p w14:paraId="77498D94"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057" w:type="dxa"/>
            <w:tcBorders>
              <w:top w:val="single" w:sz="6" w:space="0" w:color="221F20"/>
              <w:left w:val="single" w:sz="6" w:space="0" w:color="221F20"/>
              <w:bottom w:val="single" w:sz="6" w:space="0" w:color="221F20"/>
              <w:right w:val="single" w:sz="6" w:space="0" w:color="221F20"/>
            </w:tcBorders>
            <w:vAlign w:val="bottom"/>
          </w:tcPr>
          <w:p w14:paraId="5BC9556F"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Students use computers to prepare reports and term papers</w:t>
            </w:r>
          </w:p>
        </w:tc>
        <w:tc>
          <w:tcPr>
            <w:tcW w:w="1054" w:type="dxa"/>
            <w:tcBorders>
              <w:top w:val="single" w:sz="6" w:space="0" w:color="221F20"/>
              <w:left w:val="single" w:sz="6" w:space="0" w:color="221F20"/>
              <w:bottom w:val="single" w:sz="6" w:space="0" w:color="221F20"/>
              <w:right w:val="single" w:sz="6" w:space="0" w:color="221F20"/>
            </w:tcBorders>
          </w:tcPr>
          <w:p w14:paraId="55DF681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65" w:type="dxa"/>
            <w:tcBorders>
              <w:top w:val="single" w:sz="6" w:space="0" w:color="221F20"/>
              <w:left w:val="single" w:sz="6" w:space="0" w:color="221F20"/>
              <w:bottom w:val="single" w:sz="6" w:space="0" w:color="221F20"/>
              <w:right w:val="single" w:sz="6" w:space="0" w:color="221F20"/>
            </w:tcBorders>
          </w:tcPr>
          <w:p w14:paraId="76A9930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61" w:type="dxa"/>
            <w:tcBorders>
              <w:top w:val="single" w:sz="6" w:space="0" w:color="221F20"/>
              <w:left w:val="single" w:sz="6" w:space="0" w:color="221F20"/>
              <w:bottom w:val="single" w:sz="6" w:space="0" w:color="221F20"/>
              <w:right w:val="single" w:sz="6" w:space="0" w:color="221F20"/>
            </w:tcBorders>
          </w:tcPr>
          <w:p w14:paraId="627B18E3"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91" w:type="dxa"/>
            <w:tcBorders>
              <w:top w:val="single" w:sz="6" w:space="0" w:color="221F20"/>
              <w:left w:val="single" w:sz="6" w:space="0" w:color="221F20"/>
              <w:bottom w:val="single" w:sz="6" w:space="0" w:color="221F20"/>
              <w:right w:val="single" w:sz="6" w:space="0" w:color="221F20"/>
            </w:tcBorders>
          </w:tcPr>
          <w:p w14:paraId="27769B1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54" w:type="dxa"/>
            <w:tcBorders>
              <w:top w:val="single" w:sz="6" w:space="0" w:color="221F20"/>
              <w:left w:val="single" w:sz="6" w:space="0" w:color="221F20"/>
              <w:bottom w:val="single" w:sz="6" w:space="0" w:color="221F20"/>
              <w:right w:val="single" w:sz="6" w:space="0" w:color="221F20"/>
            </w:tcBorders>
          </w:tcPr>
          <w:p w14:paraId="0C28F7B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775AE9F5" w14:textId="77777777">
        <w:trPr>
          <w:trHeight w:val="272"/>
        </w:trPr>
        <w:tc>
          <w:tcPr>
            <w:tcW w:w="449" w:type="dxa"/>
            <w:tcBorders>
              <w:top w:val="single" w:sz="6" w:space="0" w:color="221F20"/>
              <w:left w:val="single" w:sz="6" w:space="0" w:color="221F20"/>
              <w:bottom w:val="single" w:sz="6" w:space="0" w:color="221F20"/>
              <w:right w:val="single" w:sz="6" w:space="0" w:color="221F20"/>
            </w:tcBorders>
          </w:tcPr>
          <w:p w14:paraId="1E49281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057" w:type="dxa"/>
            <w:tcBorders>
              <w:top w:val="single" w:sz="6" w:space="0" w:color="221F20"/>
              <w:left w:val="single" w:sz="6" w:space="0" w:color="221F20"/>
              <w:bottom w:val="single" w:sz="6" w:space="0" w:color="221F20"/>
              <w:right w:val="single" w:sz="6" w:space="0" w:color="221F20"/>
            </w:tcBorders>
            <w:vAlign w:val="bottom"/>
          </w:tcPr>
          <w:p w14:paraId="77943DFD"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Students use email or other online communication programs effectively</w:t>
            </w:r>
          </w:p>
        </w:tc>
        <w:tc>
          <w:tcPr>
            <w:tcW w:w="1054" w:type="dxa"/>
            <w:tcBorders>
              <w:top w:val="single" w:sz="6" w:space="0" w:color="221F20"/>
              <w:left w:val="single" w:sz="6" w:space="0" w:color="221F20"/>
              <w:bottom w:val="single" w:sz="6" w:space="0" w:color="221F20"/>
              <w:right w:val="single" w:sz="6" w:space="0" w:color="221F20"/>
            </w:tcBorders>
          </w:tcPr>
          <w:p w14:paraId="0D1B1D3B"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65" w:type="dxa"/>
            <w:tcBorders>
              <w:top w:val="single" w:sz="6" w:space="0" w:color="221F20"/>
              <w:left w:val="single" w:sz="6" w:space="0" w:color="221F20"/>
              <w:bottom w:val="single" w:sz="6" w:space="0" w:color="221F20"/>
              <w:right w:val="single" w:sz="6" w:space="0" w:color="221F20"/>
            </w:tcBorders>
          </w:tcPr>
          <w:p w14:paraId="643D1FE5"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61" w:type="dxa"/>
            <w:tcBorders>
              <w:top w:val="single" w:sz="6" w:space="0" w:color="221F20"/>
              <w:left w:val="single" w:sz="6" w:space="0" w:color="221F20"/>
              <w:bottom w:val="single" w:sz="6" w:space="0" w:color="221F20"/>
              <w:right w:val="single" w:sz="6" w:space="0" w:color="221F20"/>
            </w:tcBorders>
          </w:tcPr>
          <w:p w14:paraId="17FD8EA1"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91" w:type="dxa"/>
            <w:tcBorders>
              <w:top w:val="single" w:sz="6" w:space="0" w:color="221F20"/>
              <w:left w:val="single" w:sz="6" w:space="0" w:color="221F20"/>
              <w:bottom w:val="single" w:sz="6" w:space="0" w:color="221F20"/>
              <w:right w:val="single" w:sz="6" w:space="0" w:color="221F20"/>
            </w:tcBorders>
          </w:tcPr>
          <w:p w14:paraId="75556252"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54" w:type="dxa"/>
            <w:tcBorders>
              <w:top w:val="single" w:sz="6" w:space="0" w:color="221F20"/>
              <w:left w:val="single" w:sz="6" w:space="0" w:color="221F20"/>
              <w:bottom w:val="single" w:sz="6" w:space="0" w:color="221F20"/>
              <w:right w:val="single" w:sz="6" w:space="0" w:color="221F20"/>
            </w:tcBorders>
          </w:tcPr>
          <w:p w14:paraId="67A9C797"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C0382BC" w14:textId="77777777">
        <w:trPr>
          <w:trHeight w:val="272"/>
        </w:trPr>
        <w:tc>
          <w:tcPr>
            <w:tcW w:w="449" w:type="dxa"/>
            <w:tcBorders>
              <w:top w:val="single" w:sz="6" w:space="0" w:color="221F20"/>
              <w:left w:val="single" w:sz="6" w:space="0" w:color="221F20"/>
              <w:bottom w:val="single" w:sz="6" w:space="0" w:color="221F20"/>
              <w:right w:val="single" w:sz="6" w:space="0" w:color="221F20"/>
            </w:tcBorders>
          </w:tcPr>
          <w:p w14:paraId="75CE50BD"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057" w:type="dxa"/>
            <w:tcBorders>
              <w:top w:val="single" w:sz="6" w:space="0" w:color="221F20"/>
              <w:left w:val="single" w:sz="6" w:space="0" w:color="221F20"/>
              <w:bottom w:val="single" w:sz="6" w:space="0" w:color="221F20"/>
              <w:right w:val="single" w:sz="6" w:space="0" w:color="221F20"/>
            </w:tcBorders>
            <w:vAlign w:val="bottom"/>
          </w:tcPr>
          <w:p w14:paraId="06FC62DE"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Students search the internet for course-related materials</w:t>
            </w:r>
          </w:p>
        </w:tc>
        <w:tc>
          <w:tcPr>
            <w:tcW w:w="1054" w:type="dxa"/>
            <w:tcBorders>
              <w:top w:val="single" w:sz="6" w:space="0" w:color="221F20"/>
              <w:left w:val="single" w:sz="6" w:space="0" w:color="221F20"/>
              <w:bottom w:val="single" w:sz="6" w:space="0" w:color="221F20"/>
              <w:right w:val="single" w:sz="6" w:space="0" w:color="221F20"/>
            </w:tcBorders>
          </w:tcPr>
          <w:p w14:paraId="1B698A09"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65" w:type="dxa"/>
            <w:tcBorders>
              <w:top w:val="single" w:sz="6" w:space="0" w:color="221F20"/>
              <w:left w:val="single" w:sz="6" w:space="0" w:color="221F20"/>
              <w:bottom w:val="single" w:sz="6" w:space="0" w:color="221F20"/>
              <w:right w:val="single" w:sz="6" w:space="0" w:color="221F20"/>
            </w:tcBorders>
          </w:tcPr>
          <w:p w14:paraId="3AE13544"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61" w:type="dxa"/>
            <w:tcBorders>
              <w:top w:val="single" w:sz="6" w:space="0" w:color="221F20"/>
              <w:left w:val="single" w:sz="6" w:space="0" w:color="221F20"/>
              <w:bottom w:val="single" w:sz="6" w:space="0" w:color="221F20"/>
              <w:right w:val="single" w:sz="6" w:space="0" w:color="221F20"/>
            </w:tcBorders>
          </w:tcPr>
          <w:p w14:paraId="6CC53BCE"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91" w:type="dxa"/>
            <w:tcBorders>
              <w:top w:val="single" w:sz="6" w:space="0" w:color="221F20"/>
              <w:left w:val="single" w:sz="6" w:space="0" w:color="221F20"/>
              <w:bottom w:val="single" w:sz="6" w:space="0" w:color="221F20"/>
              <w:right w:val="single" w:sz="6" w:space="0" w:color="221F20"/>
            </w:tcBorders>
          </w:tcPr>
          <w:p w14:paraId="65944053"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54" w:type="dxa"/>
            <w:tcBorders>
              <w:top w:val="single" w:sz="6" w:space="0" w:color="221F20"/>
              <w:left w:val="single" w:sz="6" w:space="0" w:color="221F20"/>
              <w:bottom w:val="single" w:sz="6" w:space="0" w:color="221F20"/>
              <w:right w:val="single" w:sz="6" w:space="0" w:color="221F20"/>
            </w:tcBorders>
          </w:tcPr>
          <w:p w14:paraId="03749EF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42C62AD0" w14:textId="77777777">
        <w:trPr>
          <w:trHeight w:val="272"/>
        </w:trPr>
        <w:tc>
          <w:tcPr>
            <w:tcW w:w="449" w:type="dxa"/>
            <w:tcBorders>
              <w:top w:val="single" w:sz="6" w:space="0" w:color="221F20"/>
              <w:left w:val="single" w:sz="6" w:space="0" w:color="221F20"/>
              <w:bottom w:val="single" w:sz="6" w:space="0" w:color="221F20"/>
              <w:right w:val="single" w:sz="6" w:space="0" w:color="221F20"/>
            </w:tcBorders>
          </w:tcPr>
          <w:p w14:paraId="1DBB3CB1"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057" w:type="dxa"/>
            <w:tcBorders>
              <w:top w:val="single" w:sz="6" w:space="0" w:color="221F20"/>
              <w:left w:val="single" w:sz="6" w:space="0" w:color="221F20"/>
              <w:bottom w:val="single" w:sz="6" w:space="0" w:color="221F20"/>
              <w:right w:val="single" w:sz="6" w:space="0" w:color="221F20"/>
            </w:tcBorders>
            <w:vAlign w:val="bottom"/>
          </w:tcPr>
          <w:p w14:paraId="33141656"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Students use electronic databases with ease to get needed information</w:t>
            </w:r>
          </w:p>
        </w:tc>
        <w:tc>
          <w:tcPr>
            <w:tcW w:w="1054" w:type="dxa"/>
            <w:tcBorders>
              <w:top w:val="single" w:sz="6" w:space="0" w:color="221F20"/>
              <w:left w:val="single" w:sz="6" w:space="0" w:color="221F20"/>
              <w:bottom w:val="single" w:sz="6" w:space="0" w:color="221F20"/>
              <w:right w:val="single" w:sz="6" w:space="0" w:color="221F20"/>
            </w:tcBorders>
          </w:tcPr>
          <w:p w14:paraId="24A9B863"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65" w:type="dxa"/>
            <w:tcBorders>
              <w:top w:val="single" w:sz="6" w:space="0" w:color="221F20"/>
              <w:left w:val="single" w:sz="6" w:space="0" w:color="221F20"/>
              <w:bottom w:val="single" w:sz="6" w:space="0" w:color="221F20"/>
              <w:right w:val="single" w:sz="6" w:space="0" w:color="221F20"/>
            </w:tcBorders>
          </w:tcPr>
          <w:p w14:paraId="1E136AF5"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61" w:type="dxa"/>
            <w:tcBorders>
              <w:top w:val="single" w:sz="6" w:space="0" w:color="221F20"/>
              <w:left w:val="single" w:sz="6" w:space="0" w:color="221F20"/>
              <w:bottom w:val="single" w:sz="6" w:space="0" w:color="221F20"/>
              <w:right w:val="single" w:sz="6" w:space="0" w:color="221F20"/>
            </w:tcBorders>
          </w:tcPr>
          <w:p w14:paraId="69FB0D4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91" w:type="dxa"/>
            <w:tcBorders>
              <w:top w:val="single" w:sz="6" w:space="0" w:color="221F20"/>
              <w:left w:val="single" w:sz="6" w:space="0" w:color="221F20"/>
              <w:bottom w:val="single" w:sz="6" w:space="0" w:color="221F20"/>
              <w:right w:val="single" w:sz="6" w:space="0" w:color="221F20"/>
            </w:tcBorders>
          </w:tcPr>
          <w:p w14:paraId="5F3A03B6"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54" w:type="dxa"/>
            <w:tcBorders>
              <w:top w:val="single" w:sz="6" w:space="0" w:color="221F20"/>
              <w:left w:val="single" w:sz="6" w:space="0" w:color="221F20"/>
              <w:bottom w:val="single" w:sz="6" w:space="0" w:color="221F20"/>
              <w:right w:val="single" w:sz="6" w:space="0" w:color="221F20"/>
            </w:tcBorders>
          </w:tcPr>
          <w:p w14:paraId="4FAD348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14211318" w14:textId="77777777">
        <w:trPr>
          <w:trHeight w:val="272"/>
        </w:trPr>
        <w:tc>
          <w:tcPr>
            <w:tcW w:w="449" w:type="dxa"/>
            <w:tcBorders>
              <w:top w:val="single" w:sz="6" w:space="0" w:color="221F20"/>
              <w:left w:val="single" w:sz="6" w:space="0" w:color="221F20"/>
              <w:bottom w:val="single" w:sz="6" w:space="0" w:color="221F20"/>
              <w:right w:val="single" w:sz="6" w:space="0" w:color="221F20"/>
            </w:tcBorders>
          </w:tcPr>
          <w:p w14:paraId="476557B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057" w:type="dxa"/>
            <w:tcBorders>
              <w:top w:val="single" w:sz="6" w:space="0" w:color="221F20"/>
              <w:left w:val="single" w:sz="6" w:space="0" w:color="221F20"/>
              <w:bottom w:val="single" w:sz="6" w:space="0" w:color="221F20"/>
              <w:right w:val="single" w:sz="6" w:space="0" w:color="221F20"/>
            </w:tcBorders>
            <w:vAlign w:val="bottom"/>
          </w:tcPr>
          <w:p w14:paraId="15E3AFE6"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 xml:space="preserve">Students understand how to evaluate free information on the internet for validity  </w:t>
            </w:r>
          </w:p>
        </w:tc>
        <w:tc>
          <w:tcPr>
            <w:tcW w:w="1054" w:type="dxa"/>
            <w:tcBorders>
              <w:top w:val="single" w:sz="6" w:space="0" w:color="221F20"/>
              <w:left w:val="single" w:sz="6" w:space="0" w:color="221F20"/>
              <w:bottom w:val="single" w:sz="6" w:space="0" w:color="221F20"/>
              <w:right w:val="single" w:sz="6" w:space="0" w:color="221F20"/>
            </w:tcBorders>
          </w:tcPr>
          <w:p w14:paraId="5ADFD3E8"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65" w:type="dxa"/>
            <w:tcBorders>
              <w:top w:val="single" w:sz="6" w:space="0" w:color="221F20"/>
              <w:left w:val="single" w:sz="6" w:space="0" w:color="221F20"/>
              <w:bottom w:val="single" w:sz="6" w:space="0" w:color="221F20"/>
              <w:right w:val="single" w:sz="6" w:space="0" w:color="221F20"/>
            </w:tcBorders>
          </w:tcPr>
          <w:p w14:paraId="57D164D0"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61" w:type="dxa"/>
            <w:tcBorders>
              <w:top w:val="single" w:sz="6" w:space="0" w:color="221F20"/>
              <w:left w:val="single" w:sz="6" w:space="0" w:color="221F20"/>
              <w:bottom w:val="single" w:sz="6" w:space="0" w:color="221F20"/>
              <w:right w:val="single" w:sz="6" w:space="0" w:color="221F20"/>
            </w:tcBorders>
          </w:tcPr>
          <w:p w14:paraId="1715713B"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91" w:type="dxa"/>
            <w:tcBorders>
              <w:top w:val="single" w:sz="6" w:space="0" w:color="221F20"/>
              <w:left w:val="single" w:sz="6" w:space="0" w:color="221F20"/>
              <w:bottom w:val="single" w:sz="6" w:space="0" w:color="221F20"/>
              <w:right w:val="single" w:sz="6" w:space="0" w:color="221F20"/>
            </w:tcBorders>
          </w:tcPr>
          <w:p w14:paraId="2CA5ACF7"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54" w:type="dxa"/>
            <w:tcBorders>
              <w:top w:val="single" w:sz="6" w:space="0" w:color="221F20"/>
              <w:left w:val="single" w:sz="6" w:space="0" w:color="221F20"/>
              <w:bottom w:val="single" w:sz="6" w:space="0" w:color="221F20"/>
              <w:right w:val="single" w:sz="6" w:space="0" w:color="221F20"/>
            </w:tcBorders>
          </w:tcPr>
          <w:p w14:paraId="6AE952F9"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53E64447" w14:textId="77777777" w:rsidR="00B01D46" w:rsidRDefault="0067013E">
      <w:pPr>
        <w:pStyle w:val="NormalWeb"/>
        <w:shd w:val="clear" w:color="auto" w:fill="FFFFFF"/>
        <w:tabs>
          <w:tab w:val="left" w:pos="360"/>
        </w:tabs>
        <w:autoSpaceDE w:val="0"/>
        <w:autoSpaceDN w:val="0"/>
        <w:adjustRightInd w:val="0"/>
        <w:spacing w:before="120" w:after="0" w:line="360" w:lineRule="auto"/>
        <w:ind w:left="720"/>
        <w:jc w:val="both"/>
        <w:rPr>
          <w:b/>
        </w:rPr>
      </w:pPr>
      <w:r>
        <w:rPr>
          <w:b/>
        </w:rPr>
        <w:t xml:space="preserve"> (</w:t>
      </w:r>
      <w:r>
        <w:rPr>
          <w:i/>
        </w:rPr>
        <w:t xml:space="preserve">Please </w:t>
      </w:r>
      <w:r>
        <w:rPr>
          <w:b/>
          <w:i/>
        </w:rPr>
        <w:t>CIRCLE</w:t>
      </w:r>
      <w:r>
        <w:rPr>
          <w:i/>
        </w:rPr>
        <w:t xml:space="preserve"> the number beside each statement that </w:t>
      </w:r>
      <w:r>
        <w:rPr>
          <w:b/>
          <w:i/>
        </w:rPr>
        <w:t>most accurately</w:t>
      </w:r>
      <w:r>
        <w:rPr>
          <w:i/>
        </w:rPr>
        <w:t xml:space="preserve"> reflects the extent to which you agree or disagree meaning 1 is </w:t>
      </w:r>
      <w:r>
        <w:rPr>
          <w:b/>
          <w:i/>
          <w:u w:val="single" w:color="000000"/>
        </w:rPr>
        <w:t>strongly DISAGREE</w:t>
      </w:r>
      <w:r>
        <w:rPr>
          <w:i/>
        </w:rPr>
        <w:t xml:space="preserve"> and 5 means you </w:t>
      </w:r>
      <w:r>
        <w:rPr>
          <w:b/>
          <w:i/>
          <w:u w:val="single" w:color="000000"/>
        </w:rPr>
        <w:t>Strongly AGREE</w:t>
      </w:r>
      <w:r>
        <w:rPr>
          <w:i/>
        </w:rPr>
        <w:t xml:space="preserve"> with the statement</w:t>
      </w:r>
      <w:r>
        <w:rPr>
          <w:b/>
          <w:i/>
        </w:rPr>
        <w:t>)</w:t>
      </w:r>
    </w:p>
    <w:p w14:paraId="43D6395A" w14:textId="77777777" w:rsidR="00B01D46" w:rsidRDefault="00B01D46">
      <w:pPr>
        <w:spacing w:line="360" w:lineRule="auto"/>
        <w:rPr>
          <w:rFonts w:ascii="Times New Roman" w:hAnsi="Times New Roman" w:cs="Times New Roman"/>
          <w:sz w:val="24"/>
          <w:szCs w:val="24"/>
        </w:rPr>
      </w:pPr>
    </w:p>
    <w:p w14:paraId="0C62F835" w14:textId="77777777" w:rsidR="00B01D46" w:rsidRDefault="0067013E">
      <w:pPr>
        <w:pStyle w:val="ListParagraph"/>
        <w:numPr>
          <w:ilvl w:val="0"/>
          <w:numId w:val="21"/>
        </w:numPr>
        <w:spacing w:after="140" w:line="360" w:lineRule="auto"/>
        <w:ind w:right="8"/>
        <w:rPr>
          <w:szCs w:val="24"/>
        </w:rPr>
      </w:pPr>
      <w:bookmarkStart w:id="2525" w:name="_Hlk159078376"/>
      <w:r>
        <w:rPr>
          <w:szCs w:val="24"/>
        </w:rPr>
        <w:lastRenderedPageBreak/>
        <w:t xml:space="preserve">What types of ICT tools and equipment do you use for your ILS teaching? </w:t>
      </w:r>
      <w:bookmarkEnd w:id="2525"/>
      <w:r>
        <w:rPr>
          <w:szCs w:val="24"/>
        </w:rPr>
        <w:t>………………………………………………………………………………………………………………………………………………………………………………………………………………………………………………………………</w:t>
      </w:r>
    </w:p>
    <w:p w14:paraId="4BD8B9CF" w14:textId="77777777" w:rsidR="00B01D46" w:rsidRDefault="0067013E">
      <w:pPr>
        <w:pStyle w:val="ListParagraph"/>
        <w:numPr>
          <w:ilvl w:val="0"/>
          <w:numId w:val="21"/>
        </w:numPr>
        <w:autoSpaceDE w:val="0"/>
        <w:autoSpaceDN w:val="0"/>
        <w:adjustRightInd w:val="0"/>
        <w:spacing w:after="167" w:line="360" w:lineRule="auto"/>
        <w:jc w:val="left"/>
        <w:rPr>
          <w:rFonts w:eastAsiaTheme="minorHAnsi"/>
          <w:szCs w:val="24"/>
        </w:rPr>
      </w:pPr>
      <w:bookmarkStart w:id="2526" w:name="_Hlk159078414"/>
      <w:r>
        <w:rPr>
          <w:rFonts w:eastAsiaTheme="minorHAnsi"/>
          <w:szCs w:val="24"/>
        </w:rPr>
        <w:t xml:space="preserve">What is the level of ICT(s) infrastructure preparedness with regard to ILS learning and training in your institution? </w:t>
      </w:r>
      <w:r>
        <w:rPr>
          <w:szCs w:val="24"/>
        </w:rPr>
        <w:t>………………………………………………………………………………………………………………………………………………………………………………………………………………………………………………………………</w:t>
      </w:r>
    </w:p>
    <w:p w14:paraId="545D08A6" w14:textId="77777777" w:rsidR="00B01D46" w:rsidRDefault="0067013E">
      <w:pPr>
        <w:pStyle w:val="ListParagraph"/>
        <w:numPr>
          <w:ilvl w:val="0"/>
          <w:numId w:val="21"/>
        </w:numPr>
        <w:autoSpaceDE w:val="0"/>
        <w:autoSpaceDN w:val="0"/>
        <w:adjustRightInd w:val="0"/>
        <w:spacing w:after="167" w:line="360" w:lineRule="auto"/>
        <w:jc w:val="left"/>
        <w:rPr>
          <w:rFonts w:eastAsiaTheme="minorHAnsi"/>
          <w:szCs w:val="24"/>
        </w:rPr>
      </w:pPr>
      <w:r>
        <w:rPr>
          <w:szCs w:val="24"/>
        </w:rPr>
        <w:t>What are the success factors of using ICT in your ILS teaching? ………………………………………………………………………………………………………………………………………………………………………………………………………………………………………………………………</w:t>
      </w:r>
    </w:p>
    <w:p w14:paraId="1021A8F7" w14:textId="77777777" w:rsidR="00B01D46" w:rsidRDefault="0067013E">
      <w:pPr>
        <w:pStyle w:val="ListParagraph"/>
        <w:numPr>
          <w:ilvl w:val="0"/>
          <w:numId w:val="21"/>
        </w:numPr>
        <w:spacing w:after="140" w:line="350" w:lineRule="auto"/>
        <w:ind w:right="8"/>
        <w:rPr>
          <w:rFonts w:eastAsia="Calibri"/>
          <w:b/>
          <w:bCs/>
          <w:color w:val="auto"/>
          <w:szCs w:val="24"/>
        </w:rPr>
      </w:pPr>
      <w:r>
        <w:rPr>
          <w:szCs w:val="24"/>
        </w:rPr>
        <w:t xml:space="preserve">What are the </w:t>
      </w:r>
      <w:r>
        <w:rPr>
          <w:rFonts w:eastAsia="Calibri"/>
          <w:szCs w:val="24"/>
        </w:rPr>
        <w:t>challenges hindering effective utilization of ICT tools and devices facilitating ILS?</w:t>
      </w:r>
      <w:r>
        <w:rPr>
          <w:rFonts w:eastAsia="Calibri"/>
          <w:b/>
          <w:bCs/>
          <w:szCs w:val="24"/>
        </w:rPr>
        <w:t xml:space="preserve"> </w:t>
      </w:r>
    </w:p>
    <w:bookmarkEnd w:id="2526"/>
    <w:tbl>
      <w:tblPr>
        <w:tblStyle w:val="TableGrid0"/>
        <w:tblpPr w:leftFromText="180" w:rightFromText="180" w:vertAnchor="text" w:horzAnchor="margin" w:tblpXSpec="center" w:tblpY="1534"/>
        <w:tblW w:w="8195" w:type="dxa"/>
        <w:tblInd w:w="0" w:type="dxa"/>
        <w:tblCellMar>
          <w:top w:w="80" w:type="dxa"/>
          <w:left w:w="80" w:type="dxa"/>
          <w:right w:w="115" w:type="dxa"/>
        </w:tblCellMar>
        <w:tblLook w:val="04A0" w:firstRow="1" w:lastRow="0" w:firstColumn="1" w:lastColumn="0" w:noHBand="0" w:noVBand="1"/>
      </w:tblPr>
      <w:tblGrid>
        <w:gridCol w:w="420"/>
        <w:gridCol w:w="2745"/>
        <w:gridCol w:w="1076"/>
        <w:gridCol w:w="1088"/>
        <w:gridCol w:w="982"/>
        <w:gridCol w:w="808"/>
        <w:gridCol w:w="1076"/>
      </w:tblGrid>
      <w:tr w:rsidR="00B01D46" w14:paraId="6BC2AF97" w14:textId="77777777">
        <w:trPr>
          <w:trHeight w:val="270"/>
        </w:trPr>
        <w:tc>
          <w:tcPr>
            <w:tcW w:w="438" w:type="dxa"/>
            <w:tcBorders>
              <w:top w:val="single" w:sz="6" w:space="0" w:color="221F20"/>
              <w:left w:val="single" w:sz="6" w:space="0" w:color="221F20"/>
              <w:bottom w:val="single" w:sz="6" w:space="0" w:color="221F20"/>
              <w:right w:val="single" w:sz="6" w:space="0" w:color="221F20"/>
            </w:tcBorders>
          </w:tcPr>
          <w:p w14:paraId="765BCB57" w14:textId="77777777" w:rsidR="00B01D46" w:rsidRDefault="00B01D46">
            <w:pPr>
              <w:spacing w:line="360" w:lineRule="auto"/>
              <w:rPr>
                <w:rFonts w:ascii="Times New Roman" w:hAnsi="Times New Roman" w:cs="Times New Roman"/>
                <w:sz w:val="24"/>
                <w:szCs w:val="24"/>
              </w:rPr>
            </w:pPr>
          </w:p>
        </w:tc>
        <w:tc>
          <w:tcPr>
            <w:tcW w:w="2962" w:type="dxa"/>
            <w:tcBorders>
              <w:top w:val="single" w:sz="6" w:space="0" w:color="221F20"/>
              <w:left w:val="single" w:sz="6" w:space="0" w:color="221F20"/>
              <w:bottom w:val="single" w:sz="6" w:space="0" w:color="221F20"/>
              <w:right w:val="single" w:sz="6" w:space="0" w:color="221F20"/>
            </w:tcBorders>
          </w:tcPr>
          <w:p w14:paraId="3A94D0FA" w14:textId="77777777" w:rsidR="00B01D46" w:rsidRDefault="0067013E">
            <w:pPr>
              <w:spacing w:line="48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ICT Challenges </w:t>
            </w:r>
          </w:p>
        </w:tc>
        <w:tc>
          <w:tcPr>
            <w:tcW w:w="1026" w:type="dxa"/>
            <w:tcBorders>
              <w:top w:val="single" w:sz="6" w:space="0" w:color="221F20"/>
              <w:left w:val="single" w:sz="6" w:space="0" w:color="221F20"/>
              <w:bottom w:val="single" w:sz="6" w:space="0" w:color="221F20"/>
              <w:right w:val="single" w:sz="6" w:space="0" w:color="221F20"/>
            </w:tcBorders>
          </w:tcPr>
          <w:p w14:paraId="7A21D0C5"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Strongly disagree</w:t>
            </w:r>
          </w:p>
        </w:tc>
        <w:tc>
          <w:tcPr>
            <w:tcW w:w="1037" w:type="dxa"/>
            <w:tcBorders>
              <w:top w:val="single" w:sz="6" w:space="0" w:color="221F20"/>
              <w:left w:val="single" w:sz="6" w:space="0" w:color="221F20"/>
              <w:bottom w:val="single" w:sz="6" w:space="0" w:color="221F20"/>
              <w:right w:val="single" w:sz="6" w:space="0" w:color="221F20"/>
            </w:tcBorders>
          </w:tcPr>
          <w:p w14:paraId="7E53207B"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Disagree </w:t>
            </w:r>
          </w:p>
        </w:tc>
        <w:tc>
          <w:tcPr>
            <w:tcW w:w="936" w:type="dxa"/>
            <w:tcBorders>
              <w:top w:val="single" w:sz="6" w:space="0" w:color="221F20"/>
              <w:left w:val="single" w:sz="6" w:space="0" w:color="221F20"/>
              <w:bottom w:val="single" w:sz="6" w:space="0" w:color="221F20"/>
              <w:right w:val="single" w:sz="6" w:space="0" w:color="221F20"/>
            </w:tcBorders>
          </w:tcPr>
          <w:p w14:paraId="561205E5"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Neutral </w:t>
            </w:r>
          </w:p>
        </w:tc>
        <w:tc>
          <w:tcPr>
            <w:tcW w:w="770" w:type="dxa"/>
            <w:tcBorders>
              <w:top w:val="single" w:sz="6" w:space="0" w:color="221F20"/>
              <w:left w:val="single" w:sz="6" w:space="0" w:color="221F20"/>
              <w:bottom w:val="single" w:sz="6" w:space="0" w:color="221F20"/>
              <w:right w:val="single" w:sz="6" w:space="0" w:color="221F20"/>
            </w:tcBorders>
          </w:tcPr>
          <w:p w14:paraId="0C78FBBC" w14:textId="77777777" w:rsidR="00B01D46" w:rsidRDefault="0067013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Agree </w:t>
            </w:r>
          </w:p>
        </w:tc>
        <w:tc>
          <w:tcPr>
            <w:tcW w:w="1026" w:type="dxa"/>
            <w:tcBorders>
              <w:top w:val="single" w:sz="6" w:space="0" w:color="221F20"/>
              <w:left w:val="single" w:sz="6" w:space="0" w:color="221F20"/>
              <w:bottom w:val="single" w:sz="6" w:space="0" w:color="221F20"/>
              <w:right w:val="single" w:sz="6" w:space="0" w:color="221F20"/>
            </w:tcBorders>
          </w:tcPr>
          <w:p w14:paraId="185E1119"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b/>
                <w:sz w:val="24"/>
                <w:szCs w:val="24"/>
              </w:rPr>
              <w:t>Strongly agree</w:t>
            </w:r>
          </w:p>
        </w:tc>
      </w:tr>
      <w:tr w:rsidR="00B01D46" w14:paraId="14BD2E4D" w14:textId="77777777">
        <w:trPr>
          <w:trHeight w:val="270"/>
        </w:trPr>
        <w:tc>
          <w:tcPr>
            <w:tcW w:w="438" w:type="dxa"/>
            <w:tcBorders>
              <w:top w:val="single" w:sz="6" w:space="0" w:color="221F20"/>
              <w:left w:val="single" w:sz="6" w:space="0" w:color="221F20"/>
              <w:bottom w:val="single" w:sz="6" w:space="0" w:color="221F20"/>
              <w:right w:val="single" w:sz="6" w:space="0" w:color="221F20"/>
            </w:tcBorders>
          </w:tcPr>
          <w:p w14:paraId="26D726F2"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962" w:type="dxa"/>
            <w:tcBorders>
              <w:top w:val="single" w:sz="6" w:space="0" w:color="221F20"/>
              <w:left w:val="single" w:sz="6" w:space="0" w:color="221F20"/>
              <w:bottom w:val="single" w:sz="6" w:space="0" w:color="221F20"/>
              <w:right w:val="single" w:sz="6" w:space="0" w:color="221F20"/>
            </w:tcBorders>
            <w:vAlign w:val="bottom"/>
          </w:tcPr>
          <w:p w14:paraId="26FDEBC1"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Unreliable internet connection and accessibility</w:t>
            </w:r>
          </w:p>
        </w:tc>
        <w:tc>
          <w:tcPr>
            <w:tcW w:w="1026" w:type="dxa"/>
            <w:tcBorders>
              <w:top w:val="single" w:sz="6" w:space="0" w:color="221F20"/>
              <w:left w:val="single" w:sz="6" w:space="0" w:color="221F20"/>
              <w:bottom w:val="single" w:sz="6" w:space="0" w:color="221F20"/>
              <w:right w:val="single" w:sz="6" w:space="0" w:color="221F20"/>
            </w:tcBorders>
          </w:tcPr>
          <w:p w14:paraId="764A1CC8"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37" w:type="dxa"/>
            <w:tcBorders>
              <w:top w:val="single" w:sz="6" w:space="0" w:color="221F20"/>
              <w:left w:val="single" w:sz="6" w:space="0" w:color="221F20"/>
              <w:bottom w:val="single" w:sz="6" w:space="0" w:color="221F20"/>
              <w:right w:val="single" w:sz="6" w:space="0" w:color="221F20"/>
            </w:tcBorders>
          </w:tcPr>
          <w:p w14:paraId="143F2469"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6" w:type="dxa"/>
            <w:tcBorders>
              <w:top w:val="single" w:sz="6" w:space="0" w:color="221F20"/>
              <w:left w:val="single" w:sz="6" w:space="0" w:color="221F20"/>
              <w:bottom w:val="single" w:sz="6" w:space="0" w:color="221F20"/>
              <w:right w:val="single" w:sz="6" w:space="0" w:color="221F20"/>
            </w:tcBorders>
          </w:tcPr>
          <w:p w14:paraId="55649E72"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70" w:type="dxa"/>
            <w:tcBorders>
              <w:top w:val="single" w:sz="6" w:space="0" w:color="221F20"/>
              <w:left w:val="single" w:sz="6" w:space="0" w:color="221F20"/>
              <w:bottom w:val="single" w:sz="6" w:space="0" w:color="221F20"/>
              <w:right w:val="single" w:sz="6" w:space="0" w:color="221F20"/>
            </w:tcBorders>
          </w:tcPr>
          <w:p w14:paraId="101F4E23"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26" w:type="dxa"/>
            <w:tcBorders>
              <w:top w:val="single" w:sz="6" w:space="0" w:color="221F20"/>
              <w:left w:val="single" w:sz="6" w:space="0" w:color="221F20"/>
              <w:bottom w:val="single" w:sz="6" w:space="0" w:color="221F20"/>
              <w:right w:val="single" w:sz="6" w:space="0" w:color="221F20"/>
            </w:tcBorders>
          </w:tcPr>
          <w:p w14:paraId="1C055C93"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40F3EDFD" w14:textId="77777777">
        <w:trPr>
          <w:trHeight w:val="270"/>
        </w:trPr>
        <w:tc>
          <w:tcPr>
            <w:tcW w:w="438" w:type="dxa"/>
            <w:tcBorders>
              <w:top w:val="single" w:sz="6" w:space="0" w:color="221F20"/>
              <w:left w:val="single" w:sz="6" w:space="0" w:color="221F20"/>
              <w:bottom w:val="single" w:sz="6" w:space="0" w:color="221F20"/>
              <w:right w:val="single" w:sz="6" w:space="0" w:color="221F20"/>
            </w:tcBorders>
          </w:tcPr>
          <w:p w14:paraId="38A5EA9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962" w:type="dxa"/>
            <w:tcBorders>
              <w:top w:val="single" w:sz="6" w:space="0" w:color="221F20"/>
              <w:left w:val="single" w:sz="6" w:space="0" w:color="221F20"/>
              <w:bottom w:val="single" w:sz="6" w:space="0" w:color="221F20"/>
              <w:right w:val="single" w:sz="6" w:space="0" w:color="221F20"/>
            </w:tcBorders>
            <w:vAlign w:val="bottom"/>
          </w:tcPr>
          <w:p w14:paraId="502623B5"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Insufficient technical assistance</w:t>
            </w:r>
          </w:p>
        </w:tc>
        <w:tc>
          <w:tcPr>
            <w:tcW w:w="1026" w:type="dxa"/>
            <w:tcBorders>
              <w:top w:val="single" w:sz="6" w:space="0" w:color="221F20"/>
              <w:left w:val="single" w:sz="6" w:space="0" w:color="221F20"/>
              <w:bottom w:val="single" w:sz="6" w:space="0" w:color="221F20"/>
              <w:right w:val="single" w:sz="6" w:space="0" w:color="221F20"/>
            </w:tcBorders>
          </w:tcPr>
          <w:p w14:paraId="6234CA11"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37" w:type="dxa"/>
            <w:tcBorders>
              <w:top w:val="single" w:sz="6" w:space="0" w:color="221F20"/>
              <w:left w:val="single" w:sz="6" w:space="0" w:color="221F20"/>
              <w:bottom w:val="single" w:sz="6" w:space="0" w:color="221F20"/>
              <w:right w:val="single" w:sz="6" w:space="0" w:color="221F20"/>
            </w:tcBorders>
          </w:tcPr>
          <w:p w14:paraId="1E38DCE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6" w:type="dxa"/>
            <w:tcBorders>
              <w:top w:val="single" w:sz="6" w:space="0" w:color="221F20"/>
              <w:left w:val="single" w:sz="6" w:space="0" w:color="221F20"/>
              <w:bottom w:val="single" w:sz="6" w:space="0" w:color="221F20"/>
              <w:right w:val="single" w:sz="6" w:space="0" w:color="221F20"/>
            </w:tcBorders>
          </w:tcPr>
          <w:p w14:paraId="06800F0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70" w:type="dxa"/>
            <w:tcBorders>
              <w:top w:val="single" w:sz="6" w:space="0" w:color="221F20"/>
              <w:left w:val="single" w:sz="6" w:space="0" w:color="221F20"/>
              <w:bottom w:val="single" w:sz="6" w:space="0" w:color="221F20"/>
              <w:right w:val="single" w:sz="6" w:space="0" w:color="221F20"/>
            </w:tcBorders>
          </w:tcPr>
          <w:p w14:paraId="79CDF382"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26" w:type="dxa"/>
            <w:tcBorders>
              <w:top w:val="single" w:sz="6" w:space="0" w:color="221F20"/>
              <w:left w:val="single" w:sz="6" w:space="0" w:color="221F20"/>
              <w:bottom w:val="single" w:sz="6" w:space="0" w:color="221F20"/>
              <w:right w:val="single" w:sz="6" w:space="0" w:color="221F20"/>
            </w:tcBorders>
          </w:tcPr>
          <w:p w14:paraId="6D03AC3F"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438891C1" w14:textId="77777777">
        <w:trPr>
          <w:trHeight w:val="270"/>
        </w:trPr>
        <w:tc>
          <w:tcPr>
            <w:tcW w:w="438" w:type="dxa"/>
            <w:tcBorders>
              <w:top w:val="single" w:sz="6" w:space="0" w:color="221F20"/>
              <w:left w:val="single" w:sz="6" w:space="0" w:color="221F20"/>
              <w:bottom w:val="single" w:sz="6" w:space="0" w:color="221F20"/>
              <w:right w:val="single" w:sz="6" w:space="0" w:color="221F20"/>
            </w:tcBorders>
          </w:tcPr>
          <w:p w14:paraId="68FDDB8C"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962" w:type="dxa"/>
            <w:tcBorders>
              <w:top w:val="single" w:sz="6" w:space="0" w:color="221F20"/>
              <w:left w:val="single" w:sz="6" w:space="0" w:color="221F20"/>
              <w:bottom w:val="single" w:sz="6" w:space="0" w:color="221F20"/>
              <w:right w:val="single" w:sz="6" w:space="0" w:color="221F20"/>
            </w:tcBorders>
            <w:vAlign w:val="bottom"/>
          </w:tcPr>
          <w:p w14:paraId="6DDC857D"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Absence of effectual tutelage (training)</w:t>
            </w:r>
          </w:p>
        </w:tc>
        <w:tc>
          <w:tcPr>
            <w:tcW w:w="1026" w:type="dxa"/>
            <w:tcBorders>
              <w:top w:val="single" w:sz="6" w:space="0" w:color="221F20"/>
              <w:left w:val="single" w:sz="6" w:space="0" w:color="221F20"/>
              <w:bottom w:val="single" w:sz="6" w:space="0" w:color="221F20"/>
              <w:right w:val="single" w:sz="6" w:space="0" w:color="221F20"/>
            </w:tcBorders>
          </w:tcPr>
          <w:p w14:paraId="3FFA0160"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37" w:type="dxa"/>
            <w:tcBorders>
              <w:top w:val="single" w:sz="6" w:space="0" w:color="221F20"/>
              <w:left w:val="single" w:sz="6" w:space="0" w:color="221F20"/>
              <w:bottom w:val="single" w:sz="6" w:space="0" w:color="221F20"/>
              <w:right w:val="single" w:sz="6" w:space="0" w:color="221F20"/>
            </w:tcBorders>
          </w:tcPr>
          <w:p w14:paraId="7513882E"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6" w:type="dxa"/>
            <w:tcBorders>
              <w:top w:val="single" w:sz="6" w:space="0" w:color="221F20"/>
              <w:left w:val="single" w:sz="6" w:space="0" w:color="221F20"/>
              <w:bottom w:val="single" w:sz="6" w:space="0" w:color="221F20"/>
              <w:right w:val="single" w:sz="6" w:space="0" w:color="221F20"/>
            </w:tcBorders>
          </w:tcPr>
          <w:p w14:paraId="095C316B"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70" w:type="dxa"/>
            <w:tcBorders>
              <w:top w:val="single" w:sz="6" w:space="0" w:color="221F20"/>
              <w:left w:val="single" w:sz="6" w:space="0" w:color="221F20"/>
              <w:bottom w:val="single" w:sz="6" w:space="0" w:color="221F20"/>
              <w:right w:val="single" w:sz="6" w:space="0" w:color="221F20"/>
            </w:tcBorders>
          </w:tcPr>
          <w:p w14:paraId="30E08E25"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26" w:type="dxa"/>
            <w:tcBorders>
              <w:top w:val="single" w:sz="6" w:space="0" w:color="221F20"/>
              <w:left w:val="single" w:sz="6" w:space="0" w:color="221F20"/>
              <w:bottom w:val="single" w:sz="6" w:space="0" w:color="221F20"/>
              <w:right w:val="single" w:sz="6" w:space="0" w:color="221F20"/>
            </w:tcBorders>
          </w:tcPr>
          <w:p w14:paraId="31B9E4B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03C95BBD" w14:textId="77777777">
        <w:trPr>
          <w:trHeight w:val="270"/>
        </w:trPr>
        <w:tc>
          <w:tcPr>
            <w:tcW w:w="438" w:type="dxa"/>
            <w:tcBorders>
              <w:top w:val="single" w:sz="6" w:space="0" w:color="221F20"/>
              <w:left w:val="single" w:sz="6" w:space="0" w:color="221F20"/>
              <w:bottom w:val="single" w:sz="6" w:space="0" w:color="221F20"/>
              <w:right w:val="single" w:sz="6" w:space="0" w:color="221F20"/>
            </w:tcBorders>
          </w:tcPr>
          <w:p w14:paraId="694C7F50"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2962" w:type="dxa"/>
            <w:tcBorders>
              <w:top w:val="single" w:sz="6" w:space="0" w:color="221F20"/>
              <w:left w:val="single" w:sz="6" w:space="0" w:color="221F20"/>
              <w:bottom w:val="single" w:sz="6" w:space="0" w:color="221F20"/>
              <w:right w:val="single" w:sz="6" w:space="0" w:color="221F20"/>
            </w:tcBorders>
            <w:vAlign w:val="bottom"/>
          </w:tcPr>
          <w:p w14:paraId="36BD16F9"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 xml:space="preserve">Limited ICT tools and Infrastructure </w:t>
            </w:r>
          </w:p>
        </w:tc>
        <w:tc>
          <w:tcPr>
            <w:tcW w:w="1026" w:type="dxa"/>
            <w:tcBorders>
              <w:top w:val="single" w:sz="6" w:space="0" w:color="221F20"/>
              <w:left w:val="single" w:sz="6" w:space="0" w:color="221F20"/>
              <w:bottom w:val="single" w:sz="6" w:space="0" w:color="221F20"/>
              <w:right w:val="single" w:sz="6" w:space="0" w:color="221F20"/>
            </w:tcBorders>
          </w:tcPr>
          <w:p w14:paraId="0F27326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37" w:type="dxa"/>
            <w:tcBorders>
              <w:top w:val="single" w:sz="6" w:space="0" w:color="221F20"/>
              <w:left w:val="single" w:sz="6" w:space="0" w:color="221F20"/>
              <w:bottom w:val="single" w:sz="6" w:space="0" w:color="221F20"/>
              <w:right w:val="single" w:sz="6" w:space="0" w:color="221F20"/>
            </w:tcBorders>
          </w:tcPr>
          <w:p w14:paraId="6DC5CBD2"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6" w:type="dxa"/>
            <w:tcBorders>
              <w:top w:val="single" w:sz="6" w:space="0" w:color="221F20"/>
              <w:left w:val="single" w:sz="6" w:space="0" w:color="221F20"/>
              <w:bottom w:val="single" w:sz="6" w:space="0" w:color="221F20"/>
              <w:right w:val="single" w:sz="6" w:space="0" w:color="221F20"/>
            </w:tcBorders>
          </w:tcPr>
          <w:p w14:paraId="582923C9"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70" w:type="dxa"/>
            <w:tcBorders>
              <w:top w:val="single" w:sz="6" w:space="0" w:color="221F20"/>
              <w:left w:val="single" w:sz="6" w:space="0" w:color="221F20"/>
              <w:bottom w:val="single" w:sz="6" w:space="0" w:color="221F20"/>
              <w:right w:val="single" w:sz="6" w:space="0" w:color="221F20"/>
            </w:tcBorders>
          </w:tcPr>
          <w:p w14:paraId="3D4EB075"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26" w:type="dxa"/>
            <w:tcBorders>
              <w:top w:val="single" w:sz="6" w:space="0" w:color="221F20"/>
              <w:left w:val="single" w:sz="6" w:space="0" w:color="221F20"/>
              <w:bottom w:val="single" w:sz="6" w:space="0" w:color="221F20"/>
              <w:right w:val="single" w:sz="6" w:space="0" w:color="221F20"/>
            </w:tcBorders>
          </w:tcPr>
          <w:p w14:paraId="0ED45B90"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1B120846" w14:textId="77777777">
        <w:trPr>
          <w:trHeight w:val="270"/>
        </w:trPr>
        <w:tc>
          <w:tcPr>
            <w:tcW w:w="438" w:type="dxa"/>
            <w:tcBorders>
              <w:top w:val="single" w:sz="6" w:space="0" w:color="221F20"/>
              <w:left w:val="single" w:sz="6" w:space="0" w:color="221F20"/>
              <w:bottom w:val="single" w:sz="6" w:space="0" w:color="221F20"/>
              <w:right w:val="single" w:sz="6" w:space="0" w:color="221F20"/>
            </w:tcBorders>
          </w:tcPr>
          <w:p w14:paraId="5ED10C85"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962" w:type="dxa"/>
            <w:tcBorders>
              <w:top w:val="single" w:sz="6" w:space="0" w:color="221F20"/>
              <w:left w:val="single" w:sz="6" w:space="0" w:color="221F20"/>
              <w:bottom w:val="single" w:sz="6" w:space="0" w:color="221F20"/>
              <w:right w:val="single" w:sz="6" w:space="0" w:color="221F20"/>
            </w:tcBorders>
            <w:vAlign w:val="bottom"/>
          </w:tcPr>
          <w:p w14:paraId="14DA2043"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Absence of lecturers’ ICT competency</w:t>
            </w:r>
          </w:p>
        </w:tc>
        <w:tc>
          <w:tcPr>
            <w:tcW w:w="1026" w:type="dxa"/>
            <w:tcBorders>
              <w:top w:val="single" w:sz="6" w:space="0" w:color="221F20"/>
              <w:left w:val="single" w:sz="6" w:space="0" w:color="221F20"/>
              <w:bottom w:val="single" w:sz="6" w:space="0" w:color="221F20"/>
              <w:right w:val="single" w:sz="6" w:space="0" w:color="221F20"/>
            </w:tcBorders>
          </w:tcPr>
          <w:p w14:paraId="0F146AEE"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37" w:type="dxa"/>
            <w:tcBorders>
              <w:top w:val="single" w:sz="6" w:space="0" w:color="221F20"/>
              <w:left w:val="single" w:sz="6" w:space="0" w:color="221F20"/>
              <w:bottom w:val="single" w:sz="6" w:space="0" w:color="221F20"/>
              <w:right w:val="single" w:sz="6" w:space="0" w:color="221F20"/>
            </w:tcBorders>
          </w:tcPr>
          <w:p w14:paraId="1D56F5F8"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6" w:type="dxa"/>
            <w:tcBorders>
              <w:top w:val="single" w:sz="6" w:space="0" w:color="221F20"/>
              <w:left w:val="single" w:sz="6" w:space="0" w:color="221F20"/>
              <w:bottom w:val="single" w:sz="6" w:space="0" w:color="221F20"/>
              <w:right w:val="single" w:sz="6" w:space="0" w:color="221F20"/>
            </w:tcBorders>
          </w:tcPr>
          <w:p w14:paraId="2C26E5D7"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70" w:type="dxa"/>
            <w:tcBorders>
              <w:top w:val="single" w:sz="6" w:space="0" w:color="221F20"/>
              <w:left w:val="single" w:sz="6" w:space="0" w:color="221F20"/>
              <w:bottom w:val="single" w:sz="6" w:space="0" w:color="221F20"/>
              <w:right w:val="single" w:sz="6" w:space="0" w:color="221F20"/>
            </w:tcBorders>
          </w:tcPr>
          <w:p w14:paraId="6B4C2C2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26" w:type="dxa"/>
            <w:tcBorders>
              <w:top w:val="single" w:sz="6" w:space="0" w:color="221F20"/>
              <w:left w:val="single" w:sz="6" w:space="0" w:color="221F20"/>
              <w:bottom w:val="single" w:sz="6" w:space="0" w:color="221F20"/>
              <w:right w:val="single" w:sz="6" w:space="0" w:color="221F20"/>
            </w:tcBorders>
          </w:tcPr>
          <w:p w14:paraId="644736E6"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01D46" w14:paraId="23E68FD3" w14:textId="77777777">
        <w:trPr>
          <w:trHeight w:val="270"/>
        </w:trPr>
        <w:tc>
          <w:tcPr>
            <w:tcW w:w="438" w:type="dxa"/>
            <w:tcBorders>
              <w:top w:val="single" w:sz="6" w:space="0" w:color="221F20"/>
              <w:left w:val="single" w:sz="6" w:space="0" w:color="221F20"/>
              <w:bottom w:val="single" w:sz="6" w:space="0" w:color="221F20"/>
              <w:right w:val="single" w:sz="6" w:space="0" w:color="221F20"/>
            </w:tcBorders>
          </w:tcPr>
          <w:p w14:paraId="1DD41C6E"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962" w:type="dxa"/>
            <w:tcBorders>
              <w:top w:val="single" w:sz="6" w:space="0" w:color="221F20"/>
              <w:left w:val="single" w:sz="6" w:space="0" w:color="221F20"/>
              <w:bottom w:val="single" w:sz="6" w:space="0" w:color="221F20"/>
              <w:right w:val="single" w:sz="6" w:space="0" w:color="221F20"/>
            </w:tcBorders>
            <w:vAlign w:val="bottom"/>
          </w:tcPr>
          <w:p w14:paraId="6D5367DF"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t xml:space="preserve">Absence of interest of lecturers in ICT usage </w:t>
            </w:r>
          </w:p>
        </w:tc>
        <w:tc>
          <w:tcPr>
            <w:tcW w:w="1026" w:type="dxa"/>
            <w:tcBorders>
              <w:top w:val="single" w:sz="6" w:space="0" w:color="221F20"/>
              <w:left w:val="single" w:sz="6" w:space="0" w:color="221F20"/>
              <w:bottom w:val="single" w:sz="6" w:space="0" w:color="221F20"/>
              <w:right w:val="single" w:sz="6" w:space="0" w:color="221F20"/>
            </w:tcBorders>
          </w:tcPr>
          <w:p w14:paraId="33C4D3E4"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37" w:type="dxa"/>
            <w:tcBorders>
              <w:top w:val="single" w:sz="6" w:space="0" w:color="221F20"/>
              <w:left w:val="single" w:sz="6" w:space="0" w:color="221F20"/>
              <w:bottom w:val="single" w:sz="6" w:space="0" w:color="221F20"/>
              <w:right w:val="single" w:sz="6" w:space="0" w:color="221F20"/>
            </w:tcBorders>
          </w:tcPr>
          <w:p w14:paraId="2101B1AA"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6" w:type="dxa"/>
            <w:tcBorders>
              <w:top w:val="single" w:sz="6" w:space="0" w:color="221F20"/>
              <w:left w:val="single" w:sz="6" w:space="0" w:color="221F20"/>
              <w:bottom w:val="single" w:sz="6" w:space="0" w:color="221F20"/>
              <w:right w:val="single" w:sz="6" w:space="0" w:color="221F20"/>
            </w:tcBorders>
          </w:tcPr>
          <w:p w14:paraId="59098672"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70" w:type="dxa"/>
            <w:tcBorders>
              <w:top w:val="single" w:sz="6" w:space="0" w:color="221F20"/>
              <w:left w:val="single" w:sz="6" w:space="0" w:color="221F20"/>
              <w:bottom w:val="single" w:sz="6" w:space="0" w:color="221F20"/>
              <w:right w:val="single" w:sz="6" w:space="0" w:color="221F20"/>
            </w:tcBorders>
          </w:tcPr>
          <w:p w14:paraId="5D77AC63"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026" w:type="dxa"/>
            <w:tcBorders>
              <w:top w:val="single" w:sz="6" w:space="0" w:color="221F20"/>
              <w:left w:val="single" w:sz="6" w:space="0" w:color="221F20"/>
              <w:bottom w:val="single" w:sz="6" w:space="0" w:color="221F20"/>
              <w:right w:val="single" w:sz="6" w:space="0" w:color="221F20"/>
            </w:tcBorders>
          </w:tcPr>
          <w:p w14:paraId="531D3E29" w14:textId="77777777" w:rsidR="00B01D46" w:rsidRDefault="0067013E">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bl>
    <w:p w14:paraId="5F285ED4" w14:textId="77777777" w:rsidR="00B01D46" w:rsidRDefault="0067013E">
      <w:pPr>
        <w:pStyle w:val="NormalWeb"/>
        <w:shd w:val="clear" w:color="auto" w:fill="FFFFFF"/>
        <w:tabs>
          <w:tab w:val="left" w:pos="360"/>
        </w:tabs>
        <w:autoSpaceDE w:val="0"/>
        <w:autoSpaceDN w:val="0"/>
        <w:adjustRightInd w:val="0"/>
        <w:spacing w:before="120" w:after="0" w:line="360" w:lineRule="auto"/>
        <w:ind w:left="720"/>
        <w:jc w:val="both"/>
        <w:rPr>
          <w:b/>
          <w:i/>
        </w:rPr>
      </w:pPr>
      <w:r>
        <w:rPr>
          <w:b/>
        </w:rPr>
        <w:t xml:space="preserve"> (</w:t>
      </w:r>
      <w:r>
        <w:rPr>
          <w:i/>
        </w:rPr>
        <w:t xml:space="preserve">Please </w:t>
      </w:r>
      <w:r>
        <w:rPr>
          <w:b/>
          <w:i/>
        </w:rPr>
        <w:t>CIRCLE</w:t>
      </w:r>
      <w:r>
        <w:rPr>
          <w:i/>
        </w:rPr>
        <w:t xml:space="preserve"> the number beside each statement that </w:t>
      </w:r>
      <w:r>
        <w:rPr>
          <w:b/>
          <w:i/>
        </w:rPr>
        <w:t>most accurately</w:t>
      </w:r>
      <w:r>
        <w:rPr>
          <w:i/>
        </w:rPr>
        <w:t xml:space="preserve"> reflects the extent to which you agree or disagree meaning 1 is </w:t>
      </w:r>
      <w:r>
        <w:rPr>
          <w:b/>
          <w:i/>
          <w:u w:val="single" w:color="000000"/>
        </w:rPr>
        <w:t>strongly DISAGREE</w:t>
      </w:r>
      <w:r>
        <w:rPr>
          <w:i/>
        </w:rPr>
        <w:t xml:space="preserve"> and 5 means you </w:t>
      </w:r>
      <w:r>
        <w:rPr>
          <w:b/>
          <w:i/>
          <w:u w:val="single" w:color="000000"/>
        </w:rPr>
        <w:t>Strongly AGREE</w:t>
      </w:r>
      <w:r>
        <w:rPr>
          <w:i/>
        </w:rPr>
        <w:t xml:space="preserve"> with the statement</w:t>
      </w:r>
      <w:r>
        <w:rPr>
          <w:b/>
          <w:i/>
        </w:rPr>
        <w:t>)</w:t>
      </w:r>
    </w:p>
    <w:p w14:paraId="2ACAC84E" w14:textId="77777777" w:rsidR="00B01D46" w:rsidRDefault="00B01D46">
      <w:pPr>
        <w:pStyle w:val="NormalWeb"/>
        <w:shd w:val="clear" w:color="auto" w:fill="FFFFFF"/>
        <w:tabs>
          <w:tab w:val="left" w:pos="360"/>
        </w:tabs>
        <w:autoSpaceDE w:val="0"/>
        <w:autoSpaceDN w:val="0"/>
        <w:adjustRightInd w:val="0"/>
        <w:spacing w:before="120" w:after="0" w:line="360" w:lineRule="auto"/>
        <w:ind w:left="720"/>
        <w:jc w:val="both"/>
        <w:rPr>
          <w:b/>
        </w:rPr>
      </w:pPr>
    </w:p>
    <w:p w14:paraId="40731148" w14:textId="77777777" w:rsidR="00B01D46" w:rsidRDefault="00B01D46">
      <w:pPr>
        <w:pStyle w:val="NormalWeb"/>
        <w:shd w:val="clear" w:color="auto" w:fill="FFFFFF"/>
        <w:tabs>
          <w:tab w:val="left" w:pos="360"/>
        </w:tabs>
        <w:autoSpaceDE w:val="0"/>
        <w:autoSpaceDN w:val="0"/>
        <w:adjustRightInd w:val="0"/>
        <w:spacing w:before="120" w:after="0" w:line="360" w:lineRule="auto"/>
        <w:ind w:left="720"/>
        <w:jc w:val="both"/>
        <w:rPr>
          <w:b/>
        </w:rPr>
      </w:pPr>
    </w:p>
    <w:p w14:paraId="196AD2CC" w14:textId="77777777" w:rsidR="00B01D46" w:rsidRDefault="00B01D46">
      <w:pPr>
        <w:pStyle w:val="ListParagraph"/>
        <w:ind w:firstLine="0"/>
        <w:rPr>
          <w:rFonts w:eastAsia="Calibri"/>
          <w:b/>
          <w:bCs/>
          <w:color w:val="auto"/>
          <w:szCs w:val="24"/>
        </w:rPr>
      </w:pPr>
    </w:p>
    <w:p w14:paraId="32259535" w14:textId="77777777" w:rsidR="00B01D46" w:rsidRDefault="0067013E">
      <w:pPr>
        <w:pStyle w:val="NoSpacing"/>
        <w:spacing w:line="360" w:lineRule="auto"/>
        <w:ind w:hanging="751"/>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b/>
          <w:sz w:val="24"/>
          <w:szCs w:val="24"/>
        </w:rPr>
        <w:t xml:space="preserve"> Challenges faced by the undergraduates in ILS learning.</w:t>
      </w:r>
    </w:p>
    <w:p w14:paraId="66D9D576" w14:textId="77777777" w:rsidR="00B01D46" w:rsidRDefault="00B01D46">
      <w:pPr>
        <w:pStyle w:val="NoSpacing"/>
        <w:spacing w:line="360" w:lineRule="auto"/>
        <w:ind w:left="900" w:firstLine="0"/>
        <w:rPr>
          <w:rFonts w:ascii="Times New Roman" w:hAnsi="Times New Roman" w:cs="Times New Roman"/>
          <w:sz w:val="24"/>
          <w:szCs w:val="24"/>
        </w:rPr>
      </w:pPr>
    </w:p>
    <w:p w14:paraId="4DDF0D72" w14:textId="77777777" w:rsidR="00B01D46" w:rsidRDefault="0067013E">
      <w:pPr>
        <w:pStyle w:val="NoSpacing"/>
        <w:numPr>
          <w:ilvl w:val="0"/>
          <w:numId w:val="27"/>
        </w:numPr>
        <w:spacing w:line="360" w:lineRule="auto"/>
        <w:ind w:right="8"/>
        <w:rPr>
          <w:rFonts w:ascii="Times New Roman" w:hAnsi="Times New Roman" w:cs="Times New Roman"/>
          <w:sz w:val="24"/>
          <w:szCs w:val="24"/>
        </w:rPr>
      </w:pPr>
      <w:r>
        <w:rPr>
          <w:rFonts w:ascii="Times New Roman" w:hAnsi="Times New Roman" w:cs="Times New Roman"/>
          <w:sz w:val="24"/>
          <w:szCs w:val="24"/>
        </w:rPr>
        <w:t>What challenges do you face that impede effective ILS training and learning? ……………………………………………………………………………………………………………………………………………………………………</w:t>
      </w:r>
    </w:p>
    <w:p w14:paraId="0113B8BE" w14:textId="77777777" w:rsidR="00B01D46" w:rsidRDefault="0067013E">
      <w:pPr>
        <w:pStyle w:val="NoSpacing"/>
        <w:numPr>
          <w:ilvl w:val="0"/>
          <w:numId w:val="27"/>
        </w:numPr>
        <w:spacing w:line="360" w:lineRule="auto"/>
        <w:ind w:right="8"/>
        <w:rPr>
          <w:rFonts w:ascii="Times New Roman" w:hAnsi="Times New Roman" w:cs="Times New Roman"/>
          <w:sz w:val="24"/>
          <w:szCs w:val="24"/>
        </w:rPr>
      </w:pPr>
      <w:r>
        <w:rPr>
          <w:rFonts w:ascii="Times New Roman" w:hAnsi="Times New Roman" w:cs="Times New Roman"/>
          <w:sz w:val="24"/>
          <w:szCs w:val="24"/>
        </w:rPr>
        <w:t>How do you think the challenges above could be addressed? ……………………………………………………………………………………………………………………………………………………………………</w:t>
      </w:r>
    </w:p>
    <w:p w14:paraId="6CA2FAD5" w14:textId="77777777" w:rsidR="00B01D46" w:rsidRDefault="00B01D46">
      <w:pPr>
        <w:pStyle w:val="NoSpacing"/>
        <w:spacing w:line="360" w:lineRule="auto"/>
        <w:ind w:left="311" w:hanging="9"/>
        <w:rPr>
          <w:rFonts w:ascii="Times New Roman" w:hAnsi="Times New Roman" w:cs="Times New Roman"/>
          <w:sz w:val="24"/>
          <w:szCs w:val="24"/>
        </w:rPr>
      </w:pPr>
    </w:p>
    <w:p w14:paraId="437DA4DB" w14:textId="77777777" w:rsidR="00B01D46" w:rsidRDefault="0067013E">
      <w:pPr>
        <w:spacing w:after="131" w:line="360" w:lineRule="auto"/>
        <w:ind w:left="351" w:hanging="10"/>
        <w:rPr>
          <w:rFonts w:ascii="Times New Roman" w:hAnsi="Times New Roman" w:cs="Times New Roman"/>
          <w:sz w:val="24"/>
          <w:szCs w:val="24"/>
        </w:rPr>
      </w:pPr>
      <w:r>
        <w:rPr>
          <w:rFonts w:ascii="Times New Roman" w:hAnsi="Times New Roman" w:cs="Times New Roman"/>
          <w:sz w:val="24"/>
          <w:szCs w:val="24"/>
        </w:rPr>
        <w:t xml:space="preserve">Again, thank you for your time, and offering information for this study. </w:t>
      </w:r>
    </w:p>
    <w:p w14:paraId="462A4518" w14:textId="77777777" w:rsidR="00B01D46" w:rsidRDefault="00B01D46">
      <w:pPr>
        <w:spacing w:after="127" w:line="360" w:lineRule="auto"/>
        <w:jc w:val="center"/>
        <w:rPr>
          <w:rFonts w:ascii="Times New Roman" w:hAnsi="Times New Roman" w:cs="Times New Roman"/>
          <w:sz w:val="24"/>
          <w:szCs w:val="24"/>
        </w:rPr>
      </w:pPr>
    </w:p>
    <w:p w14:paraId="5EA973E5" w14:textId="77777777" w:rsidR="00B01D46" w:rsidRDefault="0067013E">
      <w:pPr>
        <w:spacing w:after="0" w:line="240" w:lineRule="auto"/>
        <w:rPr>
          <w:rFonts w:ascii="Times New Roman" w:eastAsiaTheme="majorEastAsia" w:hAnsi="Times New Roman" w:cs="Times New Roman"/>
          <w:sz w:val="24"/>
          <w:szCs w:val="24"/>
        </w:rPr>
      </w:pPr>
      <w:bookmarkStart w:id="2527" w:name="_Toc165369385"/>
      <w:bookmarkStart w:id="2528" w:name="_Toc165973229"/>
      <w:bookmarkStart w:id="2529" w:name="_Toc165363577"/>
      <w:bookmarkStart w:id="2530" w:name="_Toc165975950"/>
      <w:bookmarkStart w:id="2531" w:name="_Toc165365351"/>
      <w:r>
        <w:rPr>
          <w:rFonts w:cs="Times New Roman"/>
          <w:b/>
          <w:szCs w:val="24"/>
        </w:rPr>
        <w:br w:type="page"/>
      </w:r>
    </w:p>
    <w:p w14:paraId="25D011A7" w14:textId="77777777" w:rsidR="00B01D46" w:rsidRDefault="0067013E">
      <w:pPr>
        <w:pStyle w:val="Heading2"/>
      </w:pPr>
      <w:bookmarkStart w:id="2532" w:name="_Toc184273032"/>
      <w:r>
        <w:lastRenderedPageBreak/>
        <w:t>Appendix III: Interview Schedule for University Librarians</w:t>
      </w:r>
      <w:bookmarkEnd w:id="2527"/>
      <w:bookmarkEnd w:id="2528"/>
      <w:bookmarkEnd w:id="2529"/>
      <w:bookmarkEnd w:id="2530"/>
      <w:bookmarkEnd w:id="2531"/>
      <w:bookmarkEnd w:id="2532"/>
      <w:r>
        <w:t xml:space="preserve"> </w:t>
      </w:r>
    </w:p>
    <w:p w14:paraId="3A41F801" w14:textId="77777777" w:rsidR="00B01D46" w:rsidRDefault="00B01D46">
      <w:pPr>
        <w:spacing w:after="127" w:line="240" w:lineRule="auto"/>
        <w:jc w:val="center"/>
        <w:rPr>
          <w:rFonts w:ascii="Times New Roman" w:hAnsi="Times New Roman" w:cs="Times New Roman"/>
          <w:sz w:val="24"/>
          <w:szCs w:val="24"/>
        </w:rPr>
      </w:pPr>
    </w:p>
    <w:p w14:paraId="0FD40B05" w14:textId="77777777" w:rsidR="00B01D46" w:rsidRDefault="0067013E">
      <w:pPr>
        <w:pStyle w:val="Default"/>
        <w:rPr>
          <w:b/>
        </w:rPr>
      </w:pPr>
      <w:r>
        <w:rPr>
          <w:b/>
        </w:rPr>
        <w:t xml:space="preserve">Introduction: </w:t>
      </w:r>
    </w:p>
    <w:p w14:paraId="54B76B53" w14:textId="77777777" w:rsidR="00B01D46" w:rsidRDefault="00B01D46">
      <w:pPr>
        <w:pStyle w:val="Default"/>
      </w:pPr>
    </w:p>
    <w:p w14:paraId="1B9D24F3" w14:textId="77777777" w:rsidR="00B01D46" w:rsidRDefault="0067013E">
      <w:pPr>
        <w:pStyle w:val="Default"/>
        <w:jc w:val="both"/>
        <w:rPr>
          <w:b/>
          <w:bCs/>
        </w:rPr>
      </w:pPr>
      <w:r>
        <w:t>My name is Evans M. Momanyi, currently a doctoral in the Department of Library, Records Management and Information Studies, School of Information Sciences student, Moi University, Kenya. I am undertaking a study titled “</w:t>
      </w:r>
      <w:r>
        <w:rPr>
          <w:b/>
        </w:rPr>
        <w:t>Assessment of</w:t>
      </w:r>
      <w:r>
        <w:t xml:space="preserve"> </w:t>
      </w:r>
      <w:r>
        <w:rPr>
          <w:b/>
        </w:rPr>
        <w:t>Information Literacy Skills among Undergraduate Medical Undergraduate Students of Moi University and University of Nairobi.</w:t>
      </w:r>
      <w:r>
        <w:rPr>
          <w:b/>
          <w:bCs/>
        </w:rPr>
        <w:t>”</w:t>
      </w:r>
      <w:r>
        <w:rPr>
          <w:b/>
        </w:rPr>
        <w:t xml:space="preserve"> </w:t>
      </w:r>
      <w:r>
        <w:t>You have been identified to participate in this study. I therefore, request for 15 minutes to respond to this interview schedule.</w:t>
      </w:r>
      <w:r>
        <w:rPr>
          <w:b/>
          <w:bCs/>
        </w:rPr>
        <w:t xml:space="preserve"> </w:t>
      </w:r>
    </w:p>
    <w:p w14:paraId="769F30ED" w14:textId="77777777" w:rsidR="00B01D46" w:rsidRDefault="0067013E">
      <w:pPr>
        <w:pStyle w:val="NormalWeb"/>
        <w:shd w:val="clear" w:color="auto" w:fill="FFFFFF"/>
        <w:tabs>
          <w:tab w:val="left" w:pos="360"/>
        </w:tabs>
        <w:autoSpaceDE w:val="0"/>
        <w:autoSpaceDN w:val="0"/>
        <w:adjustRightInd w:val="0"/>
        <w:spacing w:before="120" w:after="0"/>
        <w:jc w:val="both"/>
      </w:pPr>
      <w:r>
        <w:t>The study focuses on assessment of information literacy skills of undergraduate medical students in the selected public universities in Kenya,</w:t>
      </w:r>
      <w:r>
        <w:rPr>
          <w:bCs/>
        </w:rPr>
        <w:t xml:space="preserve"> with a view, of proposing a framework to enhance ILS adequacy among undergraduate medical students. </w:t>
      </w:r>
      <w:r>
        <w:t xml:space="preserve">The research will gather data on </w:t>
      </w:r>
      <w:r>
        <w:rPr>
          <w:rFonts w:eastAsia="Calibri"/>
        </w:rPr>
        <w:t xml:space="preserve">the status of information literacy skills </w:t>
      </w:r>
      <w:r>
        <w:t>among medical undergraduate students,  information literacy skills policy and regulations used in supporting ILS to medical undergraduate students,</w:t>
      </w:r>
      <w:r>
        <w:rPr>
          <w:rFonts w:eastAsia="Calibri"/>
        </w:rPr>
        <w:t xml:space="preserve"> the perception of staff and medical undergraduate students towards </w:t>
      </w:r>
      <w:r>
        <w:t>the content and delivery methods of ILS</w:t>
      </w:r>
      <w:r>
        <w:rPr>
          <w:rFonts w:eastAsia="Calibri"/>
        </w:rPr>
        <w:t xml:space="preserve"> , the role that ICT play in promoting the training and learning of information literacy skills among undergraduate medical students and knowledge, skills &amp; training possessed by staff in facilitating ILS among </w:t>
      </w:r>
      <w:r>
        <w:t>medical undergraduate students</w:t>
      </w:r>
    </w:p>
    <w:p w14:paraId="5424EC35" w14:textId="77777777" w:rsidR="00B01D46" w:rsidRDefault="0067013E">
      <w:pPr>
        <w:pStyle w:val="NormalWeb"/>
        <w:shd w:val="clear" w:color="auto" w:fill="FFFFFF"/>
        <w:tabs>
          <w:tab w:val="left" w:pos="360"/>
        </w:tabs>
        <w:autoSpaceDE w:val="0"/>
        <w:autoSpaceDN w:val="0"/>
        <w:adjustRightInd w:val="0"/>
        <w:spacing w:before="120" w:after="0"/>
        <w:jc w:val="both"/>
      </w:pPr>
      <w:r>
        <w:t xml:space="preserve">Your responses will be treated with strict confidentiality, and will only be used for the stated academic purpose. Your contribution is highly valued. Please do not hesitate to contact the researcher for clarification on any aspect of this research.  </w:t>
      </w:r>
    </w:p>
    <w:p w14:paraId="27868DB0" w14:textId="77777777" w:rsidR="00B01D46" w:rsidRDefault="00B01D46">
      <w:pPr>
        <w:pStyle w:val="Default"/>
        <w:jc w:val="both"/>
      </w:pPr>
    </w:p>
    <w:p w14:paraId="6FF66A02" w14:textId="77777777" w:rsidR="00B01D46" w:rsidRDefault="0067013E">
      <w:pPr>
        <w:pStyle w:val="Default"/>
        <w:jc w:val="both"/>
      </w:pPr>
      <w:r>
        <w:t xml:space="preserve">Thank you in advance for your time and cooperation. </w:t>
      </w:r>
    </w:p>
    <w:p w14:paraId="5B4DBD18" w14:textId="77777777" w:rsidR="00B01D46" w:rsidRDefault="00B01D46">
      <w:pPr>
        <w:pStyle w:val="Default"/>
        <w:jc w:val="both"/>
      </w:pPr>
    </w:p>
    <w:p w14:paraId="505C30FD" w14:textId="77777777" w:rsidR="00B01D46" w:rsidRDefault="0067013E">
      <w:pPr>
        <w:pStyle w:val="Default"/>
        <w:jc w:val="both"/>
      </w:pPr>
      <w:r>
        <w:rPr>
          <w:b/>
          <w:bCs/>
        </w:rPr>
        <w:t xml:space="preserve">Evans Motari Momanyi </w:t>
      </w:r>
    </w:p>
    <w:p w14:paraId="7BD029A1" w14:textId="77777777" w:rsidR="00B01D46" w:rsidRDefault="0067013E">
      <w:pPr>
        <w:pStyle w:val="Default"/>
        <w:jc w:val="both"/>
      </w:pPr>
      <w:r>
        <w:rPr>
          <w:b/>
          <w:bCs/>
        </w:rPr>
        <w:t xml:space="preserve">PhD student (Moi University) </w:t>
      </w:r>
    </w:p>
    <w:p w14:paraId="7BDA0FE1" w14:textId="77777777" w:rsidR="00B01D46" w:rsidRDefault="0067013E">
      <w:pPr>
        <w:pStyle w:val="Default"/>
        <w:jc w:val="both"/>
      </w:pPr>
      <w:r>
        <w:rPr>
          <w:b/>
          <w:bCs/>
        </w:rPr>
        <w:t xml:space="preserve">E-mail: emotari9@gmail.com </w:t>
      </w:r>
    </w:p>
    <w:p w14:paraId="77A01775" w14:textId="77777777" w:rsidR="00B01D46" w:rsidRDefault="0067013E">
      <w:pPr>
        <w:pStyle w:val="Default"/>
        <w:jc w:val="both"/>
        <w:rPr>
          <w:b/>
          <w:bCs/>
        </w:rPr>
      </w:pPr>
      <w:r>
        <w:rPr>
          <w:b/>
          <w:bCs/>
        </w:rPr>
        <w:t xml:space="preserve">Mobile No.: +254 725 594005 </w:t>
      </w:r>
    </w:p>
    <w:p w14:paraId="53B0D2EC" w14:textId="77777777" w:rsidR="00B01D46" w:rsidRDefault="00B01D46">
      <w:pPr>
        <w:pStyle w:val="Default"/>
        <w:jc w:val="both"/>
      </w:pPr>
    </w:p>
    <w:p w14:paraId="41988578" w14:textId="77777777" w:rsidR="00B01D46" w:rsidRDefault="00B01D46">
      <w:pPr>
        <w:spacing w:after="122" w:line="240" w:lineRule="auto"/>
        <w:rPr>
          <w:rFonts w:ascii="Times New Roman" w:hAnsi="Times New Roman" w:cs="Times New Roman"/>
          <w:sz w:val="24"/>
          <w:szCs w:val="24"/>
        </w:rPr>
      </w:pPr>
    </w:p>
    <w:p w14:paraId="13452F5A" w14:textId="77777777" w:rsidR="00B01D46" w:rsidRDefault="0067013E">
      <w:pPr>
        <w:spacing w:after="131" w:line="240" w:lineRule="auto"/>
        <w:ind w:left="-4" w:hanging="10"/>
        <w:rPr>
          <w:rFonts w:ascii="Times New Roman" w:hAnsi="Times New Roman" w:cs="Times New Roman"/>
          <w:sz w:val="24"/>
          <w:szCs w:val="24"/>
        </w:rPr>
      </w:pPr>
      <w:r>
        <w:rPr>
          <w:rFonts w:ascii="Times New Roman" w:hAnsi="Times New Roman" w:cs="Times New Roman"/>
          <w:sz w:val="24"/>
          <w:szCs w:val="24"/>
        </w:rPr>
        <w:t xml:space="preserve">Thank you for your time and contribution to this research.  </w:t>
      </w:r>
    </w:p>
    <w:p w14:paraId="6036529B" w14:textId="77777777" w:rsidR="00B01D46" w:rsidRDefault="00B01D46">
      <w:pPr>
        <w:spacing w:after="0" w:line="240" w:lineRule="auto"/>
        <w:rPr>
          <w:rFonts w:ascii="Times New Roman" w:hAnsi="Times New Roman" w:cs="Times New Roman"/>
          <w:sz w:val="24"/>
          <w:szCs w:val="24"/>
        </w:rPr>
      </w:pPr>
    </w:p>
    <w:p w14:paraId="1F0BE604" w14:textId="77777777" w:rsidR="00B01D46" w:rsidRDefault="0067013E">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2683FBE6" w14:textId="77777777" w:rsidR="00B01D46" w:rsidRDefault="0067013E">
      <w:pPr>
        <w:spacing w:after="131" w:line="36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 xml:space="preserve">A. Biographical information </w:t>
      </w:r>
    </w:p>
    <w:p w14:paraId="3063753B" w14:textId="77777777" w:rsidR="00B01D46" w:rsidRDefault="0067013E">
      <w:pPr>
        <w:pStyle w:val="ListParagraph"/>
        <w:numPr>
          <w:ilvl w:val="0"/>
          <w:numId w:val="28"/>
        </w:numPr>
        <w:spacing w:after="131" w:line="360" w:lineRule="auto"/>
        <w:ind w:left="709" w:hanging="283"/>
        <w:jc w:val="left"/>
        <w:rPr>
          <w:rFonts w:eastAsiaTheme="minorHAnsi"/>
          <w:szCs w:val="24"/>
        </w:rPr>
      </w:pPr>
      <w:r>
        <w:rPr>
          <w:szCs w:val="24"/>
        </w:rPr>
        <w:t>Institution</w:t>
      </w:r>
      <w:r>
        <w:rPr>
          <w:b/>
          <w:szCs w:val="24"/>
        </w:rPr>
        <w:t xml:space="preserve"> </w:t>
      </w:r>
      <w:r>
        <w:rPr>
          <w:szCs w:val="24"/>
        </w:rPr>
        <w:t xml:space="preserve">…………………………………………………………………… </w:t>
      </w:r>
      <w:r>
        <w:rPr>
          <w:b/>
          <w:szCs w:val="24"/>
        </w:rPr>
        <w:t xml:space="preserve"> </w:t>
      </w:r>
    </w:p>
    <w:p w14:paraId="729527A1" w14:textId="77777777" w:rsidR="00B01D46" w:rsidRDefault="0067013E">
      <w:pPr>
        <w:pStyle w:val="ListParagraph"/>
        <w:numPr>
          <w:ilvl w:val="0"/>
          <w:numId w:val="28"/>
        </w:numPr>
        <w:spacing w:after="131" w:line="360" w:lineRule="auto"/>
        <w:ind w:left="709" w:hanging="283"/>
        <w:jc w:val="left"/>
        <w:rPr>
          <w:szCs w:val="24"/>
        </w:rPr>
      </w:pPr>
      <w:r>
        <w:rPr>
          <w:szCs w:val="24"/>
        </w:rPr>
        <w:t>Department……………………………………………………………………</w:t>
      </w:r>
    </w:p>
    <w:p w14:paraId="5F1E4B77" w14:textId="77777777" w:rsidR="00B01D46" w:rsidRDefault="0067013E">
      <w:pPr>
        <w:pStyle w:val="ListParagraph"/>
        <w:numPr>
          <w:ilvl w:val="0"/>
          <w:numId w:val="28"/>
        </w:numPr>
        <w:spacing w:after="131" w:line="360" w:lineRule="auto"/>
        <w:ind w:left="709" w:hanging="283"/>
        <w:jc w:val="left"/>
        <w:rPr>
          <w:szCs w:val="24"/>
        </w:rPr>
      </w:pPr>
      <w:r>
        <w:rPr>
          <w:szCs w:val="24"/>
        </w:rPr>
        <w:t>Current designation…………………………………………………</w:t>
      </w:r>
    </w:p>
    <w:p w14:paraId="2841F75D" w14:textId="77777777" w:rsidR="00B01D46" w:rsidRDefault="0067013E">
      <w:pPr>
        <w:pStyle w:val="ListParagraph"/>
        <w:numPr>
          <w:ilvl w:val="0"/>
          <w:numId w:val="28"/>
        </w:numPr>
        <w:spacing w:after="131" w:line="360" w:lineRule="auto"/>
        <w:ind w:left="709" w:hanging="283"/>
        <w:jc w:val="left"/>
        <w:rPr>
          <w:szCs w:val="24"/>
        </w:rPr>
      </w:pPr>
      <w:r>
        <w:rPr>
          <w:szCs w:val="24"/>
        </w:rPr>
        <w:t xml:space="preserve">Academic qualifications: [  ] PhD     [  ] Masters    [  ] Bachelors  </w:t>
      </w:r>
    </w:p>
    <w:p w14:paraId="05BB6A2E" w14:textId="77777777" w:rsidR="00B01D46" w:rsidRDefault="0067013E">
      <w:pPr>
        <w:pStyle w:val="ListParagraph"/>
        <w:numPr>
          <w:ilvl w:val="0"/>
          <w:numId w:val="28"/>
        </w:numPr>
        <w:spacing w:after="131" w:line="360" w:lineRule="auto"/>
        <w:ind w:left="709" w:hanging="283"/>
        <w:jc w:val="left"/>
        <w:rPr>
          <w:szCs w:val="24"/>
        </w:rPr>
      </w:pPr>
      <w:r>
        <w:rPr>
          <w:szCs w:val="24"/>
        </w:rPr>
        <w:t xml:space="preserve">Gender:      [  ] Male        [  ] Female                      </w:t>
      </w:r>
    </w:p>
    <w:p w14:paraId="01E50D74" w14:textId="77777777" w:rsidR="00B01D46" w:rsidRDefault="0067013E">
      <w:pPr>
        <w:pStyle w:val="ListParagraph"/>
        <w:numPr>
          <w:ilvl w:val="0"/>
          <w:numId w:val="28"/>
        </w:numPr>
        <w:spacing w:after="131" w:line="360" w:lineRule="auto"/>
        <w:ind w:left="709" w:hanging="283"/>
        <w:jc w:val="left"/>
        <w:rPr>
          <w:szCs w:val="24"/>
        </w:rPr>
      </w:pPr>
      <w:r>
        <w:rPr>
          <w:szCs w:val="24"/>
        </w:rPr>
        <w:t>Work experience: [ ]0-5yrs    [ ]5-10yrs    [ ]10-15yrs    [ ]15-20yrss  [  ]over 20yrs</w:t>
      </w:r>
    </w:p>
    <w:p w14:paraId="4B41CB18" w14:textId="77777777" w:rsidR="00B01D46" w:rsidRDefault="0067013E">
      <w:pPr>
        <w:pStyle w:val="ListParagraph"/>
        <w:numPr>
          <w:ilvl w:val="0"/>
          <w:numId w:val="28"/>
        </w:numPr>
        <w:spacing w:after="131" w:line="360" w:lineRule="auto"/>
        <w:ind w:left="709" w:hanging="283"/>
        <w:jc w:val="left"/>
        <w:rPr>
          <w:szCs w:val="24"/>
        </w:rPr>
      </w:pPr>
      <w:r>
        <w:rPr>
          <w:szCs w:val="24"/>
        </w:rPr>
        <w:t>Field of specialization…………………………………………………………</w:t>
      </w:r>
    </w:p>
    <w:p w14:paraId="36193B27" w14:textId="77777777" w:rsidR="00B01D46" w:rsidRDefault="00B01D46">
      <w:pPr>
        <w:spacing w:after="0" w:line="240" w:lineRule="auto"/>
        <w:rPr>
          <w:rFonts w:ascii="Times New Roman" w:hAnsi="Times New Roman" w:cs="Times New Roman"/>
          <w:sz w:val="24"/>
          <w:szCs w:val="24"/>
        </w:rPr>
      </w:pPr>
    </w:p>
    <w:p w14:paraId="00FF1313" w14:textId="77777777" w:rsidR="00B01D46" w:rsidRDefault="0067013E">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 xml:space="preserve">B. The Status of Information Literacy Skills </w:t>
      </w:r>
      <w:r>
        <w:rPr>
          <w:rFonts w:ascii="Times New Roman" w:hAnsi="Times New Roman" w:cs="Times New Roman"/>
          <w:b/>
          <w:sz w:val="24"/>
          <w:szCs w:val="24"/>
        </w:rPr>
        <w:t>(ILS) Among Medical Undergraduate Students</w:t>
      </w:r>
    </w:p>
    <w:p w14:paraId="548B7374" w14:textId="77777777" w:rsidR="00B01D46" w:rsidRDefault="0067013E">
      <w:pPr>
        <w:pStyle w:val="NormalWeb"/>
        <w:shd w:val="clear" w:color="auto" w:fill="FFFFFF"/>
        <w:tabs>
          <w:tab w:val="left" w:pos="360"/>
        </w:tabs>
        <w:autoSpaceDE w:val="0"/>
        <w:autoSpaceDN w:val="0"/>
        <w:adjustRightInd w:val="0"/>
        <w:spacing w:before="120" w:after="0"/>
        <w:jc w:val="both"/>
      </w:pPr>
      <w:r>
        <w:t xml:space="preserve">1.   What is your opinion on </w:t>
      </w:r>
      <w:r>
        <w:rPr>
          <w:b/>
        </w:rPr>
        <w:t xml:space="preserve">Information Literacy Skills </w:t>
      </w:r>
      <w:r>
        <w:t>competency of the medical Students in your department?</w:t>
      </w:r>
    </w:p>
    <w:p w14:paraId="04D901C9"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w:t>
      </w:r>
    </w:p>
    <w:p w14:paraId="14263664"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2. How adequate are the ILS in enabling medical undergraduate students in your department carry out their studies effectively?</w:t>
      </w:r>
    </w:p>
    <w:p w14:paraId="190160EA" w14:textId="77777777" w:rsidR="00B01D46" w:rsidRDefault="0067013E">
      <w:pPr>
        <w:spacing w:line="360" w:lineRule="auto"/>
        <w:rPr>
          <w:rFonts w:ascii="Times New Roman" w:hAnsi="Times New Roman" w:cs="Times New Roman"/>
          <w:sz w:val="24"/>
          <w:szCs w:val="24"/>
        </w:rPr>
      </w:pPr>
      <w:r>
        <w:rPr>
          <w:rFonts w:ascii="Times New Roman" w:hAnsi="Times New Roman" w:cs="Times New Roman"/>
          <w:sz w:val="24"/>
          <w:szCs w:val="24"/>
        </w:rPr>
        <w:t>………………………………………………………………………………………………………………………………………………………………………………………………………………………………………………………………………………………………</w:t>
      </w:r>
    </w:p>
    <w:p w14:paraId="64EFA887" w14:textId="77777777" w:rsidR="00B01D46" w:rsidRDefault="0067013E">
      <w:pPr>
        <w:pStyle w:val="NormalWeb"/>
        <w:shd w:val="clear" w:color="auto" w:fill="FFFFFF"/>
        <w:tabs>
          <w:tab w:val="left" w:pos="0"/>
        </w:tabs>
        <w:autoSpaceDE w:val="0"/>
        <w:autoSpaceDN w:val="0"/>
        <w:adjustRightInd w:val="0"/>
        <w:spacing w:before="120" w:after="0" w:line="360" w:lineRule="auto"/>
        <w:jc w:val="both"/>
      </w:pPr>
      <w:r>
        <w:t xml:space="preserve">C. </w:t>
      </w:r>
      <w:r>
        <w:rPr>
          <w:b/>
        </w:rPr>
        <w:t>Information Literacy Skills Policy and Curriculum Used in Supporting ILS delivery to Medical Undergraduate Students</w:t>
      </w:r>
    </w:p>
    <w:p w14:paraId="592133BC" w14:textId="77777777" w:rsidR="00B01D46" w:rsidRDefault="0067013E">
      <w:pPr>
        <w:pStyle w:val="ListParagraph"/>
        <w:numPr>
          <w:ilvl w:val="0"/>
          <w:numId w:val="29"/>
        </w:numPr>
        <w:autoSpaceDE w:val="0"/>
        <w:autoSpaceDN w:val="0"/>
        <w:adjustRightInd w:val="0"/>
        <w:spacing w:after="167" w:line="240" w:lineRule="auto"/>
        <w:jc w:val="left"/>
        <w:rPr>
          <w:szCs w:val="24"/>
        </w:rPr>
      </w:pPr>
      <w:r>
        <w:rPr>
          <w:szCs w:val="24"/>
        </w:rPr>
        <w:t>Does your institution have a formal information literacy policy and curriculum</w:t>
      </w:r>
    </w:p>
    <w:p w14:paraId="69CA9454" w14:textId="77777777" w:rsidR="00B01D46" w:rsidRDefault="0067013E">
      <w:pPr>
        <w:pStyle w:val="ListParagraph"/>
        <w:autoSpaceDE w:val="0"/>
        <w:autoSpaceDN w:val="0"/>
        <w:adjustRightInd w:val="0"/>
        <w:spacing w:after="167" w:line="240" w:lineRule="auto"/>
        <w:ind w:firstLine="0"/>
        <w:jc w:val="left"/>
        <w:rPr>
          <w:szCs w:val="24"/>
        </w:rPr>
      </w:pPr>
      <w:r>
        <w:rPr>
          <w:szCs w:val="24"/>
        </w:rPr>
        <w:t>………………………………………………………………………………………………………………………………………………………………………………………………………………………………………………………………………</w:t>
      </w:r>
    </w:p>
    <w:p w14:paraId="1BA93CF9" w14:textId="77777777" w:rsidR="00B01D46" w:rsidRDefault="00B01D46">
      <w:pPr>
        <w:pStyle w:val="ListParagraph"/>
        <w:autoSpaceDE w:val="0"/>
        <w:autoSpaceDN w:val="0"/>
        <w:adjustRightInd w:val="0"/>
        <w:spacing w:after="167" w:line="240" w:lineRule="auto"/>
        <w:ind w:firstLine="0"/>
        <w:jc w:val="left"/>
        <w:rPr>
          <w:szCs w:val="24"/>
        </w:rPr>
      </w:pPr>
    </w:p>
    <w:p w14:paraId="4694E9DC" w14:textId="77777777" w:rsidR="00B01D46" w:rsidRDefault="0067013E">
      <w:pPr>
        <w:numPr>
          <w:ilvl w:val="0"/>
          <w:numId w:val="29"/>
        </w:numPr>
        <w:spacing w:after="13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If yes, what areas does the ILS policy cover?</w:t>
      </w:r>
    </w:p>
    <w:p w14:paraId="59DC68C0" w14:textId="77777777" w:rsidR="00B01D46" w:rsidRDefault="0067013E">
      <w:pPr>
        <w:spacing w:after="131" w:line="360" w:lineRule="auto"/>
        <w:ind w:left="720"/>
        <w:jc w:val="both"/>
        <w:rPr>
          <w:rFonts w:ascii="Times New Roman" w:hAnsi="Times New Roman" w:cs="Times New Roman"/>
          <w:sz w:val="24"/>
          <w:szCs w:val="24"/>
        </w:rPr>
      </w:pPr>
      <w:r>
        <w:rPr>
          <w:rFonts w:ascii="Times New Roman" w:hAnsi="Times New Roman" w:cs="Times New Roman"/>
          <w:sz w:val="24"/>
          <w:szCs w:val="24"/>
        </w:rPr>
        <w:t>…………………………………………………………………………………………………………………………………………………………………………………………………………………………………………………………………………………………………………</w:t>
      </w:r>
    </w:p>
    <w:p w14:paraId="77AB60B1" w14:textId="77777777" w:rsidR="00B01D46" w:rsidRDefault="0067013E">
      <w:pPr>
        <w:pStyle w:val="ListParagraph"/>
        <w:numPr>
          <w:ilvl w:val="0"/>
          <w:numId w:val="29"/>
        </w:numPr>
        <w:spacing w:after="131" w:line="355" w:lineRule="auto"/>
        <w:rPr>
          <w:szCs w:val="24"/>
        </w:rPr>
      </w:pPr>
      <w:r>
        <w:rPr>
          <w:szCs w:val="24"/>
        </w:rPr>
        <w:t xml:space="preserve"> Briefly state the procedure of formulating the ILS policy and curriculum</w:t>
      </w:r>
    </w:p>
    <w:p w14:paraId="04A9696E" w14:textId="77777777" w:rsidR="00B01D46" w:rsidRDefault="0067013E">
      <w:pPr>
        <w:pStyle w:val="ListParagraph"/>
        <w:spacing w:after="131" w:line="355" w:lineRule="auto"/>
        <w:ind w:firstLine="0"/>
        <w:rPr>
          <w:szCs w:val="24"/>
        </w:rPr>
      </w:pPr>
      <w:r>
        <w:rPr>
          <w:szCs w:val="24"/>
        </w:rPr>
        <w:t>………………………………………………………………………………………………………………………………………………………………………………………………………………………………………………………………………………………………………………………………………………………………</w:t>
      </w:r>
    </w:p>
    <w:p w14:paraId="723E4FA3" w14:textId="77777777" w:rsidR="00B01D46" w:rsidRDefault="0067013E">
      <w:pPr>
        <w:numPr>
          <w:ilvl w:val="0"/>
          <w:numId w:val="29"/>
        </w:numPr>
        <w:spacing w:after="131" w:line="360" w:lineRule="auto"/>
        <w:jc w:val="both"/>
        <w:rPr>
          <w:rFonts w:ascii="Times New Roman" w:hAnsi="Times New Roman" w:cs="Times New Roman"/>
          <w:sz w:val="24"/>
          <w:szCs w:val="24"/>
        </w:rPr>
      </w:pPr>
      <w:r>
        <w:rPr>
          <w:rFonts w:ascii="Times New Roman" w:hAnsi="Times New Roman" w:cs="Times New Roman"/>
          <w:sz w:val="24"/>
          <w:szCs w:val="24"/>
        </w:rPr>
        <w:t>Comment on the implementation of the ILS policy</w:t>
      </w:r>
    </w:p>
    <w:p w14:paraId="5B8226A3" w14:textId="77777777" w:rsidR="00B01D46" w:rsidRDefault="0067013E">
      <w:pPr>
        <w:pStyle w:val="ListParagraph"/>
        <w:autoSpaceDE w:val="0"/>
        <w:autoSpaceDN w:val="0"/>
        <w:adjustRightInd w:val="0"/>
        <w:spacing w:after="167" w:line="360" w:lineRule="auto"/>
        <w:ind w:firstLine="0"/>
        <w:jc w:val="left"/>
        <w:rPr>
          <w:rFonts w:eastAsiaTheme="minorHAnsi"/>
          <w:szCs w:val="24"/>
        </w:rPr>
      </w:pPr>
      <w:r>
        <w:rPr>
          <w:rFonts w:eastAsiaTheme="minorHAnsi"/>
          <w:szCs w:val="24"/>
        </w:rPr>
        <w:t>……………………………….</w:t>
      </w:r>
      <w:r>
        <w:rPr>
          <w:szCs w:val="24"/>
        </w:rPr>
        <w:t>………………………………………………………………………………………………………………………………………………………………………………………………………………………………………</w:t>
      </w:r>
    </w:p>
    <w:p w14:paraId="2B110FF6" w14:textId="77777777" w:rsidR="00B01D46" w:rsidRDefault="0067013E">
      <w:pPr>
        <w:numPr>
          <w:ilvl w:val="0"/>
          <w:numId w:val="29"/>
        </w:numPr>
        <w:spacing w:after="131" w:line="360" w:lineRule="auto"/>
        <w:jc w:val="both"/>
        <w:rPr>
          <w:rFonts w:ascii="Times New Roman" w:hAnsi="Times New Roman" w:cs="Times New Roman"/>
          <w:sz w:val="24"/>
          <w:szCs w:val="24"/>
        </w:rPr>
      </w:pPr>
      <w:r>
        <w:rPr>
          <w:rFonts w:ascii="Times New Roman" w:hAnsi="Times New Roman" w:cs="Times New Roman"/>
          <w:sz w:val="24"/>
          <w:szCs w:val="24"/>
        </w:rPr>
        <w:t>How often is the policy reviewed?</w:t>
      </w:r>
    </w:p>
    <w:p w14:paraId="489E148D" w14:textId="77777777" w:rsidR="00B01D46" w:rsidRDefault="0067013E">
      <w:pPr>
        <w:spacing w:after="131" w:line="360" w:lineRule="auto"/>
        <w:ind w:left="720"/>
        <w:jc w:val="both"/>
        <w:rPr>
          <w:rFonts w:ascii="Times New Roman" w:hAnsi="Times New Roman" w:cs="Times New Roman"/>
          <w:sz w:val="24"/>
          <w:szCs w:val="24"/>
        </w:rPr>
      </w:pPr>
      <w:r>
        <w:rPr>
          <w:rFonts w:ascii="Times New Roman" w:hAnsi="Times New Roman" w:cs="Times New Roman"/>
          <w:sz w:val="24"/>
          <w:szCs w:val="24"/>
        </w:rPr>
        <w:t>………………………………………………………………………………………………………………………………………………………………………………………………………………………………………………………………………</w:t>
      </w:r>
    </w:p>
    <w:p w14:paraId="73874A4C" w14:textId="77777777" w:rsidR="00B01D46" w:rsidRDefault="0067013E">
      <w:pPr>
        <w:numPr>
          <w:ilvl w:val="0"/>
          <w:numId w:val="29"/>
        </w:numPr>
        <w:spacing w:after="131" w:line="360" w:lineRule="auto"/>
        <w:jc w:val="both"/>
        <w:rPr>
          <w:rFonts w:ascii="Times New Roman" w:hAnsi="Times New Roman" w:cs="Times New Roman"/>
          <w:sz w:val="24"/>
          <w:szCs w:val="24"/>
        </w:rPr>
      </w:pPr>
      <w:r>
        <w:rPr>
          <w:rFonts w:ascii="Times New Roman" w:hAnsi="Times New Roman" w:cs="Times New Roman"/>
          <w:sz w:val="24"/>
          <w:szCs w:val="24"/>
        </w:rPr>
        <w:t>Comment on the content and methods of delivery of the ILS curriculum in your institution</w:t>
      </w:r>
    </w:p>
    <w:p w14:paraId="283A4716" w14:textId="77777777" w:rsidR="00B01D46" w:rsidRDefault="0067013E">
      <w:pPr>
        <w:pStyle w:val="ListParagraph"/>
        <w:autoSpaceDE w:val="0"/>
        <w:autoSpaceDN w:val="0"/>
        <w:adjustRightInd w:val="0"/>
        <w:spacing w:after="167" w:line="360" w:lineRule="auto"/>
        <w:ind w:firstLine="0"/>
        <w:jc w:val="left"/>
        <w:rPr>
          <w:rFonts w:eastAsiaTheme="minorHAnsi"/>
          <w:szCs w:val="24"/>
        </w:rPr>
      </w:pPr>
      <w:r>
        <w:rPr>
          <w:szCs w:val="24"/>
        </w:rPr>
        <w:t>………………………………………………………………………………………………………………………………………………………………………………………………………………………………………………………………………</w:t>
      </w:r>
      <w:r>
        <w:rPr>
          <w:rFonts w:eastAsiaTheme="minorHAnsi"/>
          <w:szCs w:val="24"/>
        </w:rPr>
        <w:t xml:space="preserve"> </w:t>
      </w:r>
    </w:p>
    <w:p w14:paraId="5EC5EC09" w14:textId="77777777" w:rsidR="00B01D46" w:rsidRDefault="0067013E">
      <w:pPr>
        <w:pStyle w:val="ListParagraph"/>
        <w:numPr>
          <w:ilvl w:val="0"/>
          <w:numId w:val="29"/>
        </w:numPr>
        <w:autoSpaceDE w:val="0"/>
        <w:autoSpaceDN w:val="0"/>
        <w:adjustRightInd w:val="0"/>
        <w:spacing w:after="167" w:line="240" w:lineRule="auto"/>
        <w:jc w:val="left"/>
        <w:rPr>
          <w:rFonts w:eastAsiaTheme="minorHAnsi"/>
          <w:szCs w:val="24"/>
        </w:rPr>
      </w:pPr>
      <w:r>
        <w:rPr>
          <w:rFonts w:eastAsiaTheme="minorHAnsi"/>
          <w:szCs w:val="24"/>
        </w:rPr>
        <w:t xml:space="preserve">What ILS assessment techniques does your institution use </w:t>
      </w:r>
    </w:p>
    <w:p w14:paraId="69FCF553" w14:textId="77777777" w:rsidR="00B01D46" w:rsidRDefault="0067013E">
      <w:pPr>
        <w:pStyle w:val="ListParagraph"/>
        <w:autoSpaceDE w:val="0"/>
        <w:autoSpaceDN w:val="0"/>
        <w:adjustRightInd w:val="0"/>
        <w:spacing w:after="167" w:line="360" w:lineRule="auto"/>
        <w:ind w:firstLine="0"/>
        <w:jc w:val="left"/>
        <w:rPr>
          <w:rFonts w:eastAsiaTheme="minorHAnsi"/>
          <w:szCs w:val="24"/>
        </w:rPr>
      </w:pPr>
      <w:r>
        <w:rPr>
          <w:rFonts w:eastAsiaTheme="minorHAnsi"/>
          <w:szCs w:val="24"/>
        </w:rPr>
        <w:t>........................................................................................................................................................................................................................................................</w:t>
      </w:r>
    </w:p>
    <w:p w14:paraId="285C6C1D" w14:textId="77777777" w:rsidR="00B01D46" w:rsidRDefault="0067013E">
      <w:pPr>
        <w:pStyle w:val="NormalWeb"/>
        <w:shd w:val="clear" w:color="auto" w:fill="FFFFFF"/>
        <w:tabs>
          <w:tab w:val="left" w:pos="360"/>
        </w:tabs>
        <w:autoSpaceDE w:val="0"/>
        <w:autoSpaceDN w:val="0"/>
        <w:adjustRightInd w:val="0"/>
        <w:spacing w:before="120" w:after="0" w:line="360" w:lineRule="auto"/>
        <w:ind w:left="1080" w:hanging="1080"/>
        <w:jc w:val="both"/>
        <w:rPr>
          <w:rFonts w:eastAsia="Calibri"/>
          <w:b/>
        </w:rPr>
      </w:pPr>
      <w:r>
        <w:rPr>
          <w:b/>
        </w:rPr>
        <w:lastRenderedPageBreak/>
        <w:t>D.</w:t>
      </w:r>
      <w:r>
        <w:rPr>
          <w:rFonts w:eastAsia="Calibri"/>
          <w:b/>
        </w:rPr>
        <w:t xml:space="preserve"> ILS understanding among Medical Undergraduate Students </w:t>
      </w:r>
    </w:p>
    <w:p w14:paraId="7CAC4AC8" w14:textId="77777777" w:rsidR="00B01D46" w:rsidRDefault="0067013E">
      <w:pPr>
        <w:pStyle w:val="ListParagraph"/>
        <w:numPr>
          <w:ilvl w:val="0"/>
          <w:numId w:val="29"/>
        </w:numPr>
        <w:spacing w:after="131" w:line="241" w:lineRule="auto"/>
        <w:ind w:hanging="436"/>
        <w:rPr>
          <w:szCs w:val="24"/>
        </w:rPr>
      </w:pPr>
      <w:r>
        <w:rPr>
          <w:szCs w:val="24"/>
        </w:rPr>
        <w:t>(a) How do students perceive ILS  in  your institution</w:t>
      </w:r>
    </w:p>
    <w:p w14:paraId="78BDC7F9" w14:textId="77777777" w:rsidR="00B01D46" w:rsidRDefault="0067013E">
      <w:pPr>
        <w:spacing w:after="131" w:line="241" w:lineRule="auto"/>
        <w:ind w:left="682"/>
        <w:jc w:val="both"/>
        <w:rPr>
          <w:rFonts w:ascii="Times New Roman" w:hAnsi="Times New Roman" w:cs="Times New Roman"/>
          <w:sz w:val="24"/>
          <w:szCs w:val="24"/>
        </w:rPr>
      </w:pPr>
      <w:r>
        <w:rPr>
          <w:rFonts w:ascii="Times New Roman" w:hAnsi="Times New Roman" w:cs="Times New Roman"/>
          <w:sz w:val="24"/>
          <w:szCs w:val="24"/>
        </w:rPr>
        <w:t>………………………………………………………………………………………………………………………………………………………………………………………………………………………………………………………………………………………………………</w:t>
      </w:r>
    </w:p>
    <w:p w14:paraId="23AD9C43" w14:textId="77777777" w:rsidR="00B01D46" w:rsidRDefault="0067013E">
      <w:pPr>
        <w:spacing w:after="131" w:line="241" w:lineRule="auto"/>
        <w:ind w:left="682"/>
        <w:jc w:val="both"/>
        <w:rPr>
          <w:rFonts w:ascii="Times New Roman" w:hAnsi="Times New Roman" w:cs="Times New Roman"/>
          <w:sz w:val="24"/>
          <w:szCs w:val="24"/>
        </w:rPr>
      </w:pPr>
      <w:r>
        <w:rPr>
          <w:rFonts w:ascii="Times New Roman" w:hAnsi="Times New Roman" w:cs="Times New Roman"/>
          <w:sz w:val="24"/>
          <w:szCs w:val="24"/>
        </w:rPr>
        <w:t>(b) What are the reasons for the explanation in question (1a) above?</w:t>
      </w:r>
    </w:p>
    <w:p w14:paraId="5650731B" w14:textId="77777777" w:rsidR="00B01D46" w:rsidRDefault="0067013E">
      <w:pPr>
        <w:spacing w:after="131" w:line="241" w:lineRule="auto"/>
        <w:ind w:left="682"/>
        <w:jc w:val="both"/>
        <w:rPr>
          <w:rFonts w:ascii="Times New Roman" w:hAnsi="Times New Roman" w:cs="Times New Roman"/>
          <w:sz w:val="24"/>
          <w:szCs w:val="24"/>
        </w:rPr>
      </w:pPr>
      <w:r>
        <w:rPr>
          <w:rFonts w:ascii="Times New Roman" w:hAnsi="Times New Roman" w:cs="Times New Roman"/>
          <w:sz w:val="24"/>
          <w:szCs w:val="24"/>
        </w:rPr>
        <w:t>………………………………………………………………………………………………………………………………………………………………………………………………………………………………………………………………………………………………………</w:t>
      </w:r>
    </w:p>
    <w:p w14:paraId="675CB88F" w14:textId="77777777" w:rsidR="00B01D46" w:rsidRDefault="00B01D46">
      <w:pPr>
        <w:spacing w:after="131" w:line="241" w:lineRule="auto"/>
        <w:ind w:left="682"/>
        <w:jc w:val="both"/>
        <w:rPr>
          <w:rFonts w:ascii="Times New Roman" w:hAnsi="Times New Roman" w:cs="Times New Roman"/>
          <w:sz w:val="24"/>
          <w:szCs w:val="24"/>
        </w:rPr>
      </w:pPr>
    </w:p>
    <w:p w14:paraId="6B213969" w14:textId="77777777" w:rsidR="00B01D46" w:rsidRDefault="0067013E">
      <w:pPr>
        <w:numPr>
          <w:ilvl w:val="0"/>
          <w:numId w:val="29"/>
        </w:numPr>
        <w:spacing w:after="131" w:line="241" w:lineRule="auto"/>
        <w:jc w:val="both"/>
        <w:rPr>
          <w:rFonts w:ascii="Times New Roman" w:hAnsi="Times New Roman" w:cs="Times New Roman"/>
          <w:sz w:val="24"/>
          <w:szCs w:val="24"/>
        </w:rPr>
      </w:pPr>
      <w:r>
        <w:rPr>
          <w:rFonts w:ascii="Times New Roman" w:hAnsi="Times New Roman" w:cs="Times New Roman"/>
          <w:sz w:val="24"/>
          <w:szCs w:val="24"/>
        </w:rPr>
        <w:t>What is your general view of ILS training as a programme in your institution? ………………………………………………………………………………………………………………………………………………………………………………………………………………………………………………………………………………………………</w:t>
      </w:r>
    </w:p>
    <w:p w14:paraId="74A46DD3" w14:textId="77777777" w:rsidR="00B01D46" w:rsidRDefault="0067013E">
      <w:pPr>
        <w:numPr>
          <w:ilvl w:val="0"/>
          <w:numId w:val="29"/>
        </w:numPr>
        <w:spacing w:after="131" w:line="241" w:lineRule="auto"/>
        <w:jc w:val="both"/>
        <w:rPr>
          <w:rFonts w:ascii="Times New Roman" w:hAnsi="Times New Roman" w:cs="Times New Roman"/>
          <w:sz w:val="24"/>
          <w:szCs w:val="24"/>
        </w:rPr>
      </w:pPr>
      <w:r>
        <w:rPr>
          <w:rFonts w:ascii="Times New Roman" w:hAnsi="Times New Roman" w:cs="Times New Roman"/>
          <w:sz w:val="24"/>
          <w:szCs w:val="24"/>
        </w:rPr>
        <w:t xml:space="preserve">What do you think could be done to enhance ILS in your university? </w:t>
      </w:r>
    </w:p>
    <w:p w14:paraId="63161B15" w14:textId="77777777" w:rsidR="00B01D46" w:rsidRDefault="0067013E">
      <w:pPr>
        <w:spacing w:after="131" w:line="240" w:lineRule="auto"/>
        <w:ind w:left="677"/>
        <w:jc w:val="both"/>
        <w:rPr>
          <w:rFonts w:ascii="Times New Roman" w:hAnsi="Times New Roman" w:cs="Times New Roman"/>
          <w:sz w:val="24"/>
          <w:szCs w:val="24"/>
        </w:rPr>
      </w:pPr>
      <w:r>
        <w:rPr>
          <w:rFonts w:ascii="Times New Roman" w:hAnsi="Times New Roman" w:cs="Times New Roman"/>
          <w:sz w:val="24"/>
          <w:szCs w:val="24"/>
        </w:rPr>
        <w:t>…………………………………………………………………………………</w:t>
      </w:r>
    </w:p>
    <w:p w14:paraId="6219CFF7" w14:textId="77777777" w:rsidR="00B01D46" w:rsidRDefault="0067013E">
      <w:pPr>
        <w:spacing w:after="131"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134C20AF" w14:textId="77777777" w:rsidR="00B01D46" w:rsidRDefault="0067013E">
      <w:pPr>
        <w:spacing w:after="131"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6A8E86E7" w14:textId="77777777" w:rsidR="00B01D46" w:rsidRDefault="0067013E">
      <w:pPr>
        <w:numPr>
          <w:ilvl w:val="0"/>
          <w:numId w:val="29"/>
        </w:numPr>
        <w:spacing w:after="131" w:line="241" w:lineRule="auto"/>
        <w:jc w:val="both"/>
        <w:rPr>
          <w:rFonts w:ascii="Times New Roman" w:hAnsi="Times New Roman" w:cs="Times New Roman"/>
          <w:sz w:val="24"/>
          <w:szCs w:val="24"/>
        </w:rPr>
      </w:pPr>
      <w:r>
        <w:rPr>
          <w:rFonts w:ascii="Times New Roman" w:hAnsi="Times New Roman" w:cs="Times New Roman"/>
          <w:sz w:val="24"/>
          <w:szCs w:val="24"/>
        </w:rPr>
        <w:t xml:space="preserve">What is the evidence of the impact of ILS on Medical undergraduate students? </w:t>
      </w:r>
    </w:p>
    <w:p w14:paraId="78DA47FF" w14:textId="77777777" w:rsidR="00B01D46" w:rsidRDefault="0067013E">
      <w:pPr>
        <w:spacing w:after="131" w:line="241" w:lineRule="auto"/>
        <w:ind w:left="687" w:hanging="10"/>
        <w:rPr>
          <w:rFonts w:ascii="Times New Roman" w:hAnsi="Times New Roman" w:cs="Times New Roman"/>
          <w:sz w:val="24"/>
          <w:szCs w:val="24"/>
        </w:rPr>
      </w:pPr>
      <w:r>
        <w:rPr>
          <w:rFonts w:ascii="Times New Roman" w:hAnsi="Times New Roman" w:cs="Times New Roman"/>
          <w:sz w:val="24"/>
          <w:szCs w:val="24"/>
        </w:rPr>
        <w:t>(Observable, testable, etc)</w:t>
      </w:r>
    </w:p>
    <w:p w14:paraId="6908FA0B" w14:textId="77777777" w:rsidR="00B01D46" w:rsidRDefault="0067013E">
      <w:pPr>
        <w:spacing w:after="131" w:line="240" w:lineRule="auto"/>
        <w:ind w:left="677"/>
        <w:jc w:val="both"/>
        <w:rPr>
          <w:rFonts w:ascii="Times New Roman" w:hAnsi="Times New Roman" w:cs="Times New Roman"/>
          <w:sz w:val="24"/>
          <w:szCs w:val="24"/>
        </w:rPr>
      </w:pPr>
      <w:r>
        <w:rPr>
          <w:rFonts w:ascii="Times New Roman" w:hAnsi="Times New Roman" w:cs="Times New Roman"/>
          <w:sz w:val="24"/>
          <w:szCs w:val="24"/>
        </w:rPr>
        <w:t>…………………………………………………………………………………</w:t>
      </w:r>
    </w:p>
    <w:p w14:paraId="186D744E" w14:textId="77777777" w:rsidR="00B01D46" w:rsidRDefault="0067013E">
      <w:pPr>
        <w:spacing w:after="131"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3A1394ED" w14:textId="77777777" w:rsidR="00B01D46" w:rsidRDefault="0067013E">
      <w:pPr>
        <w:spacing w:after="131"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1C45119B" w14:textId="77777777" w:rsidR="00B01D46" w:rsidRDefault="0067013E">
      <w:pPr>
        <w:autoSpaceDE w:val="0"/>
        <w:autoSpaceDN w:val="0"/>
        <w:adjustRightInd w:val="0"/>
        <w:spacing w:after="167" w:line="240" w:lineRule="auto"/>
        <w:ind w:left="90"/>
        <w:rPr>
          <w:rFonts w:ascii="Times New Roman" w:hAnsi="Times New Roman" w:cs="Times New Roman"/>
          <w:b/>
          <w:sz w:val="24"/>
          <w:szCs w:val="24"/>
        </w:rPr>
      </w:pPr>
      <w:r>
        <w:rPr>
          <w:rFonts w:ascii="Times New Roman" w:hAnsi="Times New Roman" w:cs="Times New Roman"/>
          <w:b/>
          <w:sz w:val="24"/>
          <w:szCs w:val="24"/>
        </w:rPr>
        <w:t>F. K</w:t>
      </w:r>
      <w:r>
        <w:rPr>
          <w:rFonts w:ascii="Times New Roman" w:eastAsia="Calibri" w:hAnsi="Times New Roman" w:cs="Times New Roman"/>
          <w:b/>
          <w:sz w:val="24"/>
          <w:szCs w:val="24"/>
        </w:rPr>
        <w:t xml:space="preserve">nowledge, Skills and training needed by Staff in Facilitating ILS among </w:t>
      </w:r>
      <w:r>
        <w:rPr>
          <w:rFonts w:ascii="Times New Roman" w:hAnsi="Times New Roman" w:cs="Times New Roman"/>
          <w:b/>
          <w:sz w:val="24"/>
          <w:szCs w:val="24"/>
        </w:rPr>
        <w:t>Medical Undergraduate Students</w:t>
      </w:r>
    </w:p>
    <w:p w14:paraId="20C1220E" w14:textId="77777777" w:rsidR="00B01D46" w:rsidRDefault="00B01D46">
      <w:pPr>
        <w:pStyle w:val="NoSpacing"/>
        <w:rPr>
          <w:rFonts w:ascii="Times New Roman" w:hAnsi="Times New Roman" w:cs="Times New Roman"/>
          <w:sz w:val="24"/>
          <w:szCs w:val="24"/>
        </w:rPr>
      </w:pPr>
    </w:p>
    <w:p w14:paraId="2C443626" w14:textId="77777777" w:rsidR="00B01D46" w:rsidRDefault="0067013E">
      <w:pPr>
        <w:pStyle w:val="NoSpacing"/>
        <w:numPr>
          <w:ilvl w:val="0"/>
          <w:numId w:val="29"/>
        </w:numPr>
        <w:ind w:right="8"/>
        <w:rPr>
          <w:rFonts w:ascii="Times New Roman" w:hAnsi="Times New Roman" w:cs="Times New Roman"/>
          <w:sz w:val="24"/>
          <w:szCs w:val="24"/>
        </w:rPr>
      </w:pPr>
      <w:r>
        <w:rPr>
          <w:rFonts w:ascii="Times New Roman" w:hAnsi="Times New Roman" w:cs="Times New Roman"/>
          <w:sz w:val="24"/>
          <w:szCs w:val="24"/>
        </w:rPr>
        <w:t xml:space="preserve">Who is responsible for ILS delivery </w:t>
      </w:r>
    </w:p>
    <w:p w14:paraId="4FDE1915" w14:textId="77777777" w:rsidR="00B01D46" w:rsidRDefault="0067013E">
      <w:pPr>
        <w:pStyle w:val="NoSpacing"/>
        <w:ind w:left="900" w:right="8"/>
        <w:rPr>
          <w:rFonts w:ascii="Times New Roman" w:hAnsi="Times New Roman" w:cs="Times New Roman"/>
          <w:sz w:val="24"/>
          <w:szCs w:val="24"/>
        </w:rPr>
      </w:pPr>
      <w:r>
        <w:rPr>
          <w:rFonts w:ascii="Times New Roman" w:hAnsi="Times New Roman" w:cs="Times New Roman"/>
          <w:sz w:val="24"/>
          <w:szCs w:val="24"/>
        </w:rPr>
        <w:t>………………………………………………………………………………………………………………………………………………………………</w:t>
      </w:r>
    </w:p>
    <w:p w14:paraId="16752D32" w14:textId="77777777" w:rsidR="00B01D46" w:rsidRDefault="0067013E">
      <w:pPr>
        <w:pStyle w:val="NoSpacing"/>
        <w:ind w:left="900" w:right="8"/>
        <w:rPr>
          <w:rFonts w:ascii="Times New Roman" w:hAnsi="Times New Roman" w:cs="Times New Roman"/>
          <w:sz w:val="24"/>
          <w:szCs w:val="24"/>
        </w:rPr>
      </w:pPr>
      <w:r>
        <w:rPr>
          <w:rFonts w:ascii="Times New Roman" w:hAnsi="Times New Roman" w:cs="Times New Roman"/>
          <w:sz w:val="24"/>
          <w:szCs w:val="24"/>
        </w:rPr>
        <w:t>………………………………………………………………………………………………………………………………………………................................................................……………………………………………………</w:t>
      </w:r>
    </w:p>
    <w:p w14:paraId="2853A697" w14:textId="77777777" w:rsidR="00B01D46" w:rsidRDefault="00B01D46">
      <w:pPr>
        <w:pStyle w:val="NoSpacing"/>
        <w:ind w:left="900" w:right="8"/>
        <w:rPr>
          <w:rFonts w:ascii="Times New Roman" w:hAnsi="Times New Roman" w:cs="Times New Roman"/>
          <w:sz w:val="24"/>
          <w:szCs w:val="24"/>
        </w:rPr>
      </w:pPr>
    </w:p>
    <w:p w14:paraId="2C2AB703" w14:textId="77777777" w:rsidR="00B01D46" w:rsidRDefault="0067013E">
      <w:pPr>
        <w:pStyle w:val="NoSpacing"/>
        <w:numPr>
          <w:ilvl w:val="0"/>
          <w:numId w:val="29"/>
        </w:numPr>
        <w:ind w:right="8"/>
        <w:rPr>
          <w:rFonts w:ascii="Times New Roman" w:hAnsi="Times New Roman" w:cs="Times New Roman"/>
          <w:sz w:val="24"/>
          <w:szCs w:val="24"/>
        </w:rPr>
      </w:pPr>
      <w:r>
        <w:rPr>
          <w:rFonts w:ascii="Times New Roman" w:hAnsi="Times New Roman" w:cs="Times New Roman"/>
          <w:sz w:val="24"/>
          <w:szCs w:val="24"/>
        </w:rPr>
        <w:t>What is the competency level of the library staff and lecturers in enhancing adequacy of ILS among medical undergraduate students? ………………………………………………………………………………………………………………………………………………………………</w:t>
      </w:r>
      <w:r>
        <w:rPr>
          <w:rFonts w:ascii="Times New Roman" w:hAnsi="Times New Roman" w:cs="Times New Roman"/>
          <w:sz w:val="24"/>
          <w:szCs w:val="24"/>
        </w:rPr>
        <w:lastRenderedPageBreak/>
        <w:t>………………………………………………………………………………………………………………………………………………………………………………………………………………………………………………………………………..........................</w:t>
      </w:r>
    </w:p>
    <w:p w14:paraId="7DBBC4DA" w14:textId="77777777" w:rsidR="00B01D46" w:rsidRDefault="0067013E">
      <w:pPr>
        <w:pStyle w:val="NoSpacing"/>
        <w:numPr>
          <w:ilvl w:val="0"/>
          <w:numId w:val="29"/>
        </w:numPr>
        <w:spacing w:line="360" w:lineRule="auto"/>
        <w:ind w:right="8"/>
        <w:rPr>
          <w:rFonts w:ascii="Times New Roman" w:hAnsi="Times New Roman" w:cs="Times New Roman"/>
          <w:sz w:val="24"/>
          <w:szCs w:val="24"/>
        </w:rPr>
      </w:pPr>
      <w:r>
        <w:rPr>
          <w:rFonts w:ascii="Times New Roman" w:hAnsi="Times New Roman" w:cs="Times New Roman"/>
          <w:sz w:val="24"/>
          <w:szCs w:val="24"/>
        </w:rPr>
        <w:t>In your view, what needs to be done to enhance the skills of staff facilitating ILS among medical undergraduate students</w:t>
      </w:r>
    </w:p>
    <w:p w14:paraId="277BEC70" w14:textId="77777777" w:rsidR="00B01D46" w:rsidRDefault="0067013E">
      <w:pPr>
        <w:pStyle w:val="ListParagraph"/>
        <w:spacing w:after="131" w:line="240" w:lineRule="auto"/>
        <w:ind w:left="900" w:firstLine="0"/>
        <w:rPr>
          <w:szCs w:val="24"/>
        </w:rPr>
      </w:pPr>
      <w:r>
        <w:rPr>
          <w:szCs w:val="24"/>
        </w:rPr>
        <w:t>……………………………………………………………………………………………………………………………………………………………………………………………………………………………………………………………….</w:t>
      </w:r>
    </w:p>
    <w:p w14:paraId="582A474C" w14:textId="77777777" w:rsidR="00B01D46" w:rsidRDefault="0067013E">
      <w:pPr>
        <w:pStyle w:val="NormalWeb"/>
        <w:shd w:val="clear" w:color="auto" w:fill="FFFFFF"/>
        <w:tabs>
          <w:tab w:val="left" w:pos="0"/>
        </w:tabs>
        <w:autoSpaceDE w:val="0"/>
        <w:autoSpaceDN w:val="0"/>
        <w:adjustRightInd w:val="0"/>
        <w:spacing w:line="360" w:lineRule="auto"/>
        <w:jc w:val="both"/>
        <w:rPr>
          <w:b/>
        </w:rPr>
      </w:pPr>
      <w:r>
        <w:rPr>
          <w:b/>
        </w:rPr>
        <w:t>G. R</w:t>
      </w:r>
      <w:r>
        <w:rPr>
          <w:rFonts w:eastAsia="Calibri"/>
          <w:b/>
        </w:rPr>
        <w:t>ole of ICT in Promoting the Training and Learning of Information Literacy Skills among Undergraduate Medical Students</w:t>
      </w:r>
    </w:p>
    <w:p w14:paraId="68FE1ACE" w14:textId="77777777" w:rsidR="00B01D46" w:rsidRDefault="0067013E">
      <w:pPr>
        <w:pStyle w:val="ListParagraph"/>
        <w:numPr>
          <w:ilvl w:val="0"/>
          <w:numId w:val="29"/>
        </w:numPr>
        <w:autoSpaceDE w:val="0"/>
        <w:autoSpaceDN w:val="0"/>
        <w:adjustRightInd w:val="0"/>
        <w:spacing w:after="167" w:line="240" w:lineRule="auto"/>
        <w:jc w:val="left"/>
        <w:rPr>
          <w:szCs w:val="24"/>
        </w:rPr>
      </w:pPr>
      <w:r>
        <w:rPr>
          <w:szCs w:val="24"/>
        </w:rPr>
        <w:t>How is ICT utilized in enhancing ILS among medical undergraduate students in your institution</w:t>
      </w:r>
    </w:p>
    <w:p w14:paraId="775735C3" w14:textId="77777777" w:rsidR="00B01D46" w:rsidRDefault="0067013E">
      <w:pPr>
        <w:pStyle w:val="NoSpacing"/>
        <w:ind w:left="720" w:right="8" w:firstLine="0"/>
        <w:rPr>
          <w:rFonts w:ascii="Times New Roman" w:hAnsi="Times New Roman" w:cs="Times New Roman"/>
          <w:sz w:val="24"/>
          <w:szCs w:val="24"/>
        </w:rPr>
      </w:pPr>
      <w:r>
        <w:rPr>
          <w:rFonts w:ascii="Times New Roman" w:hAnsi="Times New Roman" w:cs="Times New Roman"/>
          <w:sz w:val="24"/>
          <w:szCs w:val="24"/>
        </w:rPr>
        <w:t>………………………………………………………………………………………………………………………………………………………………………………………………………………………………………………………………………</w:t>
      </w:r>
    </w:p>
    <w:p w14:paraId="67B66D61" w14:textId="77777777" w:rsidR="00B01D46" w:rsidRDefault="00B01D46">
      <w:pPr>
        <w:pStyle w:val="ListParagraph"/>
        <w:autoSpaceDE w:val="0"/>
        <w:autoSpaceDN w:val="0"/>
        <w:adjustRightInd w:val="0"/>
        <w:spacing w:after="167" w:line="240" w:lineRule="auto"/>
        <w:ind w:firstLine="0"/>
        <w:jc w:val="left"/>
        <w:rPr>
          <w:szCs w:val="24"/>
        </w:rPr>
      </w:pPr>
    </w:p>
    <w:p w14:paraId="5C8EFFAC" w14:textId="77777777" w:rsidR="00B01D46" w:rsidRDefault="0067013E">
      <w:pPr>
        <w:pStyle w:val="ListParagraph"/>
        <w:numPr>
          <w:ilvl w:val="0"/>
          <w:numId w:val="29"/>
        </w:numPr>
        <w:autoSpaceDE w:val="0"/>
        <w:autoSpaceDN w:val="0"/>
        <w:adjustRightInd w:val="0"/>
        <w:spacing w:after="167" w:line="240" w:lineRule="auto"/>
        <w:jc w:val="left"/>
        <w:rPr>
          <w:rFonts w:eastAsiaTheme="minorHAnsi"/>
          <w:szCs w:val="24"/>
        </w:rPr>
      </w:pPr>
      <w:r>
        <w:rPr>
          <w:szCs w:val="24"/>
        </w:rPr>
        <w:t>What types of ICT tools and equipment do you use for your ILS teaching?</w:t>
      </w:r>
    </w:p>
    <w:p w14:paraId="74F356BA" w14:textId="77777777" w:rsidR="00B01D46" w:rsidRDefault="0067013E">
      <w:pPr>
        <w:pStyle w:val="NoSpacing"/>
        <w:ind w:left="720" w:right="8"/>
        <w:rPr>
          <w:rFonts w:ascii="Times New Roman" w:hAnsi="Times New Roman" w:cs="Times New Roman"/>
          <w:sz w:val="24"/>
          <w:szCs w:val="24"/>
        </w:rPr>
      </w:pPr>
      <w:r>
        <w:rPr>
          <w:rFonts w:ascii="Times New Roman" w:hAnsi="Times New Roman" w:cs="Times New Roman"/>
          <w:sz w:val="24"/>
          <w:szCs w:val="24"/>
        </w:rPr>
        <w:t>………………………………………………………………………………………………………………………………………………………………………………………………………………………………………………………………………</w:t>
      </w:r>
    </w:p>
    <w:p w14:paraId="36531754" w14:textId="77777777" w:rsidR="00B01D46" w:rsidRDefault="0067013E">
      <w:pPr>
        <w:pStyle w:val="ListParagraph"/>
        <w:numPr>
          <w:ilvl w:val="0"/>
          <w:numId w:val="29"/>
        </w:numPr>
        <w:autoSpaceDE w:val="0"/>
        <w:autoSpaceDN w:val="0"/>
        <w:adjustRightInd w:val="0"/>
        <w:spacing w:after="167" w:line="240" w:lineRule="auto"/>
        <w:jc w:val="left"/>
        <w:rPr>
          <w:rFonts w:eastAsiaTheme="minorHAnsi"/>
          <w:szCs w:val="24"/>
        </w:rPr>
      </w:pPr>
      <w:r>
        <w:rPr>
          <w:rFonts w:eastAsiaTheme="minorHAnsi"/>
          <w:szCs w:val="24"/>
        </w:rPr>
        <w:t xml:space="preserve">What is the level of ICT(s) infrastructure preparedness with regard to ILS learning and training in your institution? </w:t>
      </w:r>
      <w:r>
        <w:rPr>
          <w:szCs w:val="24"/>
        </w:rPr>
        <w:t>………………………………………………………………………………………………………………………………………………………………………………………………………………………………………………………………………</w:t>
      </w:r>
    </w:p>
    <w:p w14:paraId="2CB2D1CD" w14:textId="77777777" w:rsidR="00B01D46" w:rsidRDefault="0067013E">
      <w:pPr>
        <w:pStyle w:val="ListParagraph"/>
        <w:numPr>
          <w:ilvl w:val="0"/>
          <w:numId w:val="29"/>
        </w:numPr>
        <w:autoSpaceDE w:val="0"/>
        <w:autoSpaceDN w:val="0"/>
        <w:adjustRightInd w:val="0"/>
        <w:spacing w:after="167" w:line="240" w:lineRule="auto"/>
        <w:jc w:val="left"/>
        <w:rPr>
          <w:rFonts w:eastAsiaTheme="minorHAnsi"/>
          <w:szCs w:val="24"/>
        </w:rPr>
      </w:pPr>
      <w:r>
        <w:rPr>
          <w:szCs w:val="24"/>
        </w:rPr>
        <w:t>What are the success factors of using ICT in your ILS teaching? ………………………………………………………………………………………………………………………………………………………………………………………………………………………………………………………………………</w:t>
      </w:r>
    </w:p>
    <w:p w14:paraId="6327689B" w14:textId="77777777" w:rsidR="00B01D46" w:rsidRDefault="00B01D46">
      <w:pPr>
        <w:pStyle w:val="ListParagraph"/>
        <w:ind w:firstLine="0"/>
        <w:rPr>
          <w:szCs w:val="24"/>
        </w:rPr>
      </w:pPr>
    </w:p>
    <w:p w14:paraId="79E4F8EB" w14:textId="77777777" w:rsidR="00B01D46" w:rsidRDefault="0067013E">
      <w:pPr>
        <w:pStyle w:val="ListParagraph"/>
        <w:numPr>
          <w:ilvl w:val="0"/>
          <w:numId w:val="29"/>
        </w:numPr>
        <w:rPr>
          <w:szCs w:val="24"/>
        </w:rPr>
      </w:pPr>
      <w:r>
        <w:rPr>
          <w:szCs w:val="24"/>
        </w:rPr>
        <w:t>What factors hinder ICT integration in ILS utilisation?</w:t>
      </w:r>
    </w:p>
    <w:p w14:paraId="602E3DD0" w14:textId="77777777" w:rsidR="00B01D46" w:rsidRDefault="0067013E">
      <w:pPr>
        <w:spacing w:after="131" w:line="240" w:lineRule="auto"/>
        <w:ind w:left="677"/>
        <w:jc w:val="both"/>
        <w:rPr>
          <w:rFonts w:ascii="Times New Roman" w:hAnsi="Times New Roman" w:cs="Times New Roman"/>
          <w:sz w:val="24"/>
          <w:szCs w:val="24"/>
        </w:rPr>
      </w:pPr>
      <w:r>
        <w:rPr>
          <w:rFonts w:ascii="Times New Roman" w:hAnsi="Times New Roman" w:cs="Times New Roman"/>
          <w:sz w:val="24"/>
          <w:szCs w:val="24"/>
        </w:rPr>
        <w:t>…………………………………………………………………………………</w:t>
      </w:r>
    </w:p>
    <w:p w14:paraId="69064ADF" w14:textId="77777777" w:rsidR="00B01D46" w:rsidRDefault="0067013E">
      <w:pPr>
        <w:spacing w:after="131"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317345F2" w14:textId="77777777" w:rsidR="00B01D46" w:rsidRDefault="0067013E">
      <w:pPr>
        <w:spacing w:after="131"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2E4F3533" w14:textId="77777777" w:rsidR="00B01D46" w:rsidRDefault="0067013E">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2FB8A8AA" w14:textId="77777777" w:rsidR="00B01D46" w:rsidRDefault="0067013E">
      <w:pPr>
        <w:spacing w:after="127" w:line="240" w:lineRule="auto"/>
        <w:ind w:left="1"/>
        <w:rPr>
          <w:rFonts w:ascii="Times New Roman" w:hAnsi="Times New Roman" w:cs="Times New Roman"/>
          <w:b/>
          <w:sz w:val="24"/>
          <w:szCs w:val="24"/>
        </w:rPr>
      </w:pPr>
      <w:r>
        <w:rPr>
          <w:rFonts w:ascii="Times New Roman" w:hAnsi="Times New Roman" w:cs="Times New Roman"/>
          <w:b/>
          <w:sz w:val="24"/>
          <w:szCs w:val="24"/>
        </w:rPr>
        <w:lastRenderedPageBreak/>
        <w:t xml:space="preserve">H. Challenges </w:t>
      </w:r>
    </w:p>
    <w:p w14:paraId="5A2B5201" w14:textId="77777777" w:rsidR="00B01D46" w:rsidRDefault="0067013E">
      <w:pPr>
        <w:numPr>
          <w:ilvl w:val="0"/>
          <w:numId w:val="30"/>
        </w:numPr>
        <w:spacing w:after="131" w:line="241" w:lineRule="auto"/>
        <w:ind w:hanging="336"/>
        <w:jc w:val="both"/>
        <w:rPr>
          <w:rFonts w:ascii="Times New Roman" w:hAnsi="Times New Roman" w:cs="Times New Roman"/>
          <w:sz w:val="24"/>
          <w:szCs w:val="24"/>
        </w:rPr>
      </w:pPr>
      <w:r>
        <w:rPr>
          <w:rFonts w:ascii="Times New Roman" w:hAnsi="Times New Roman" w:cs="Times New Roman"/>
          <w:sz w:val="24"/>
          <w:szCs w:val="24"/>
        </w:rPr>
        <w:t xml:space="preserve">What challenges impede effective ILS learning? </w:t>
      </w:r>
    </w:p>
    <w:p w14:paraId="4AF5DECF" w14:textId="77777777" w:rsidR="00B01D46" w:rsidRDefault="0067013E">
      <w:pPr>
        <w:spacing w:after="131" w:line="240" w:lineRule="auto"/>
        <w:ind w:left="677"/>
        <w:jc w:val="both"/>
        <w:rPr>
          <w:rFonts w:ascii="Times New Roman" w:hAnsi="Times New Roman" w:cs="Times New Roman"/>
          <w:sz w:val="24"/>
          <w:szCs w:val="24"/>
        </w:rPr>
      </w:pPr>
      <w:r>
        <w:rPr>
          <w:rFonts w:ascii="Times New Roman" w:hAnsi="Times New Roman" w:cs="Times New Roman"/>
          <w:sz w:val="24"/>
          <w:szCs w:val="24"/>
        </w:rPr>
        <w:t>…………………………………………………………………………………</w:t>
      </w:r>
    </w:p>
    <w:p w14:paraId="55717AFF" w14:textId="77777777" w:rsidR="00B01D46" w:rsidRDefault="0067013E">
      <w:pPr>
        <w:spacing w:after="131"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7D8873A2" w14:textId="77777777" w:rsidR="00B01D46" w:rsidRDefault="0067013E">
      <w:pPr>
        <w:spacing w:after="131"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76C8F660" w14:textId="77777777" w:rsidR="00B01D46" w:rsidRDefault="0067013E">
      <w:pPr>
        <w:numPr>
          <w:ilvl w:val="0"/>
          <w:numId w:val="30"/>
        </w:numPr>
        <w:spacing w:after="131" w:line="240" w:lineRule="auto"/>
        <w:ind w:hanging="336"/>
        <w:jc w:val="both"/>
        <w:rPr>
          <w:rFonts w:ascii="Times New Roman" w:hAnsi="Times New Roman" w:cs="Times New Roman"/>
          <w:sz w:val="24"/>
          <w:szCs w:val="24"/>
        </w:rPr>
      </w:pPr>
      <w:r>
        <w:rPr>
          <w:rFonts w:ascii="Times New Roman" w:hAnsi="Times New Roman" w:cs="Times New Roman"/>
          <w:sz w:val="24"/>
          <w:szCs w:val="24"/>
        </w:rPr>
        <w:t>How do you think the challenges above could be addressed? …………………………………………………………………………………</w:t>
      </w:r>
    </w:p>
    <w:p w14:paraId="16A0A9B4" w14:textId="77777777" w:rsidR="00B01D46" w:rsidRDefault="0067013E">
      <w:pPr>
        <w:spacing w:after="131" w:line="240" w:lineRule="auto"/>
        <w:ind w:left="687" w:hanging="1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w:t>
      </w:r>
    </w:p>
    <w:p w14:paraId="2C9B165D" w14:textId="77777777" w:rsidR="00B01D46" w:rsidRDefault="00B01D46">
      <w:pPr>
        <w:spacing w:after="131" w:line="241" w:lineRule="auto"/>
        <w:ind w:left="-4" w:hanging="10"/>
        <w:rPr>
          <w:rFonts w:ascii="Times New Roman" w:hAnsi="Times New Roman" w:cs="Times New Roman"/>
          <w:sz w:val="24"/>
          <w:szCs w:val="24"/>
        </w:rPr>
      </w:pPr>
    </w:p>
    <w:p w14:paraId="54B5BB8F" w14:textId="77777777" w:rsidR="00B01D46" w:rsidRDefault="00B01D46">
      <w:pPr>
        <w:spacing w:after="131" w:line="241" w:lineRule="auto"/>
        <w:ind w:left="-4" w:hanging="10"/>
        <w:rPr>
          <w:rFonts w:ascii="Times New Roman" w:hAnsi="Times New Roman" w:cs="Times New Roman"/>
          <w:sz w:val="24"/>
          <w:szCs w:val="24"/>
        </w:rPr>
      </w:pPr>
    </w:p>
    <w:p w14:paraId="5AE94B9E" w14:textId="77777777" w:rsidR="00B01D46" w:rsidRDefault="0067013E">
      <w:pPr>
        <w:spacing w:after="131" w:line="241" w:lineRule="auto"/>
        <w:ind w:left="-4" w:hanging="10"/>
        <w:jc w:val="center"/>
        <w:rPr>
          <w:rFonts w:ascii="Times New Roman" w:hAnsi="Times New Roman" w:cs="Times New Roman"/>
          <w:sz w:val="24"/>
          <w:szCs w:val="24"/>
        </w:rPr>
      </w:pPr>
      <w:r>
        <w:rPr>
          <w:rFonts w:ascii="Times New Roman" w:hAnsi="Times New Roman" w:cs="Times New Roman"/>
          <w:sz w:val="24"/>
          <w:szCs w:val="24"/>
        </w:rPr>
        <w:t>Again, thank you for your time, and offering information for this study.</w:t>
      </w:r>
    </w:p>
    <w:p w14:paraId="4306D11A" w14:textId="77777777" w:rsidR="00B01D46" w:rsidRDefault="00B01D46">
      <w:pPr>
        <w:rPr>
          <w:rFonts w:ascii="Times New Roman" w:hAnsi="Times New Roman" w:cs="Times New Roman"/>
          <w:sz w:val="24"/>
          <w:szCs w:val="24"/>
        </w:rPr>
      </w:pPr>
    </w:p>
    <w:p w14:paraId="7790B114" w14:textId="77777777" w:rsidR="00B01D46" w:rsidRDefault="00B01D46">
      <w:pPr>
        <w:spacing w:after="127" w:line="360" w:lineRule="auto"/>
        <w:rPr>
          <w:rFonts w:ascii="Times New Roman" w:hAnsi="Times New Roman" w:cs="Times New Roman"/>
          <w:sz w:val="24"/>
          <w:szCs w:val="24"/>
        </w:rPr>
      </w:pPr>
    </w:p>
    <w:bookmarkEnd w:id="2515"/>
    <w:p w14:paraId="04E635EB" w14:textId="77777777" w:rsidR="00B01D46" w:rsidRDefault="0067013E">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14:paraId="0EAF3059" w14:textId="77777777" w:rsidR="00B01D46" w:rsidRDefault="0067013E">
      <w:pPr>
        <w:pStyle w:val="Heading2"/>
      </w:pPr>
      <w:bookmarkStart w:id="2533" w:name="_Toc184273033"/>
      <w:bookmarkStart w:id="2534" w:name="_Toc165973230"/>
      <w:bookmarkStart w:id="2535" w:name="_Toc165369386"/>
      <w:bookmarkStart w:id="2536" w:name="_Toc165365352"/>
      <w:bookmarkStart w:id="2537" w:name="_Toc165363578"/>
      <w:bookmarkStart w:id="2538" w:name="_Toc165975951"/>
      <w:r>
        <w:lastRenderedPageBreak/>
        <w:t>Appendix IV: Interview Schedule for Head of Department</w:t>
      </w:r>
      <w:bookmarkEnd w:id="2533"/>
      <w:bookmarkEnd w:id="2534"/>
      <w:bookmarkEnd w:id="2535"/>
      <w:bookmarkEnd w:id="2536"/>
      <w:bookmarkEnd w:id="2537"/>
      <w:bookmarkEnd w:id="2538"/>
      <w:r>
        <w:t xml:space="preserve">  </w:t>
      </w:r>
    </w:p>
    <w:p w14:paraId="71DE6DBE" w14:textId="77777777" w:rsidR="00B01D46" w:rsidRDefault="0067013E">
      <w:pPr>
        <w:spacing w:after="127"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7D2500B0" w14:textId="77777777" w:rsidR="00B01D46" w:rsidRDefault="00B01D46">
      <w:pPr>
        <w:pStyle w:val="Default"/>
      </w:pPr>
    </w:p>
    <w:p w14:paraId="0F986B15" w14:textId="77777777" w:rsidR="00B01D46" w:rsidRDefault="0067013E">
      <w:pPr>
        <w:pStyle w:val="Default"/>
        <w:rPr>
          <w:b/>
        </w:rPr>
      </w:pPr>
      <w:r>
        <w:rPr>
          <w:b/>
        </w:rPr>
        <w:t xml:space="preserve">Introduction: </w:t>
      </w:r>
    </w:p>
    <w:p w14:paraId="6550C3F1" w14:textId="77777777" w:rsidR="00B01D46" w:rsidRDefault="00B01D46">
      <w:pPr>
        <w:pStyle w:val="Default"/>
      </w:pPr>
    </w:p>
    <w:p w14:paraId="6679E10C" w14:textId="77777777" w:rsidR="00B01D46" w:rsidRDefault="0067013E">
      <w:pPr>
        <w:pStyle w:val="Default"/>
        <w:jc w:val="both"/>
        <w:rPr>
          <w:b/>
          <w:bCs/>
        </w:rPr>
      </w:pPr>
      <w:r>
        <w:t>My name is Evans M. Momanyi, currently a doctoral in the Department of Library, Records Management and Information Studies, School of Information Sciences student, Moi University, Kenya. I am undertaking a study titled “</w:t>
      </w:r>
      <w:r>
        <w:rPr>
          <w:b/>
        </w:rPr>
        <w:t>Assessment of</w:t>
      </w:r>
      <w:r>
        <w:t xml:space="preserve"> </w:t>
      </w:r>
      <w:r>
        <w:rPr>
          <w:b/>
        </w:rPr>
        <w:t>Information Literacy Skills among Undergraduate Medical Undergraduate Students in Moi University and University of Nairobi.</w:t>
      </w:r>
      <w:r>
        <w:rPr>
          <w:b/>
          <w:bCs/>
        </w:rPr>
        <w:t>”</w:t>
      </w:r>
      <w:r>
        <w:rPr>
          <w:b/>
        </w:rPr>
        <w:t xml:space="preserve"> </w:t>
      </w:r>
      <w:r>
        <w:t>You have been identified to participate in this study. I therefore, request for 15 minutes to respond to this interview schedule.</w:t>
      </w:r>
      <w:r>
        <w:rPr>
          <w:b/>
          <w:bCs/>
        </w:rPr>
        <w:t xml:space="preserve"> </w:t>
      </w:r>
    </w:p>
    <w:p w14:paraId="6CBB63CC" w14:textId="77777777" w:rsidR="00B01D46" w:rsidRDefault="0067013E">
      <w:pPr>
        <w:pStyle w:val="NormalWeb"/>
        <w:shd w:val="clear" w:color="auto" w:fill="FFFFFF"/>
        <w:tabs>
          <w:tab w:val="left" w:pos="360"/>
        </w:tabs>
        <w:autoSpaceDE w:val="0"/>
        <w:autoSpaceDN w:val="0"/>
        <w:adjustRightInd w:val="0"/>
        <w:spacing w:before="120" w:after="0"/>
        <w:jc w:val="both"/>
      </w:pPr>
      <w:r>
        <w:t>The study focuses on assessment of information literacy skills of undergraduate medical students in the selected public universities in Kenya,</w:t>
      </w:r>
      <w:r>
        <w:rPr>
          <w:bCs/>
        </w:rPr>
        <w:t xml:space="preserve"> with a view, of proposing a framework to enhance ILS adequacy among undergraduate medical students. </w:t>
      </w:r>
      <w:r>
        <w:t xml:space="preserve">The research will gather data on </w:t>
      </w:r>
      <w:r>
        <w:rPr>
          <w:rFonts w:eastAsia="Calibri"/>
        </w:rPr>
        <w:t xml:space="preserve">the status of information literacy skills </w:t>
      </w:r>
      <w:r>
        <w:t>among medical undergraduate students,  information literacy skills policy and regulations used in supporting ILS to medical undergraduate students,</w:t>
      </w:r>
      <w:r>
        <w:rPr>
          <w:rFonts w:eastAsia="Calibri"/>
        </w:rPr>
        <w:t xml:space="preserve"> the perception of staff and medical undergraduate students towards </w:t>
      </w:r>
      <w:r>
        <w:t>the content and delivery methods of ILS</w:t>
      </w:r>
      <w:r>
        <w:rPr>
          <w:rFonts w:eastAsia="Calibri"/>
        </w:rPr>
        <w:t xml:space="preserve"> , the role that ICT play in promoting the training and learning of information literacy skills among undergraduate medical students and knowledge, skills &amp; training possessed by staff in facilitating ILS among </w:t>
      </w:r>
      <w:r>
        <w:t>medical undergraduate students</w:t>
      </w:r>
    </w:p>
    <w:p w14:paraId="6BF06C2A" w14:textId="77777777" w:rsidR="00B01D46" w:rsidRDefault="0067013E">
      <w:pPr>
        <w:pStyle w:val="NormalWeb"/>
        <w:shd w:val="clear" w:color="auto" w:fill="FFFFFF"/>
        <w:tabs>
          <w:tab w:val="left" w:pos="360"/>
        </w:tabs>
        <w:autoSpaceDE w:val="0"/>
        <w:autoSpaceDN w:val="0"/>
        <w:adjustRightInd w:val="0"/>
        <w:spacing w:before="120" w:after="0"/>
        <w:jc w:val="both"/>
      </w:pPr>
      <w:r>
        <w:t xml:space="preserve">Your responses will be treated with strict confidentiality, and will only be used for the stated academic purpose. Your contribution is highly valued. Please do not hesitate to contact the researcher for clarification on any aspect of this research.  </w:t>
      </w:r>
    </w:p>
    <w:p w14:paraId="01726632" w14:textId="77777777" w:rsidR="00B01D46" w:rsidRDefault="00B01D46">
      <w:pPr>
        <w:pStyle w:val="Default"/>
        <w:jc w:val="both"/>
      </w:pPr>
    </w:p>
    <w:p w14:paraId="1CC7450A" w14:textId="77777777" w:rsidR="00B01D46" w:rsidRDefault="0067013E">
      <w:pPr>
        <w:pStyle w:val="Default"/>
        <w:jc w:val="both"/>
      </w:pPr>
      <w:r>
        <w:t xml:space="preserve">Thank you in advance for your time and cooperation. </w:t>
      </w:r>
    </w:p>
    <w:p w14:paraId="23B03EF1" w14:textId="77777777" w:rsidR="00B01D46" w:rsidRDefault="00B01D46">
      <w:pPr>
        <w:pStyle w:val="Default"/>
        <w:jc w:val="both"/>
      </w:pPr>
    </w:p>
    <w:p w14:paraId="3B6B6C45" w14:textId="77777777" w:rsidR="00B01D46" w:rsidRDefault="0067013E">
      <w:pPr>
        <w:pStyle w:val="Default"/>
        <w:jc w:val="both"/>
      </w:pPr>
      <w:r>
        <w:rPr>
          <w:b/>
          <w:bCs/>
        </w:rPr>
        <w:t xml:space="preserve">Evans Motari Momanyi </w:t>
      </w:r>
    </w:p>
    <w:p w14:paraId="2325648E" w14:textId="77777777" w:rsidR="00B01D46" w:rsidRDefault="0067013E">
      <w:pPr>
        <w:pStyle w:val="Default"/>
        <w:jc w:val="both"/>
      </w:pPr>
      <w:r>
        <w:rPr>
          <w:b/>
          <w:bCs/>
        </w:rPr>
        <w:t xml:space="preserve">PhD student (Moi University) </w:t>
      </w:r>
    </w:p>
    <w:p w14:paraId="6C8F5055" w14:textId="77777777" w:rsidR="00B01D46" w:rsidRDefault="0067013E">
      <w:pPr>
        <w:pStyle w:val="Default"/>
        <w:jc w:val="both"/>
      </w:pPr>
      <w:r>
        <w:rPr>
          <w:b/>
          <w:bCs/>
        </w:rPr>
        <w:t xml:space="preserve">E-mail: emotari9@gmail.com </w:t>
      </w:r>
    </w:p>
    <w:p w14:paraId="5109C849" w14:textId="77777777" w:rsidR="00B01D46" w:rsidRDefault="0067013E">
      <w:pPr>
        <w:pStyle w:val="Default"/>
        <w:jc w:val="both"/>
        <w:rPr>
          <w:b/>
          <w:bCs/>
        </w:rPr>
      </w:pPr>
      <w:r>
        <w:rPr>
          <w:b/>
          <w:bCs/>
        </w:rPr>
        <w:t xml:space="preserve">Mobile No.: +254 725 594005 </w:t>
      </w:r>
    </w:p>
    <w:p w14:paraId="7F5578A6" w14:textId="77777777" w:rsidR="00B01D46" w:rsidRDefault="00B01D46">
      <w:pPr>
        <w:pStyle w:val="Default"/>
        <w:jc w:val="both"/>
      </w:pPr>
    </w:p>
    <w:p w14:paraId="0D027A3C" w14:textId="77777777" w:rsidR="00B01D46" w:rsidRDefault="00B01D46">
      <w:pPr>
        <w:spacing w:after="122" w:line="240" w:lineRule="auto"/>
        <w:rPr>
          <w:rFonts w:ascii="Times New Roman" w:hAnsi="Times New Roman" w:cs="Times New Roman"/>
          <w:sz w:val="24"/>
          <w:szCs w:val="24"/>
        </w:rPr>
      </w:pPr>
    </w:p>
    <w:p w14:paraId="33180213" w14:textId="77777777" w:rsidR="00B01D46" w:rsidRDefault="0067013E">
      <w:pPr>
        <w:spacing w:after="131" w:line="240" w:lineRule="auto"/>
        <w:ind w:left="-4" w:hanging="10"/>
        <w:rPr>
          <w:rFonts w:ascii="Times New Roman" w:hAnsi="Times New Roman" w:cs="Times New Roman"/>
          <w:sz w:val="24"/>
          <w:szCs w:val="24"/>
        </w:rPr>
      </w:pPr>
      <w:r>
        <w:rPr>
          <w:rFonts w:ascii="Times New Roman" w:hAnsi="Times New Roman" w:cs="Times New Roman"/>
          <w:sz w:val="24"/>
          <w:szCs w:val="24"/>
        </w:rPr>
        <w:t xml:space="preserve">Thank you for your time and contribution to this research.  </w:t>
      </w:r>
    </w:p>
    <w:p w14:paraId="3B14682C" w14:textId="77777777" w:rsidR="00B01D46" w:rsidRDefault="00B01D46">
      <w:pPr>
        <w:spacing w:after="0" w:line="240" w:lineRule="auto"/>
        <w:rPr>
          <w:rFonts w:ascii="Times New Roman" w:hAnsi="Times New Roman" w:cs="Times New Roman"/>
          <w:sz w:val="24"/>
          <w:szCs w:val="24"/>
        </w:rPr>
      </w:pPr>
    </w:p>
    <w:p w14:paraId="18ED2E96"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5E20F8B9" w14:textId="77777777" w:rsidR="00B01D46" w:rsidRDefault="0067013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1F2AEF2" w14:textId="77777777" w:rsidR="00B01D46" w:rsidRDefault="0067013E">
      <w:pPr>
        <w:spacing w:after="131"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A. Biographical information </w:t>
      </w:r>
    </w:p>
    <w:p w14:paraId="462E364E"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Institution</w:t>
      </w:r>
      <w:r>
        <w:rPr>
          <w:rFonts w:ascii="Times New Roman" w:hAnsi="Times New Roman" w:cs="Times New Roman"/>
          <w:b/>
          <w:sz w:val="24"/>
          <w:szCs w:val="24"/>
        </w:rPr>
        <w:t xml:space="preserve"> </w:t>
      </w:r>
      <w:r>
        <w:rPr>
          <w:rFonts w:ascii="Times New Roman" w:hAnsi="Times New Roman" w:cs="Times New Roman"/>
          <w:sz w:val="24"/>
          <w:szCs w:val="24"/>
        </w:rPr>
        <w:t xml:space="preserve">…………………………………………………………………… </w:t>
      </w:r>
      <w:r>
        <w:rPr>
          <w:rFonts w:ascii="Times New Roman" w:hAnsi="Times New Roman" w:cs="Times New Roman"/>
          <w:b/>
          <w:sz w:val="24"/>
          <w:szCs w:val="24"/>
        </w:rPr>
        <w:t xml:space="preserve"> </w:t>
      </w:r>
    </w:p>
    <w:p w14:paraId="75E6379B"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Department…………………………………………………………………..</w:t>
      </w:r>
    </w:p>
    <w:p w14:paraId="1BF03D62"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Current designation…………………………………………………………..</w:t>
      </w:r>
    </w:p>
    <w:p w14:paraId="6A6F86AE"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Academic qualifications: [  ] PhD     [  ] Masters    [  ] Bachelors  </w:t>
      </w:r>
    </w:p>
    <w:p w14:paraId="538EB640"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 xml:space="preserve">Gender:      [  ] Male        [  ] Female                      </w:t>
      </w:r>
    </w:p>
    <w:p w14:paraId="24F28474" w14:textId="77777777" w:rsidR="00B01D46" w:rsidRDefault="0067013E">
      <w:pPr>
        <w:pStyle w:val="ListParagraph"/>
        <w:numPr>
          <w:ilvl w:val="0"/>
          <w:numId w:val="31"/>
        </w:numPr>
        <w:spacing w:after="131" w:line="360" w:lineRule="auto"/>
        <w:ind w:left="450"/>
        <w:jc w:val="left"/>
        <w:rPr>
          <w:szCs w:val="24"/>
        </w:rPr>
      </w:pPr>
      <w:r>
        <w:rPr>
          <w:szCs w:val="24"/>
        </w:rPr>
        <w:t xml:space="preserve">Work experience: [ ] 0-5yrs    [ ]5-10yrs    [ ]10-15yrs    [ ]15-20yrss </w:t>
      </w:r>
    </w:p>
    <w:p w14:paraId="06D00965" w14:textId="77777777" w:rsidR="00B01D46" w:rsidRDefault="0067013E">
      <w:pPr>
        <w:pStyle w:val="ListParagraph"/>
        <w:spacing w:after="131" w:line="360" w:lineRule="auto"/>
        <w:ind w:left="851" w:firstLine="0"/>
        <w:jc w:val="left"/>
        <w:rPr>
          <w:szCs w:val="24"/>
        </w:rPr>
      </w:pPr>
      <w:r>
        <w:rPr>
          <w:szCs w:val="24"/>
        </w:rPr>
        <w:t xml:space="preserve"> [  ]over 20yrs</w:t>
      </w:r>
    </w:p>
    <w:p w14:paraId="76052475" w14:textId="77777777" w:rsidR="00B01D46" w:rsidRDefault="0067013E">
      <w:pPr>
        <w:pStyle w:val="ListParagraph"/>
        <w:numPr>
          <w:ilvl w:val="0"/>
          <w:numId w:val="31"/>
        </w:numPr>
        <w:spacing w:after="131" w:line="360" w:lineRule="auto"/>
        <w:ind w:left="450"/>
        <w:jc w:val="left"/>
        <w:rPr>
          <w:szCs w:val="24"/>
        </w:rPr>
      </w:pPr>
      <w:r>
        <w:rPr>
          <w:szCs w:val="24"/>
        </w:rPr>
        <w:t>Field of specialization………………………………………………………</w:t>
      </w:r>
    </w:p>
    <w:p w14:paraId="3E548242" w14:textId="77777777" w:rsidR="00B01D46" w:rsidRDefault="00B01D46">
      <w:pPr>
        <w:spacing w:after="0" w:line="240" w:lineRule="auto"/>
        <w:rPr>
          <w:rFonts w:ascii="Times New Roman" w:hAnsi="Times New Roman" w:cs="Times New Roman"/>
          <w:sz w:val="24"/>
          <w:szCs w:val="24"/>
        </w:rPr>
      </w:pPr>
    </w:p>
    <w:p w14:paraId="4B15EB3A" w14:textId="77777777" w:rsidR="00B01D46" w:rsidRDefault="0067013E">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 xml:space="preserve">B. The Status of Information Literacy Skills </w:t>
      </w:r>
      <w:r>
        <w:rPr>
          <w:rFonts w:ascii="Times New Roman" w:hAnsi="Times New Roman" w:cs="Times New Roman"/>
          <w:b/>
          <w:sz w:val="24"/>
          <w:szCs w:val="24"/>
        </w:rPr>
        <w:t>(ILS) Among Medical Undergraduate Students</w:t>
      </w:r>
    </w:p>
    <w:p w14:paraId="22EDF454" w14:textId="77777777" w:rsidR="00B01D46" w:rsidRDefault="0067013E">
      <w:pPr>
        <w:pStyle w:val="NormalWeb"/>
        <w:shd w:val="clear" w:color="auto" w:fill="FFFFFF"/>
        <w:autoSpaceDE w:val="0"/>
        <w:autoSpaceDN w:val="0"/>
        <w:adjustRightInd w:val="0"/>
        <w:spacing w:before="120" w:after="0" w:line="360" w:lineRule="auto"/>
        <w:ind w:left="426" w:hanging="426"/>
        <w:jc w:val="both"/>
      </w:pPr>
      <w:r>
        <w:t xml:space="preserve">8.   What is your opinion on </w:t>
      </w:r>
      <w:r>
        <w:rPr>
          <w:b/>
        </w:rPr>
        <w:t xml:space="preserve">Information Literacy Skills </w:t>
      </w:r>
      <w:r>
        <w:t>competency of the medical Students in your department?</w:t>
      </w:r>
    </w:p>
    <w:p w14:paraId="1DC2EF58"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w:t>
      </w:r>
    </w:p>
    <w:p w14:paraId="5A64B89E" w14:textId="77777777" w:rsidR="00B01D46" w:rsidRDefault="0067013E">
      <w:pPr>
        <w:spacing w:after="131" w:line="360" w:lineRule="auto"/>
        <w:rPr>
          <w:rFonts w:ascii="Times New Roman" w:hAnsi="Times New Roman" w:cs="Times New Roman"/>
          <w:sz w:val="24"/>
          <w:szCs w:val="24"/>
        </w:rPr>
      </w:pPr>
      <w:r>
        <w:rPr>
          <w:rFonts w:ascii="Times New Roman" w:hAnsi="Times New Roman" w:cs="Times New Roman"/>
          <w:sz w:val="24"/>
          <w:szCs w:val="24"/>
        </w:rPr>
        <w:t>9. How adequate are the ILS in enabling medical undergraduate students in your institution carry out their studies effectively?</w:t>
      </w:r>
    </w:p>
    <w:p w14:paraId="650B6155" w14:textId="77777777" w:rsidR="00B01D46" w:rsidRDefault="0067013E">
      <w:pPr>
        <w:spacing w:line="360" w:lineRule="auto"/>
        <w:rPr>
          <w:rFonts w:ascii="Times New Roman" w:hAnsi="Times New Roman" w:cs="Times New Roman"/>
          <w:sz w:val="24"/>
          <w:szCs w:val="24"/>
        </w:rPr>
      </w:pPr>
      <w:r>
        <w:rPr>
          <w:rFonts w:ascii="Times New Roman" w:hAnsi="Times New Roman" w:cs="Times New Roman"/>
          <w:sz w:val="24"/>
          <w:szCs w:val="24"/>
        </w:rPr>
        <w:t>……………………………………………………………………………………………………………………………………………………………………………………………………………………………………………………………………………………………………………………………………</w:t>
      </w:r>
    </w:p>
    <w:p w14:paraId="00A1F537" w14:textId="77777777" w:rsidR="00B01D46" w:rsidRDefault="0067013E">
      <w:pPr>
        <w:spacing w:line="360" w:lineRule="auto"/>
        <w:rPr>
          <w:rFonts w:ascii="Times New Roman" w:hAnsi="Times New Roman" w:cs="Times New Roman"/>
          <w:sz w:val="24"/>
          <w:szCs w:val="24"/>
        </w:rPr>
      </w:pPr>
      <w:r>
        <w:rPr>
          <w:rFonts w:ascii="Times New Roman" w:hAnsi="Times New Roman" w:cs="Times New Roman"/>
          <w:sz w:val="24"/>
          <w:szCs w:val="24"/>
        </w:rPr>
        <w:t>10. What role do you play as a head of department to enhance ILS adequacy among the medical undergraduate students</w:t>
      </w:r>
    </w:p>
    <w:p w14:paraId="6048F1B5" w14:textId="77777777" w:rsidR="00B01D46" w:rsidRDefault="0067013E">
      <w:pPr>
        <w:spacing w:line="360" w:lineRule="auto"/>
        <w:rPr>
          <w:rFonts w:ascii="Times New Roman" w:hAnsi="Times New Roman" w:cs="Times New Roman"/>
          <w:sz w:val="24"/>
          <w:szCs w:val="24"/>
        </w:rPr>
      </w:pPr>
      <w:r>
        <w:rPr>
          <w:rFonts w:ascii="Times New Roman" w:hAnsi="Times New Roman" w:cs="Times New Roman"/>
          <w:sz w:val="24"/>
          <w:szCs w:val="24"/>
        </w:rPr>
        <w:t>……………………………………………………………………………………………………………………………………………………………………………………</w:t>
      </w:r>
    </w:p>
    <w:p w14:paraId="696D8578" w14:textId="77777777" w:rsidR="00B01D46" w:rsidRDefault="0067013E">
      <w:pPr>
        <w:pStyle w:val="NormalWeb"/>
        <w:shd w:val="clear" w:color="auto" w:fill="FFFFFF"/>
        <w:tabs>
          <w:tab w:val="left" w:pos="0"/>
        </w:tabs>
        <w:autoSpaceDE w:val="0"/>
        <w:autoSpaceDN w:val="0"/>
        <w:adjustRightInd w:val="0"/>
        <w:spacing w:before="120" w:after="0" w:line="360" w:lineRule="auto"/>
        <w:jc w:val="both"/>
      </w:pPr>
      <w:r>
        <w:lastRenderedPageBreak/>
        <w:t xml:space="preserve">C. </w:t>
      </w:r>
      <w:r>
        <w:rPr>
          <w:b/>
        </w:rPr>
        <w:t>Information Literacy Skills Policy and Curriculum Used in Supporting ILS delivery to Medical Undergraduate Students</w:t>
      </w:r>
    </w:p>
    <w:p w14:paraId="29A6344C" w14:textId="77777777" w:rsidR="00B01D46" w:rsidRDefault="0067013E">
      <w:pPr>
        <w:pStyle w:val="ListParagraph"/>
        <w:numPr>
          <w:ilvl w:val="0"/>
          <w:numId w:val="32"/>
        </w:numPr>
        <w:autoSpaceDE w:val="0"/>
        <w:autoSpaceDN w:val="0"/>
        <w:adjustRightInd w:val="0"/>
        <w:spacing w:after="167" w:line="240" w:lineRule="auto"/>
        <w:rPr>
          <w:szCs w:val="24"/>
        </w:rPr>
      </w:pPr>
      <w:r>
        <w:rPr>
          <w:szCs w:val="24"/>
        </w:rPr>
        <w:t>Does your institution have a formal information literacy policy and curriculum</w:t>
      </w:r>
    </w:p>
    <w:p w14:paraId="68310A12" w14:textId="77777777" w:rsidR="00B01D46" w:rsidRDefault="0067013E">
      <w:pPr>
        <w:pStyle w:val="ListParagraph"/>
        <w:autoSpaceDE w:val="0"/>
        <w:autoSpaceDN w:val="0"/>
        <w:adjustRightInd w:val="0"/>
        <w:spacing w:after="167" w:line="240" w:lineRule="auto"/>
        <w:ind w:firstLine="0"/>
        <w:jc w:val="left"/>
        <w:rPr>
          <w:szCs w:val="24"/>
        </w:rPr>
      </w:pPr>
      <w:r>
        <w:rPr>
          <w:szCs w:val="24"/>
        </w:rPr>
        <w:t>………………………………………………………………………………………………………………………………………………………………………………………………………………………………………………………………………………………………………………………………………………………………</w:t>
      </w:r>
    </w:p>
    <w:p w14:paraId="3C5C32CD" w14:textId="77777777" w:rsidR="00B01D46" w:rsidRDefault="0067013E">
      <w:pPr>
        <w:numPr>
          <w:ilvl w:val="0"/>
          <w:numId w:val="32"/>
        </w:numPr>
        <w:spacing w:after="131" w:line="360" w:lineRule="auto"/>
        <w:jc w:val="both"/>
        <w:rPr>
          <w:rFonts w:ascii="Times New Roman" w:hAnsi="Times New Roman" w:cs="Times New Roman"/>
          <w:sz w:val="24"/>
          <w:szCs w:val="24"/>
        </w:rPr>
      </w:pPr>
      <w:r>
        <w:rPr>
          <w:rFonts w:ascii="Times New Roman" w:hAnsi="Times New Roman" w:cs="Times New Roman"/>
          <w:sz w:val="24"/>
          <w:szCs w:val="24"/>
        </w:rPr>
        <w:t>If yes, what areas does the ILS policy cover?</w:t>
      </w:r>
    </w:p>
    <w:p w14:paraId="3815A948" w14:textId="77777777" w:rsidR="00B01D46" w:rsidRDefault="0067013E">
      <w:pPr>
        <w:spacing w:after="131" w:line="240" w:lineRule="auto"/>
        <w:ind w:left="720"/>
        <w:jc w:val="both"/>
        <w:rPr>
          <w:rFonts w:ascii="Times New Roman" w:hAnsi="Times New Roman" w:cs="Times New Roman"/>
          <w:sz w:val="24"/>
          <w:szCs w:val="24"/>
        </w:rPr>
      </w:pPr>
      <w:r>
        <w:rPr>
          <w:rFonts w:ascii="Times New Roman" w:hAnsi="Times New Roman" w:cs="Times New Roman"/>
          <w:sz w:val="24"/>
          <w:szCs w:val="24"/>
        </w:rPr>
        <w:t>………………………………………………………………………………………………………………………………………………………………………………………………………………………………………………………………………………………………………………………………………………………………</w:t>
      </w:r>
    </w:p>
    <w:p w14:paraId="320BFB96" w14:textId="77777777" w:rsidR="00B01D46" w:rsidRDefault="0067013E">
      <w:pPr>
        <w:pStyle w:val="ListParagraph"/>
        <w:numPr>
          <w:ilvl w:val="0"/>
          <w:numId w:val="32"/>
        </w:numPr>
        <w:spacing w:after="131" w:line="355" w:lineRule="auto"/>
        <w:rPr>
          <w:szCs w:val="24"/>
        </w:rPr>
      </w:pPr>
      <w:r>
        <w:rPr>
          <w:szCs w:val="24"/>
        </w:rPr>
        <w:t xml:space="preserve"> Briefly state the procedure of formulating the ILS policy and curriculum</w:t>
      </w:r>
    </w:p>
    <w:p w14:paraId="10BF6776" w14:textId="77777777" w:rsidR="00B01D46" w:rsidRDefault="0067013E">
      <w:pPr>
        <w:pStyle w:val="ListParagraph"/>
        <w:spacing w:after="131" w:line="240" w:lineRule="auto"/>
        <w:ind w:firstLine="0"/>
        <w:rPr>
          <w:szCs w:val="24"/>
        </w:rPr>
      </w:pPr>
      <w:r>
        <w:rPr>
          <w:szCs w:val="24"/>
        </w:rPr>
        <w:t>………………………………………………………………………………………………………………………………………………………………………………………………………………………………………………………………………………………………………………………………………………………………</w:t>
      </w:r>
    </w:p>
    <w:p w14:paraId="19F0D5AA" w14:textId="77777777" w:rsidR="00B01D46" w:rsidRDefault="0067013E">
      <w:pPr>
        <w:numPr>
          <w:ilvl w:val="0"/>
          <w:numId w:val="32"/>
        </w:numPr>
        <w:spacing w:after="131" w:line="360" w:lineRule="auto"/>
        <w:jc w:val="both"/>
        <w:rPr>
          <w:rFonts w:ascii="Times New Roman" w:hAnsi="Times New Roman" w:cs="Times New Roman"/>
          <w:sz w:val="24"/>
          <w:szCs w:val="24"/>
        </w:rPr>
      </w:pPr>
      <w:r>
        <w:rPr>
          <w:rFonts w:ascii="Times New Roman" w:hAnsi="Times New Roman" w:cs="Times New Roman"/>
          <w:sz w:val="24"/>
          <w:szCs w:val="24"/>
        </w:rPr>
        <w:t>Comment on the implementation of the ILS policy</w:t>
      </w:r>
    </w:p>
    <w:p w14:paraId="47418C49" w14:textId="77777777" w:rsidR="00B01D46" w:rsidRDefault="0067013E">
      <w:pPr>
        <w:pStyle w:val="ListParagraph"/>
        <w:autoSpaceDE w:val="0"/>
        <w:autoSpaceDN w:val="0"/>
        <w:adjustRightInd w:val="0"/>
        <w:spacing w:after="167" w:line="240" w:lineRule="auto"/>
        <w:ind w:firstLine="0"/>
        <w:jc w:val="left"/>
        <w:rPr>
          <w:rFonts w:eastAsiaTheme="minorHAnsi"/>
          <w:szCs w:val="24"/>
        </w:rPr>
      </w:pPr>
      <w:r>
        <w:rPr>
          <w:rFonts w:eastAsiaTheme="minorHAnsi"/>
          <w:szCs w:val="24"/>
        </w:rPr>
        <w:t>……………………………….</w:t>
      </w:r>
      <w:r>
        <w:rPr>
          <w:szCs w:val="24"/>
        </w:rPr>
        <w:t>……………………………………………………………………………………………………………………………………………………………………………………………………………………………………………………………………………………………………………………………..</w:t>
      </w:r>
    </w:p>
    <w:p w14:paraId="38AFA8D5" w14:textId="77777777" w:rsidR="00B01D46" w:rsidRDefault="0067013E">
      <w:pPr>
        <w:numPr>
          <w:ilvl w:val="0"/>
          <w:numId w:val="32"/>
        </w:numPr>
        <w:spacing w:after="131" w:line="360" w:lineRule="auto"/>
        <w:jc w:val="both"/>
        <w:rPr>
          <w:rFonts w:ascii="Times New Roman" w:hAnsi="Times New Roman" w:cs="Times New Roman"/>
          <w:sz w:val="24"/>
          <w:szCs w:val="24"/>
        </w:rPr>
      </w:pPr>
      <w:r>
        <w:rPr>
          <w:rFonts w:ascii="Times New Roman" w:hAnsi="Times New Roman" w:cs="Times New Roman"/>
          <w:sz w:val="24"/>
          <w:szCs w:val="24"/>
        </w:rPr>
        <w:t>How often is the policy reviewed?</w:t>
      </w:r>
    </w:p>
    <w:p w14:paraId="45ECC4D3" w14:textId="77777777" w:rsidR="00B01D46" w:rsidRDefault="0067013E">
      <w:pPr>
        <w:spacing w:after="131" w:line="240" w:lineRule="auto"/>
        <w:ind w:left="720"/>
        <w:jc w:val="both"/>
        <w:rPr>
          <w:rFonts w:ascii="Times New Roman" w:hAnsi="Times New Roman" w:cs="Times New Roman"/>
          <w:sz w:val="24"/>
          <w:szCs w:val="24"/>
        </w:rPr>
      </w:pPr>
      <w:r>
        <w:rPr>
          <w:rFonts w:ascii="Times New Roman" w:hAnsi="Times New Roman" w:cs="Times New Roman"/>
          <w:sz w:val="24"/>
          <w:szCs w:val="24"/>
        </w:rPr>
        <w:t>………………………………………………………………………………………………………………………………………………………………………………………………………………………………………………………………………………………………………………………………………………………………</w:t>
      </w:r>
    </w:p>
    <w:p w14:paraId="2747BD80" w14:textId="77777777" w:rsidR="00B01D46" w:rsidRDefault="0067013E">
      <w:pPr>
        <w:numPr>
          <w:ilvl w:val="0"/>
          <w:numId w:val="32"/>
        </w:numPr>
        <w:spacing w:after="131" w:line="360" w:lineRule="auto"/>
        <w:jc w:val="both"/>
        <w:rPr>
          <w:rFonts w:ascii="Times New Roman" w:hAnsi="Times New Roman" w:cs="Times New Roman"/>
          <w:sz w:val="24"/>
          <w:szCs w:val="24"/>
        </w:rPr>
      </w:pPr>
      <w:r>
        <w:rPr>
          <w:rFonts w:ascii="Times New Roman" w:hAnsi="Times New Roman" w:cs="Times New Roman"/>
          <w:sz w:val="24"/>
          <w:szCs w:val="24"/>
        </w:rPr>
        <w:t>Comment on the content and methods of delivery of the ILS curriculum in your institution</w:t>
      </w:r>
    </w:p>
    <w:p w14:paraId="063DB218" w14:textId="77777777" w:rsidR="00B01D46" w:rsidRDefault="0067013E">
      <w:pPr>
        <w:pStyle w:val="ListParagraph"/>
        <w:autoSpaceDE w:val="0"/>
        <w:autoSpaceDN w:val="0"/>
        <w:adjustRightInd w:val="0"/>
        <w:spacing w:after="167" w:line="240" w:lineRule="auto"/>
        <w:ind w:firstLine="0"/>
        <w:jc w:val="left"/>
        <w:rPr>
          <w:rFonts w:eastAsiaTheme="minorHAnsi"/>
          <w:szCs w:val="24"/>
        </w:rPr>
      </w:pPr>
      <w:r>
        <w:rPr>
          <w:szCs w:val="24"/>
        </w:rPr>
        <w:t>………………………………………………………………………………………………………………………………………………………………………………………………………………………………………………………</w:t>
      </w:r>
      <w:r>
        <w:rPr>
          <w:szCs w:val="24"/>
        </w:rPr>
        <w:lastRenderedPageBreak/>
        <w:t>………………………………………</w:t>
      </w:r>
      <w:r>
        <w:rPr>
          <w:rFonts w:eastAsiaTheme="minorHAnsi"/>
          <w:szCs w:val="24"/>
        </w:rPr>
        <w:t xml:space="preserve"> ……………………………………………………………..</w:t>
      </w:r>
    </w:p>
    <w:p w14:paraId="07E5E6FD" w14:textId="77777777" w:rsidR="00B01D46" w:rsidRDefault="0067013E">
      <w:pPr>
        <w:pStyle w:val="ListParagraph"/>
        <w:numPr>
          <w:ilvl w:val="0"/>
          <w:numId w:val="32"/>
        </w:numPr>
        <w:autoSpaceDE w:val="0"/>
        <w:autoSpaceDN w:val="0"/>
        <w:adjustRightInd w:val="0"/>
        <w:spacing w:after="167" w:line="240" w:lineRule="auto"/>
        <w:jc w:val="left"/>
        <w:rPr>
          <w:rFonts w:eastAsiaTheme="minorHAnsi"/>
          <w:szCs w:val="24"/>
        </w:rPr>
      </w:pPr>
      <w:r>
        <w:rPr>
          <w:rFonts w:eastAsiaTheme="minorHAnsi"/>
          <w:szCs w:val="24"/>
        </w:rPr>
        <w:t xml:space="preserve">What ILS assessment techniques does your institution use </w:t>
      </w:r>
    </w:p>
    <w:p w14:paraId="19DB2817" w14:textId="77777777" w:rsidR="00B01D46" w:rsidRDefault="0067013E">
      <w:pPr>
        <w:pStyle w:val="ListParagraph"/>
        <w:autoSpaceDE w:val="0"/>
        <w:autoSpaceDN w:val="0"/>
        <w:adjustRightInd w:val="0"/>
        <w:spacing w:after="167" w:line="240" w:lineRule="auto"/>
        <w:ind w:firstLine="0"/>
        <w:jc w:val="left"/>
        <w:rPr>
          <w:rFonts w:eastAsiaTheme="minorHAnsi"/>
          <w:szCs w:val="24"/>
        </w:rPr>
      </w:pPr>
      <w:r>
        <w:rPr>
          <w:rFonts w:eastAsiaTheme="minorHAnsi"/>
          <w:szCs w:val="24"/>
        </w:rPr>
        <w:t>............................................................................................................................................................................................................................................................................</w:t>
      </w:r>
    </w:p>
    <w:p w14:paraId="079DCC55" w14:textId="77777777" w:rsidR="00B01D46" w:rsidRDefault="0067013E">
      <w:pPr>
        <w:pStyle w:val="NormalWeb"/>
        <w:shd w:val="clear" w:color="auto" w:fill="FFFFFF"/>
        <w:tabs>
          <w:tab w:val="left" w:pos="360"/>
        </w:tabs>
        <w:autoSpaceDE w:val="0"/>
        <w:autoSpaceDN w:val="0"/>
        <w:adjustRightInd w:val="0"/>
        <w:spacing w:before="120" w:after="0" w:line="360" w:lineRule="auto"/>
        <w:ind w:left="1080" w:hanging="1080"/>
        <w:jc w:val="both"/>
        <w:rPr>
          <w:rFonts w:eastAsia="Calibri"/>
          <w:b/>
        </w:rPr>
      </w:pPr>
      <w:r>
        <w:rPr>
          <w:b/>
        </w:rPr>
        <w:t>D.</w:t>
      </w:r>
      <w:r>
        <w:rPr>
          <w:rFonts w:eastAsia="Calibri"/>
          <w:b/>
        </w:rPr>
        <w:t xml:space="preserve"> ILS understanding among Medical Undergraduate Students </w:t>
      </w:r>
    </w:p>
    <w:p w14:paraId="4BB4816A" w14:textId="77777777" w:rsidR="00B01D46" w:rsidRDefault="0067013E">
      <w:pPr>
        <w:numPr>
          <w:ilvl w:val="0"/>
          <w:numId w:val="32"/>
        </w:numPr>
        <w:spacing w:after="131" w:line="241" w:lineRule="auto"/>
        <w:jc w:val="both"/>
        <w:rPr>
          <w:rFonts w:ascii="Times New Roman" w:hAnsi="Times New Roman" w:cs="Times New Roman"/>
          <w:sz w:val="24"/>
          <w:szCs w:val="24"/>
        </w:rPr>
      </w:pPr>
      <w:r>
        <w:rPr>
          <w:rFonts w:ascii="Times New Roman" w:hAnsi="Times New Roman" w:cs="Times New Roman"/>
          <w:sz w:val="24"/>
          <w:szCs w:val="24"/>
        </w:rPr>
        <w:t>(a) How do students perceive ILS  in  your institution</w:t>
      </w:r>
    </w:p>
    <w:p w14:paraId="66D5A39C" w14:textId="77777777" w:rsidR="00B01D46" w:rsidRDefault="0067013E">
      <w:pPr>
        <w:spacing w:after="131" w:line="241" w:lineRule="auto"/>
        <w:ind w:left="682"/>
        <w:jc w:val="both"/>
        <w:rPr>
          <w:rFonts w:ascii="Times New Roman" w:hAnsi="Times New Roman" w:cs="Times New Roman"/>
          <w:sz w:val="24"/>
          <w:szCs w:val="24"/>
        </w:rPr>
      </w:pPr>
      <w:r>
        <w:rPr>
          <w:rFonts w:ascii="Times New Roman" w:hAnsi="Times New Roman" w:cs="Times New Roman"/>
          <w:sz w:val="24"/>
          <w:szCs w:val="24"/>
        </w:rPr>
        <w:t>……………………………………………………………………………………………………………………………………………………………………………………………………………………………………………………………………………………………………………………………………………………………..</w:t>
      </w:r>
    </w:p>
    <w:p w14:paraId="2CF28B4A" w14:textId="77777777" w:rsidR="00B01D46" w:rsidRDefault="0067013E">
      <w:pPr>
        <w:spacing w:after="131" w:line="241" w:lineRule="auto"/>
        <w:ind w:left="682"/>
        <w:jc w:val="both"/>
        <w:rPr>
          <w:rFonts w:ascii="Times New Roman" w:hAnsi="Times New Roman" w:cs="Times New Roman"/>
          <w:sz w:val="24"/>
          <w:szCs w:val="24"/>
        </w:rPr>
      </w:pPr>
      <w:r>
        <w:rPr>
          <w:rFonts w:ascii="Times New Roman" w:hAnsi="Times New Roman" w:cs="Times New Roman"/>
          <w:sz w:val="24"/>
          <w:szCs w:val="24"/>
        </w:rPr>
        <w:t>(b) What are the reasons for the explanation in question (1a) above?</w:t>
      </w:r>
    </w:p>
    <w:p w14:paraId="6FD653C5" w14:textId="77777777" w:rsidR="00B01D46" w:rsidRDefault="0067013E">
      <w:pPr>
        <w:spacing w:after="131" w:line="241" w:lineRule="auto"/>
        <w:ind w:left="682"/>
        <w:jc w:val="both"/>
        <w:rPr>
          <w:rFonts w:ascii="Times New Roman" w:hAnsi="Times New Roman" w:cs="Times New Roman"/>
          <w:sz w:val="24"/>
          <w:szCs w:val="24"/>
        </w:rPr>
      </w:pPr>
      <w:r>
        <w:rPr>
          <w:rFonts w:ascii="Times New Roman" w:hAnsi="Times New Roman" w:cs="Times New Roman"/>
          <w:sz w:val="24"/>
          <w:szCs w:val="24"/>
        </w:rPr>
        <w:t>……………………………………………………………………………………………………………………………………………………………………………………………………………………………………………………………………………………………………………………………………………………………….</w:t>
      </w:r>
    </w:p>
    <w:p w14:paraId="0C58AE1F" w14:textId="77777777" w:rsidR="00B01D46" w:rsidRDefault="0067013E">
      <w:pPr>
        <w:numPr>
          <w:ilvl w:val="0"/>
          <w:numId w:val="32"/>
        </w:numPr>
        <w:spacing w:after="131" w:line="241" w:lineRule="auto"/>
        <w:jc w:val="both"/>
        <w:rPr>
          <w:rFonts w:ascii="Times New Roman" w:hAnsi="Times New Roman" w:cs="Times New Roman"/>
          <w:sz w:val="24"/>
          <w:szCs w:val="24"/>
        </w:rPr>
      </w:pPr>
      <w:r>
        <w:rPr>
          <w:rFonts w:ascii="Times New Roman" w:hAnsi="Times New Roman" w:cs="Times New Roman"/>
          <w:sz w:val="24"/>
          <w:szCs w:val="24"/>
        </w:rPr>
        <w:t>What is your general view of ILS training as a programme in your institution? ………………………………………………………………………………………………………………………………………………………………………………………………………………………………………………………………………………………………</w:t>
      </w:r>
    </w:p>
    <w:p w14:paraId="411C90FC" w14:textId="77777777" w:rsidR="00B01D46" w:rsidRDefault="0067013E">
      <w:pPr>
        <w:numPr>
          <w:ilvl w:val="0"/>
          <w:numId w:val="32"/>
        </w:numPr>
        <w:spacing w:after="131" w:line="241" w:lineRule="auto"/>
        <w:jc w:val="both"/>
        <w:rPr>
          <w:rFonts w:ascii="Times New Roman" w:hAnsi="Times New Roman" w:cs="Times New Roman"/>
          <w:sz w:val="24"/>
          <w:szCs w:val="24"/>
        </w:rPr>
      </w:pPr>
      <w:r>
        <w:rPr>
          <w:rFonts w:ascii="Times New Roman" w:hAnsi="Times New Roman" w:cs="Times New Roman"/>
          <w:sz w:val="24"/>
          <w:szCs w:val="24"/>
        </w:rPr>
        <w:t xml:space="preserve">What do you think could be done to enhance ILS in your university? </w:t>
      </w:r>
    </w:p>
    <w:p w14:paraId="7FF2F673" w14:textId="77777777" w:rsidR="00B01D46" w:rsidRDefault="0067013E">
      <w:pPr>
        <w:spacing w:after="0" w:line="240" w:lineRule="auto"/>
        <w:ind w:left="677"/>
        <w:jc w:val="both"/>
        <w:rPr>
          <w:rFonts w:ascii="Times New Roman" w:hAnsi="Times New Roman" w:cs="Times New Roman"/>
          <w:sz w:val="24"/>
          <w:szCs w:val="24"/>
        </w:rPr>
      </w:pPr>
      <w:r>
        <w:rPr>
          <w:rFonts w:ascii="Times New Roman" w:hAnsi="Times New Roman" w:cs="Times New Roman"/>
          <w:sz w:val="24"/>
          <w:szCs w:val="24"/>
        </w:rPr>
        <w:t>…………………………………………………………………………………</w:t>
      </w:r>
    </w:p>
    <w:p w14:paraId="26E590FD" w14:textId="77777777" w:rsidR="00B01D46" w:rsidRDefault="0067013E">
      <w:pPr>
        <w:spacing w:after="0"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4FF81373" w14:textId="77777777" w:rsidR="00B01D46" w:rsidRDefault="0067013E">
      <w:pPr>
        <w:spacing w:after="0"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7B0EFEF0" w14:textId="77777777" w:rsidR="00B01D46" w:rsidRDefault="0067013E">
      <w:pPr>
        <w:numPr>
          <w:ilvl w:val="0"/>
          <w:numId w:val="32"/>
        </w:numPr>
        <w:spacing w:after="131" w:line="241" w:lineRule="auto"/>
        <w:jc w:val="both"/>
        <w:rPr>
          <w:rFonts w:ascii="Times New Roman" w:hAnsi="Times New Roman" w:cs="Times New Roman"/>
          <w:sz w:val="24"/>
          <w:szCs w:val="24"/>
        </w:rPr>
      </w:pPr>
      <w:r>
        <w:rPr>
          <w:rFonts w:ascii="Times New Roman" w:hAnsi="Times New Roman" w:cs="Times New Roman"/>
          <w:sz w:val="24"/>
          <w:szCs w:val="24"/>
        </w:rPr>
        <w:t xml:space="preserve">What is the evidence of the impact of ILS on Medical undergraduate students? </w:t>
      </w:r>
    </w:p>
    <w:p w14:paraId="09572711" w14:textId="77777777" w:rsidR="00B01D46" w:rsidRDefault="0067013E">
      <w:pPr>
        <w:spacing w:after="131" w:line="241" w:lineRule="auto"/>
        <w:ind w:left="687" w:hanging="10"/>
        <w:rPr>
          <w:rFonts w:ascii="Times New Roman" w:hAnsi="Times New Roman" w:cs="Times New Roman"/>
          <w:sz w:val="24"/>
          <w:szCs w:val="24"/>
        </w:rPr>
      </w:pPr>
      <w:r>
        <w:rPr>
          <w:rFonts w:ascii="Times New Roman" w:hAnsi="Times New Roman" w:cs="Times New Roman"/>
          <w:sz w:val="24"/>
          <w:szCs w:val="24"/>
        </w:rPr>
        <w:t>(Observable, testable, etc)</w:t>
      </w:r>
    </w:p>
    <w:p w14:paraId="6F825D9D" w14:textId="77777777" w:rsidR="00B01D46" w:rsidRDefault="0067013E">
      <w:pPr>
        <w:spacing w:after="0" w:line="240" w:lineRule="auto"/>
        <w:ind w:left="677"/>
        <w:jc w:val="both"/>
        <w:rPr>
          <w:rFonts w:ascii="Times New Roman" w:hAnsi="Times New Roman" w:cs="Times New Roman"/>
          <w:sz w:val="24"/>
          <w:szCs w:val="24"/>
        </w:rPr>
      </w:pPr>
      <w:r>
        <w:rPr>
          <w:rFonts w:ascii="Times New Roman" w:hAnsi="Times New Roman" w:cs="Times New Roman"/>
          <w:sz w:val="24"/>
          <w:szCs w:val="24"/>
        </w:rPr>
        <w:t>…………………………………………………………………………………</w:t>
      </w:r>
    </w:p>
    <w:p w14:paraId="774E30D7" w14:textId="77777777" w:rsidR="00B01D46" w:rsidRDefault="0067013E">
      <w:pPr>
        <w:spacing w:after="0"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0DB49C06" w14:textId="77777777" w:rsidR="00B01D46" w:rsidRDefault="0067013E">
      <w:pPr>
        <w:spacing w:after="0"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64D245A7" w14:textId="77777777" w:rsidR="00B01D46" w:rsidRDefault="0067013E">
      <w:pPr>
        <w:autoSpaceDE w:val="0"/>
        <w:autoSpaceDN w:val="0"/>
        <w:adjustRightInd w:val="0"/>
        <w:spacing w:after="167" w:line="240" w:lineRule="auto"/>
        <w:ind w:left="90"/>
        <w:rPr>
          <w:rFonts w:ascii="Times New Roman" w:hAnsi="Times New Roman" w:cs="Times New Roman"/>
          <w:b/>
          <w:sz w:val="24"/>
          <w:szCs w:val="24"/>
        </w:rPr>
      </w:pPr>
      <w:r>
        <w:rPr>
          <w:rFonts w:ascii="Times New Roman" w:hAnsi="Times New Roman" w:cs="Times New Roman"/>
          <w:b/>
          <w:sz w:val="24"/>
          <w:szCs w:val="24"/>
        </w:rPr>
        <w:t>F. K</w:t>
      </w:r>
      <w:r>
        <w:rPr>
          <w:rFonts w:ascii="Times New Roman" w:eastAsia="Calibri" w:hAnsi="Times New Roman" w:cs="Times New Roman"/>
          <w:b/>
          <w:sz w:val="24"/>
          <w:szCs w:val="24"/>
        </w:rPr>
        <w:t xml:space="preserve">nowledge, Skills and training needed by Staff in Facilitating ILS among </w:t>
      </w:r>
      <w:r>
        <w:rPr>
          <w:rFonts w:ascii="Times New Roman" w:hAnsi="Times New Roman" w:cs="Times New Roman"/>
          <w:b/>
          <w:sz w:val="24"/>
          <w:szCs w:val="24"/>
        </w:rPr>
        <w:t>Medical Undergraduate Students</w:t>
      </w:r>
    </w:p>
    <w:p w14:paraId="71C70FB3" w14:textId="77777777" w:rsidR="00B01D46" w:rsidRDefault="00B01D46">
      <w:pPr>
        <w:pStyle w:val="NoSpacing"/>
        <w:rPr>
          <w:rFonts w:ascii="Times New Roman" w:hAnsi="Times New Roman" w:cs="Times New Roman"/>
          <w:sz w:val="24"/>
          <w:szCs w:val="24"/>
        </w:rPr>
      </w:pPr>
    </w:p>
    <w:p w14:paraId="7CB245C7" w14:textId="77777777" w:rsidR="00B01D46" w:rsidRDefault="0067013E">
      <w:pPr>
        <w:pStyle w:val="NoSpacing"/>
        <w:numPr>
          <w:ilvl w:val="0"/>
          <w:numId w:val="32"/>
        </w:numPr>
        <w:ind w:right="8"/>
        <w:rPr>
          <w:rFonts w:ascii="Times New Roman" w:hAnsi="Times New Roman" w:cs="Times New Roman"/>
          <w:sz w:val="24"/>
          <w:szCs w:val="24"/>
        </w:rPr>
      </w:pPr>
      <w:r>
        <w:rPr>
          <w:rFonts w:ascii="Times New Roman" w:hAnsi="Times New Roman" w:cs="Times New Roman"/>
          <w:sz w:val="24"/>
          <w:szCs w:val="24"/>
        </w:rPr>
        <w:t xml:space="preserve">Who is responsible for ILS delivery </w:t>
      </w:r>
    </w:p>
    <w:p w14:paraId="5E2BD7F4" w14:textId="77777777" w:rsidR="00B01D46" w:rsidRDefault="0067013E">
      <w:pPr>
        <w:pStyle w:val="NoSpacing"/>
        <w:ind w:left="900" w:right="8"/>
        <w:rPr>
          <w:rFonts w:ascii="Times New Roman" w:hAnsi="Times New Roman" w:cs="Times New Roman"/>
          <w:sz w:val="24"/>
          <w:szCs w:val="24"/>
        </w:rPr>
      </w:pPr>
      <w:r>
        <w:rPr>
          <w:rFonts w:ascii="Times New Roman" w:hAnsi="Times New Roman" w:cs="Times New Roman"/>
          <w:sz w:val="24"/>
          <w:szCs w:val="24"/>
        </w:rPr>
        <w:t>……………………………………………………………………………………………………………………………………………………………………………………………………………………………………………………………….</w:t>
      </w:r>
    </w:p>
    <w:p w14:paraId="5308A4CD" w14:textId="77777777" w:rsidR="00B01D46" w:rsidRDefault="0067013E">
      <w:pPr>
        <w:pStyle w:val="NoSpacing"/>
        <w:numPr>
          <w:ilvl w:val="0"/>
          <w:numId w:val="32"/>
        </w:numPr>
        <w:ind w:right="8"/>
        <w:rPr>
          <w:rFonts w:ascii="Times New Roman" w:hAnsi="Times New Roman" w:cs="Times New Roman"/>
          <w:sz w:val="24"/>
          <w:szCs w:val="24"/>
        </w:rPr>
      </w:pPr>
      <w:r>
        <w:rPr>
          <w:rFonts w:ascii="Times New Roman" w:hAnsi="Times New Roman" w:cs="Times New Roman"/>
          <w:sz w:val="24"/>
          <w:szCs w:val="24"/>
        </w:rPr>
        <w:lastRenderedPageBreak/>
        <w:t>What is the competency level of the library staff and lecturers in enhancing adequacy of ILS among medical undergraduate students? ………………………………………………………………………………………………………………………………………………………………………………………………………………………………………………………………………</w:t>
      </w:r>
    </w:p>
    <w:p w14:paraId="0DA71B4D" w14:textId="77777777" w:rsidR="00B01D46" w:rsidRDefault="0067013E">
      <w:pPr>
        <w:pStyle w:val="NoSpacing"/>
        <w:numPr>
          <w:ilvl w:val="0"/>
          <w:numId w:val="32"/>
        </w:numPr>
        <w:spacing w:line="360" w:lineRule="auto"/>
        <w:ind w:right="8"/>
        <w:rPr>
          <w:rFonts w:ascii="Times New Roman" w:hAnsi="Times New Roman" w:cs="Times New Roman"/>
          <w:sz w:val="24"/>
          <w:szCs w:val="24"/>
        </w:rPr>
      </w:pPr>
      <w:r>
        <w:rPr>
          <w:rFonts w:ascii="Times New Roman" w:hAnsi="Times New Roman" w:cs="Times New Roman"/>
          <w:sz w:val="24"/>
          <w:szCs w:val="24"/>
        </w:rPr>
        <w:t>In your view, what needs to be done to enhance the skills of staff facilitating ILS among medical undergraduate students</w:t>
      </w:r>
    </w:p>
    <w:p w14:paraId="5ECF0FBE" w14:textId="77777777" w:rsidR="00B01D46" w:rsidRDefault="0067013E">
      <w:pPr>
        <w:pStyle w:val="ListParagraph"/>
        <w:spacing w:after="131" w:line="240" w:lineRule="auto"/>
        <w:ind w:left="900" w:firstLine="0"/>
        <w:rPr>
          <w:szCs w:val="24"/>
        </w:rPr>
      </w:pPr>
      <w:r>
        <w:rPr>
          <w:szCs w:val="24"/>
        </w:rPr>
        <w:t>………………………………………………………………………………………………………………………………………………………………………………………………………………………………………………………………</w:t>
      </w:r>
    </w:p>
    <w:p w14:paraId="489BE3C2" w14:textId="77777777" w:rsidR="00B01D46" w:rsidRDefault="0067013E">
      <w:pPr>
        <w:pStyle w:val="NormalWeb"/>
        <w:shd w:val="clear" w:color="auto" w:fill="FFFFFF"/>
        <w:tabs>
          <w:tab w:val="left" w:pos="0"/>
        </w:tabs>
        <w:autoSpaceDE w:val="0"/>
        <w:autoSpaceDN w:val="0"/>
        <w:adjustRightInd w:val="0"/>
        <w:spacing w:line="360" w:lineRule="auto"/>
        <w:jc w:val="both"/>
        <w:rPr>
          <w:b/>
        </w:rPr>
      </w:pPr>
      <w:r>
        <w:rPr>
          <w:b/>
        </w:rPr>
        <w:t>G. R</w:t>
      </w:r>
      <w:r>
        <w:rPr>
          <w:rFonts w:eastAsia="Calibri"/>
          <w:b/>
        </w:rPr>
        <w:t>ole of ICT in Promoting the Training and Learning of Information Literacy Skills among Undergraduate Medical Students</w:t>
      </w:r>
    </w:p>
    <w:p w14:paraId="1F7D6D5C" w14:textId="77777777" w:rsidR="00B01D46" w:rsidRDefault="0067013E">
      <w:pPr>
        <w:pStyle w:val="ListParagraph"/>
        <w:numPr>
          <w:ilvl w:val="0"/>
          <w:numId w:val="32"/>
        </w:numPr>
        <w:autoSpaceDE w:val="0"/>
        <w:autoSpaceDN w:val="0"/>
        <w:adjustRightInd w:val="0"/>
        <w:spacing w:after="167" w:line="240" w:lineRule="auto"/>
        <w:jc w:val="left"/>
        <w:rPr>
          <w:szCs w:val="24"/>
        </w:rPr>
      </w:pPr>
      <w:r>
        <w:rPr>
          <w:szCs w:val="24"/>
        </w:rPr>
        <w:t>How is ICT utilized in enhancing ILS among medical undergraduate students in your institution</w:t>
      </w:r>
    </w:p>
    <w:p w14:paraId="29D91AC5" w14:textId="77777777" w:rsidR="00B01D46" w:rsidRDefault="0067013E">
      <w:pPr>
        <w:pStyle w:val="NoSpacing"/>
        <w:ind w:left="720" w:right="8" w:firstLine="0"/>
        <w:rPr>
          <w:rFonts w:ascii="Times New Roman" w:hAnsi="Times New Roman" w:cs="Times New Roman"/>
          <w:sz w:val="24"/>
          <w:szCs w:val="24"/>
        </w:rPr>
      </w:pPr>
      <w:r>
        <w:rPr>
          <w:rFonts w:ascii="Times New Roman" w:hAnsi="Times New Roman" w:cs="Times New Roman"/>
          <w:sz w:val="24"/>
          <w:szCs w:val="24"/>
        </w:rPr>
        <w:t>……………………………………………………………………………………………………………………………………………………………………………………………………………………………………………………………………………………………………………………………………………………………….</w:t>
      </w:r>
    </w:p>
    <w:p w14:paraId="08E4C1D3" w14:textId="77777777" w:rsidR="00B01D46" w:rsidRDefault="0067013E">
      <w:pPr>
        <w:pStyle w:val="ListParagraph"/>
        <w:numPr>
          <w:ilvl w:val="0"/>
          <w:numId w:val="32"/>
        </w:numPr>
        <w:autoSpaceDE w:val="0"/>
        <w:autoSpaceDN w:val="0"/>
        <w:adjustRightInd w:val="0"/>
        <w:spacing w:after="167" w:line="240" w:lineRule="auto"/>
        <w:jc w:val="left"/>
        <w:rPr>
          <w:rFonts w:eastAsiaTheme="minorHAnsi"/>
          <w:szCs w:val="24"/>
        </w:rPr>
      </w:pPr>
      <w:r>
        <w:rPr>
          <w:szCs w:val="24"/>
        </w:rPr>
        <w:t>What types of ICT tools and equipment do you use for your ILS teaching?</w:t>
      </w:r>
    </w:p>
    <w:p w14:paraId="4AEC6F5A" w14:textId="77777777" w:rsidR="00B01D46" w:rsidRDefault="0067013E">
      <w:pPr>
        <w:pStyle w:val="NoSpacing"/>
        <w:ind w:left="720" w:right="8"/>
        <w:rPr>
          <w:rFonts w:ascii="Times New Roman" w:hAnsi="Times New Roman" w:cs="Times New Roman"/>
          <w:sz w:val="24"/>
          <w:szCs w:val="24"/>
        </w:rPr>
      </w:pPr>
      <w:r>
        <w:rPr>
          <w:rFonts w:ascii="Times New Roman" w:hAnsi="Times New Roman" w:cs="Times New Roman"/>
          <w:sz w:val="24"/>
          <w:szCs w:val="24"/>
        </w:rPr>
        <w:t>………………………………………………………………………………………………………………………………………………………………………………………………………………………………………………………………………………………………………………………………………………………………</w:t>
      </w:r>
    </w:p>
    <w:p w14:paraId="6B78B645" w14:textId="77777777" w:rsidR="00B01D46" w:rsidRDefault="0067013E">
      <w:pPr>
        <w:pStyle w:val="ListParagraph"/>
        <w:numPr>
          <w:ilvl w:val="0"/>
          <w:numId w:val="32"/>
        </w:numPr>
        <w:autoSpaceDE w:val="0"/>
        <w:autoSpaceDN w:val="0"/>
        <w:adjustRightInd w:val="0"/>
        <w:spacing w:after="167" w:line="240" w:lineRule="auto"/>
        <w:jc w:val="left"/>
        <w:rPr>
          <w:rFonts w:eastAsiaTheme="minorHAnsi"/>
          <w:szCs w:val="24"/>
        </w:rPr>
      </w:pPr>
      <w:r>
        <w:rPr>
          <w:rFonts w:eastAsiaTheme="minorHAnsi"/>
          <w:szCs w:val="24"/>
        </w:rPr>
        <w:t xml:space="preserve">What is the level of ICT(s) infrastructure preparedness with regard to ILS learning and training in your institution? </w:t>
      </w:r>
      <w:r>
        <w:rPr>
          <w:szCs w:val="24"/>
        </w:rPr>
        <w:t>………………………………………………………………………………………………………………………………………………………………………………………………………………………………………………………………………</w:t>
      </w:r>
    </w:p>
    <w:p w14:paraId="10F56876" w14:textId="77777777" w:rsidR="00B01D46" w:rsidRDefault="0067013E">
      <w:pPr>
        <w:pStyle w:val="ListParagraph"/>
        <w:numPr>
          <w:ilvl w:val="0"/>
          <w:numId w:val="32"/>
        </w:numPr>
        <w:autoSpaceDE w:val="0"/>
        <w:autoSpaceDN w:val="0"/>
        <w:adjustRightInd w:val="0"/>
        <w:spacing w:after="167" w:line="240" w:lineRule="auto"/>
        <w:jc w:val="left"/>
        <w:rPr>
          <w:rFonts w:eastAsiaTheme="minorHAnsi"/>
          <w:szCs w:val="24"/>
        </w:rPr>
      </w:pPr>
      <w:r>
        <w:rPr>
          <w:szCs w:val="24"/>
        </w:rPr>
        <w:t>What are the success factors of using ICT in your ILS teaching? ………………………………………………………………………………………………………………………………………………………………………………………………………………………………………………………………………</w:t>
      </w:r>
    </w:p>
    <w:p w14:paraId="31B51FDB" w14:textId="77777777" w:rsidR="00B01D46" w:rsidRDefault="00B01D46">
      <w:pPr>
        <w:pStyle w:val="ListParagraph"/>
        <w:ind w:firstLine="0"/>
        <w:rPr>
          <w:szCs w:val="24"/>
        </w:rPr>
      </w:pPr>
    </w:p>
    <w:p w14:paraId="0C93D5C0" w14:textId="77777777" w:rsidR="00B01D46" w:rsidRDefault="0067013E">
      <w:pPr>
        <w:pStyle w:val="ListParagraph"/>
        <w:numPr>
          <w:ilvl w:val="0"/>
          <w:numId w:val="32"/>
        </w:numPr>
        <w:rPr>
          <w:szCs w:val="24"/>
        </w:rPr>
      </w:pPr>
      <w:r>
        <w:rPr>
          <w:szCs w:val="24"/>
        </w:rPr>
        <w:t>What factors hinder ICT integration in ILS utilization?</w:t>
      </w:r>
    </w:p>
    <w:p w14:paraId="1E7BDB47" w14:textId="77777777" w:rsidR="00B01D46" w:rsidRDefault="0067013E">
      <w:pPr>
        <w:spacing w:after="0" w:line="240" w:lineRule="auto"/>
        <w:ind w:left="677"/>
        <w:jc w:val="both"/>
        <w:rPr>
          <w:rFonts w:ascii="Times New Roman" w:hAnsi="Times New Roman" w:cs="Times New Roman"/>
          <w:sz w:val="24"/>
          <w:szCs w:val="24"/>
        </w:rPr>
      </w:pPr>
      <w:r>
        <w:rPr>
          <w:rFonts w:ascii="Times New Roman" w:hAnsi="Times New Roman" w:cs="Times New Roman"/>
          <w:sz w:val="24"/>
          <w:szCs w:val="24"/>
        </w:rPr>
        <w:t>…………………………………………………………………………………</w:t>
      </w:r>
    </w:p>
    <w:p w14:paraId="1097F2EF" w14:textId="77777777" w:rsidR="00B01D46" w:rsidRDefault="0067013E">
      <w:pPr>
        <w:spacing w:after="0"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304F80E2" w14:textId="77777777" w:rsidR="00B01D46" w:rsidRDefault="0067013E">
      <w:pPr>
        <w:spacing w:after="0"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75103192" w14:textId="77777777" w:rsidR="00B01D46" w:rsidRDefault="00B01D46">
      <w:pPr>
        <w:spacing w:after="0" w:line="240" w:lineRule="auto"/>
        <w:ind w:left="687" w:hanging="10"/>
        <w:rPr>
          <w:rFonts w:ascii="Times New Roman" w:hAnsi="Times New Roman" w:cs="Times New Roman"/>
          <w:sz w:val="24"/>
          <w:szCs w:val="24"/>
        </w:rPr>
      </w:pPr>
    </w:p>
    <w:p w14:paraId="094A9538" w14:textId="77777777" w:rsidR="00B01D46" w:rsidRDefault="0067013E">
      <w:pPr>
        <w:spacing w:after="127" w:line="240" w:lineRule="auto"/>
        <w:ind w:left="1"/>
        <w:rPr>
          <w:rFonts w:ascii="Times New Roman" w:hAnsi="Times New Roman" w:cs="Times New Roman"/>
          <w:b/>
          <w:sz w:val="24"/>
          <w:szCs w:val="24"/>
        </w:rPr>
      </w:pPr>
      <w:r>
        <w:rPr>
          <w:rFonts w:ascii="Times New Roman" w:hAnsi="Times New Roman" w:cs="Times New Roman"/>
          <w:b/>
          <w:sz w:val="24"/>
          <w:szCs w:val="24"/>
        </w:rPr>
        <w:t xml:space="preserve">H. Challenges </w:t>
      </w:r>
    </w:p>
    <w:p w14:paraId="0D4B3D78" w14:textId="77777777" w:rsidR="00B01D46" w:rsidRDefault="0067013E">
      <w:pPr>
        <w:pStyle w:val="ListParagraph"/>
        <w:numPr>
          <w:ilvl w:val="0"/>
          <w:numId w:val="32"/>
        </w:numPr>
        <w:spacing w:after="131" w:line="241" w:lineRule="auto"/>
        <w:rPr>
          <w:szCs w:val="24"/>
        </w:rPr>
      </w:pPr>
      <w:r>
        <w:rPr>
          <w:szCs w:val="24"/>
        </w:rPr>
        <w:t xml:space="preserve">What challenges impede effective ILS learning? </w:t>
      </w:r>
    </w:p>
    <w:p w14:paraId="1A81D9F2" w14:textId="77777777" w:rsidR="00B01D46" w:rsidRDefault="0067013E">
      <w:pPr>
        <w:spacing w:after="0" w:line="240" w:lineRule="auto"/>
        <w:ind w:left="677"/>
        <w:jc w:val="both"/>
        <w:rPr>
          <w:rFonts w:ascii="Times New Roman" w:hAnsi="Times New Roman" w:cs="Times New Roman"/>
          <w:sz w:val="24"/>
          <w:szCs w:val="24"/>
        </w:rPr>
      </w:pPr>
      <w:r>
        <w:rPr>
          <w:rFonts w:ascii="Times New Roman" w:hAnsi="Times New Roman" w:cs="Times New Roman"/>
          <w:sz w:val="24"/>
          <w:szCs w:val="24"/>
        </w:rPr>
        <w:t>…………………………………………………………………………………</w:t>
      </w:r>
    </w:p>
    <w:p w14:paraId="0292D8FB" w14:textId="77777777" w:rsidR="00B01D46" w:rsidRDefault="0067013E">
      <w:pPr>
        <w:spacing w:after="0" w:line="240" w:lineRule="auto"/>
        <w:ind w:left="677"/>
        <w:rPr>
          <w:rFonts w:ascii="Times New Roman" w:hAnsi="Times New Roman" w:cs="Times New Roman"/>
          <w:sz w:val="24"/>
          <w:szCs w:val="24"/>
        </w:rPr>
      </w:pPr>
      <w:r>
        <w:rPr>
          <w:rFonts w:ascii="Times New Roman" w:hAnsi="Times New Roman" w:cs="Times New Roman"/>
          <w:sz w:val="24"/>
          <w:szCs w:val="24"/>
        </w:rPr>
        <w:t>…………………………………………………………………………………</w:t>
      </w:r>
    </w:p>
    <w:p w14:paraId="569AD446" w14:textId="77777777" w:rsidR="00B01D46" w:rsidRDefault="0067013E">
      <w:pPr>
        <w:pStyle w:val="ListParagraph"/>
        <w:numPr>
          <w:ilvl w:val="0"/>
          <w:numId w:val="32"/>
        </w:numPr>
        <w:spacing w:after="0" w:line="240" w:lineRule="auto"/>
        <w:rPr>
          <w:szCs w:val="24"/>
        </w:rPr>
      </w:pPr>
      <w:r>
        <w:rPr>
          <w:szCs w:val="24"/>
        </w:rPr>
        <w:t>How do you think the challenges above could be addressed? …………………………………………………………………………………</w:t>
      </w:r>
    </w:p>
    <w:p w14:paraId="0CCE5907" w14:textId="77777777" w:rsidR="00B01D46" w:rsidRDefault="0067013E">
      <w:pPr>
        <w:spacing w:after="0" w:line="240" w:lineRule="auto"/>
        <w:ind w:left="687" w:hanging="10"/>
        <w:rPr>
          <w:rFonts w:ascii="Times New Roman" w:hAnsi="Times New Roman" w:cs="Times New Roman"/>
          <w:sz w:val="24"/>
          <w:szCs w:val="24"/>
        </w:rPr>
      </w:pPr>
      <w:r>
        <w:rPr>
          <w:rFonts w:ascii="Times New Roman" w:hAnsi="Times New Roman" w:cs="Times New Roman"/>
          <w:sz w:val="24"/>
          <w:szCs w:val="24"/>
        </w:rPr>
        <w:t>…………………………………………………………………………………</w:t>
      </w:r>
    </w:p>
    <w:p w14:paraId="633A129F" w14:textId="77777777" w:rsidR="00B01D46" w:rsidRDefault="00B01D46">
      <w:pPr>
        <w:spacing w:after="131" w:line="241" w:lineRule="auto"/>
        <w:ind w:left="-4" w:hanging="10"/>
        <w:rPr>
          <w:rFonts w:ascii="Times New Roman" w:hAnsi="Times New Roman" w:cs="Times New Roman"/>
          <w:sz w:val="24"/>
          <w:szCs w:val="24"/>
        </w:rPr>
      </w:pPr>
    </w:p>
    <w:p w14:paraId="45E936A0" w14:textId="77777777" w:rsidR="00B01D46" w:rsidRDefault="0067013E">
      <w:pPr>
        <w:spacing w:after="131" w:line="241" w:lineRule="auto"/>
        <w:ind w:left="-4" w:hanging="10"/>
        <w:jc w:val="center"/>
        <w:rPr>
          <w:rFonts w:ascii="Times New Roman" w:hAnsi="Times New Roman" w:cs="Times New Roman"/>
          <w:sz w:val="24"/>
          <w:szCs w:val="24"/>
        </w:rPr>
      </w:pPr>
      <w:r>
        <w:rPr>
          <w:rFonts w:ascii="Times New Roman" w:hAnsi="Times New Roman" w:cs="Times New Roman"/>
          <w:sz w:val="24"/>
          <w:szCs w:val="24"/>
        </w:rPr>
        <w:t>Again, thank you for your time, and offering information for this study.</w:t>
      </w:r>
    </w:p>
    <w:p w14:paraId="1EE1824D" w14:textId="77777777" w:rsidR="00B01D46" w:rsidRDefault="0067013E">
      <w:pPr>
        <w:spacing w:after="200" w:line="276" w:lineRule="auto"/>
        <w:rPr>
          <w:rFonts w:ascii="Times New Roman" w:eastAsiaTheme="majorEastAsia" w:hAnsi="Times New Roman" w:cs="Times New Roman"/>
          <w:b/>
          <w:sz w:val="24"/>
          <w:szCs w:val="24"/>
        </w:rPr>
      </w:pPr>
      <w:bookmarkStart w:id="2539" w:name="_Toc165369387"/>
      <w:bookmarkStart w:id="2540" w:name="_Toc165973231"/>
      <w:bookmarkStart w:id="2541" w:name="_Toc165365353"/>
      <w:bookmarkStart w:id="2542" w:name="_Toc165363579"/>
      <w:bookmarkStart w:id="2543" w:name="_Toc165975952"/>
      <w:bookmarkStart w:id="2544" w:name="_Hlk159079475"/>
      <w:r>
        <w:rPr>
          <w:rFonts w:ascii="Times New Roman" w:hAnsi="Times New Roman" w:cs="Times New Roman"/>
          <w:b/>
          <w:sz w:val="24"/>
          <w:szCs w:val="24"/>
        </w:rPr>
        <w:br w:type="page"/>
      </w:r>
    </w:p>
    <w:p w14:paraId="4C508635" w14:textId="77777777" w:rsidR="00B01D46" w:rsidRDefault="0067013E">
      <w:pPr>
        <w:pStyle w:val="Heading2"/>
      </w:pPr>
      <w:bookmarkStart w:id="2545" w:name="_Toc184273034"/>
      <w:r>
        <w:lastRenderedPageBreak/>
        <w:t>Appendix V: Interview Schedule for Head Medical Librarians</w:t>
      </w:r>
      <w:bookmarkEnd w:id="2539"/>
      <w:bookmarkEnd w:id="2540"/>
      <w:bookmarkEnd w:id="2541"/>
      <w:bookmarkEnd w:id="2542"/>
      <w:bookmarkEnd w:id="2543"/>
      <w:bookmarkEnd w:id="2545"/>
    </w:p>
    <w:p w14:paraId="48398EF9" w14:textId="77777777" w:rsidR="00B01D46" w:rsidRDefault="00B01D46">
      <w:pPr>
        <w:spacing w:after="127" w:line="240" w:lineRule="auto"/>
        <w:jc w:val="center"/>
        <w:rPr>
          <w:rFonts w:ascii="Times New Roman" w:hAnsi="Times New Roman" w:cs="Times New Roman"/>
          <w:sz w:val="24"/>
          <w:szCs w:val="24"/>
        </w:rPr>
      </w:pPr>
    </w:p>
    <w:p w14:paraId="632EB9A0" w14:textId="77777777" w:rsidR="00B01D46" w:rsidRDefault="00B01D46">
      <w:pPr>
        <w:pStyle w:val="Default"/>
      </w:pPr>
    </w:p>
    <w:p w14:paraId="129420CB" w14:textId="77777777" w:rsidR="00B01D46" w:rsidRDefault="0067013E">
      <w:pPr>
        <w:pStyle w:val="Default"/>
        <w:rPr>
          <w:b/>
        </w:rPr>
      </w:pPr>
      <w:r>
        <w:rPr>
          <w:b/>
        </w:rPr>
        <w:t xml:space="preserve">Introduction: </w:t>
      </w:r>
    </w:p>
    <w:p w14:paraId="57BAD447" w14:textId="77777777" w:rsidR="00B01D46" w:rsidRDefault="00B01D46">
      <w:pPr>
        <w:pStyle w:val="Default"/>
      </w:pPr>
    </w:p>
    <w:p w14:paraId="356E7B0A" w14:textId="77777777" w:rsidR="00B01D46" w:rsidRDefault="0067013E">
      <w:pPr>
        <w:pStyle w:val="Default"/>
        <w:jc w:val="both"/>
        <w:rPr>
          <w:b/>
          <w:bCs/>
        </w:rPr>
      </w:pPr>
      <w:r>
        <w:t>My name is Evans M. Momanyi, currently a doctoral in the Department of Library, Records Management and Information Studies, School of Information Sciences student, Moi University, Kenya. I am undertaking a study titled “</w:t>
      </w:r>
      <w:r>
        <w:rPr>
          <w:b/>
        </w:rPr>
        <w:t>Assessment of</w:t>
      </w:r>
      <w:r>
        <w:t xml:space="preserve"> </w:t>
      </w:r>
      <w:r>
        <w:rPr>
          <w:b/>
        </w:rPr>
        <w:t>Information Literacy Skills among Undergraduate Medical Undergraduate Students in Moi University and University of Nairobi.</w:t>
      </w:r>
      <w:r>
        <w:rPr>
          <w:b/>
          <w:bCs/>
        </w:rPr>
        <w:t>”</w:t>
      </w:r>
      <w:r>
        <w:rPr>
          <w:b/>
        </w:rPr>
        <w:t xml:space="preserve"> </w:t>
      </w:r>
      <w:r>
        <w:t>You have been identified to participate in this study. I therefore, request for 15 minutes to respond to this interview schedule.</w:t>
      </w:r>
      <w:r>
        <w:rPr>
          <w:b/>
          <w:bCs/>
        </w:rPr>
        <w:t xml:space="preserve"> </w:t>
      </w:r>
    </w:p>
    <w:p w14:paraId="6A7300E7" w14:textId="77777777" w:rsidR="00B01D46" w:rsidRDefault="0067013E">
      <w:pPr>
        <w:pStyle w:val="NormalWeb"/>
        <w:shd w:val="clear" w:color="auto" w:fill="FFFFFF"/>
        <w:tabs>
          <w:tab w:val="left" w:pos="360"/>
        </w:tabs>
        <w:autoSpaceDE w:val="0"/>
        <w:autoSpaceDN w:val="0"/>
        <w:adjustRightInd w:val="0"/>
        <w:spacing w:before="120" w:after="0"/>
        <w:jc w:val="both"/>
      </w:pPr>
      <w:r>
        <w:t>The study focuses on assessment of information literacy skills of undergraduate medical students in the selected public universities in Kenya,</w:t>
      </w:r>
      <w:r>
        <w:rPr>
          <w:bCs/>
        </w:rPr>
        <w:t xml:space="preserve"> with a view, of proposing a framework to enhance ILS adequacy among undergraduate medical students. </w:t>
      </w:r>
      <w:r>
        <w:t xml:space="preserve">The research will gather data on </w:t>
      </w:r>
      <w:r>
        <w:rPr>
          <w:rFonts w:eastAsia="Calibri"/>
        </w:rPr>
        <w:t xml:space="preserve">the status of information literacy skills </w:t>
      </w:r>
      <w:r>
        <w:t>among medical undergraduate students,  information literacy skills policy and regulations used in supporting ILS to medical undergraduate students,</w:t>
      </w:r>
      <w:r>
        <w:rPr>
          <w:rFonts w:eastAsia="Calibri"/>
        </w:rPr>
        <w:t xml:space="preserve"> the perception of staff and medical undergraduate students towards </w:t>
      </w:r>
      <w:r>
        <w:t>the content and delivery methods of ILS</w:t>
      </w:r>
      <w:r>
        <w:rPr>
          <w:rFonts w:eastAsia="Calibri"/>
        </w:rPr>
        <w:t xml:space="preserve"> , the role that ICT play in promoting the training and learning of information literacy skills among undergraduate medical students and knowledge, skills &amp; training possessed by staff in facilitating ILS among </w:t>
      </w:r>
      <w:r>
        <w:t>medical undergraduate students</w:t>
      </w:r>
    </w:p>
    <w:p w14:paraId="58F688B1" w14:textId="77777777" w:rsidR="00B01D46" w:rsidRDefault="0067013E">
      <w:pPr>
        <w:pStyle w:val="NormalWeb"/>
        <w:shd w:val="clear" w:color="auto" w:fill="FFFFFF"/>
        <w:tabs>
          <w:tab w:val="left" w:pos="360"/>
        </w:tabs>
        <w:autoSpaceDE w:val="0"/>
        <w:autoSpaceDN w:val="0"/>
        <w:adjustRightInd w:val="0"/>
        <w:spacing w:before="120" w:after="0"/>
        <w:jc w:val="both"/>
      </w:pPr>
      <w:r>
        <w:t xml:space="preserve">Your responses will be treated with strict confidentiality, and will only be used for the stated academic purpose. Your contribution is highly valued. Please do not hesitate to contact the researcher for clarification on any aspect of this research.  </w:t>
      </w:r>
    </w:p>
    <w:p w14:paraId="04E6C1ED" w14:textId="77777777" w:rsidR="00B01D46" w:rsidRDefault="00B01D46">
      <w:pPr>
        <w:pStyle w:val="Default"/>
        <w:jc w:val="both"/>
      </w:pPr>
    </w:p>
    <w:p w14:paraId="23AA497C" w14:textId="77777777" w:rsidR="00B01D46" w:rsidRDefault="0067013E">
      <w:pPr>
        <w:pStyle w:val="Default"/>
        <w:jc w:val="both"/>
      </w:pPr>
      <w:r>
        <w:t xml:space="preserve">Thank you in advance for your time and cooperation. </w:t>
      </w:r>
    </w:p>
    <w:p w14:paraId="56D1F037" w14:textId="77777777" w:rsidR="00B01D46" w:rsidRDefault="00B01D46">
      <w:pPr>
        <w:pStyle w:val="Default"/>
        <w:jc w:val="both"/>
      </w:pPr>
    </w:p>
    <w:p w14:paraId="4EF94379" w14:textId="77777777" w:rsidR="00B01D46" w:rsidRDefault="0067013E">
      <w:pPr>
        <w:pStyle w:val="Default"/>
        <w:jc w:val="both"/>
      </w:pPr>
      <w:r>
        <w:rPr>
          <w:b/>
          <w:bCs/>
        </w:rPr>
        <w:t xml:space="preserve">Evans Motari Momanyi </w:t>
      </w:r>
    </w:p>
    <w:p w14:paraId="4B9E5C76" w14:textId="77777777" w:rsidR="00B01D46" w:rsidRDefault="0067013E">
      <w:pPr>
        <w:pStyle w:val="Default"/>
        <w:jc w:val="both"/>
      </w:pPr>
      <w:r>
        <w:rPr>
          <w:b/>
          <w:bCs/>
        </w:rPr>
        <w:t xml:space="preserve">PhD student (Moi University) </w:t>
      </w:r>
    </w:p>
    <w:p w14:paraId="154DFD1A" w14:textId="77777777" w:rsidR="00B01D46" w:rsidRDefault="0067013E">
      <w:pPr>
        <w:pStyle w:val="Default"/>
        <w:jc w:val="both"/>
      </w:pPr>
      <w:r>
        <w:rPr>
          <w:b/>
          <w:bCs/>
        </w:rPr>
        <w:t xml:space="preserve">E-mail: emotari9@gmail.com </w:t>
      </w:r>
    </w:p>
    <w:p w14:paraId="6BF386F0" w14:textId="77777777" w:rsidR="00B01D46" w:rsidRDefault="0067013E">
      <w:pPr>
        <w:pStyle w:val="Default"/>
        <w:jc w:val="both"/>
        <w:rPr>
          <w:b/>
          <w:bCs/>
        </w:rPr>
      </w:pPr>
      <w:r>
        <w:rPr>
          <w:b/>
          <w:bCs/>
        </w:rPr>
        <w:t xml:space="preserve">Mobile No.: +254 725 594005 </w:t>
      </w:r>
    </w:p>
    <w:p w14:paraId="788CA3BD" w14:textId="77777777" w:rsidR="00B01D46" w:rsidRDefault="00B01D46">
      <w:pPr>
        <w:pStyle w:val="Default"/>
        <w:jc w:val="both"/>
      </w:pPr>
    </w:p>
    <w:p w14:paraId="467281EC" w14:textId="77777777" w:rsidR="00B01D46" w:rsidRDefault="00B01D46">
      <w:pPr>
        <w:spacing w:after="122" w:line="240" w:lineRule="auto"/>
        <w:rPr>
          <w:rFonts w:ascii="Times New Roman" w:hAnsi="Times New Roman" w:cs="Times New Roman"/>
          <w:sz w:val="24"/>
          <w:szCs w:val="24"/>
        </w:rPr>
      </w:pPr>
    </w:p>
    <w:p w14:paraId="31EF02BE" w14:textId="77777777" w:rsidR="00B01D46" w:rsidRDefault="00B01D46">
      <w:pPr>
        <w:spacing w:after="122" w:line="240" w:lineRule="auto"/>
        <w:rPr>
          <w:rFonts w:ascii="Times New Roman" w:hAnsi="Times New Roman" w:cs="Times New Roman"/>
          <w:sz w:val="24"/>
          <w:szCs w:val="24"/>
        </w:rPr>
      </w:pPr>
    </w:p>
    <w:p w14:paraId="3948FBDB" w14:textId="77777777" w:rsidR="00B01D46" w:rsidRDefault="00B01D46">
      <w:pPr>
        <w:spacing w:after="122" w:line="240" w:lineRule="auto"/>
        <w:rPr>
          <w:rFonts w:ascii="Times New Roman" w:hAnsi="Times New Roman" w:cs="Times New Roman"/>
          <w:sz w:val="24"/>
          <w:szCs w:val="24"/>
        </w:rPr>
      </w:pPr>
    </w:p>
    <w:p w14:paraId="3FF2C950" w14:textId="77777777" w:rsidR="00B01D46" w:rsidRDefault="0067013E">
      <w:pPr>
        <w:spacing w:after="131" w:line="240" w:lineRule="auto"/>
        <w:ind w:left="-4" w:hanging="10"/>
        <w:rPr>
          <w:rFonts w:ascii="Times New Roman" w:hAnsi="Times New Roman" w:cs="Times New Roman"/>
          <w:sz w:val="24"/>
          <w:szCs w:val="24"/>
        </w:rPr>
      </w:pPr>
      <w:r>
        <w:rPr>
          <w:rFonts w:ascii="Times New Roman" w:hAnsi="Times New Roman" w:cs="Times New Roman"/>
          <w:sz w:val="24"/>
          <w:szCs w:val="24"/>
        </w:rPr>
        <w:t xml:space="preserve">Thank you for your time and contribution to this research.  </w:t>
      </w:r>
    </w:p>
    <w:p w14:paraId="6021EA36" w14:textId="77777777" w:rsidR="00B01D46" w:rsidRDefault="00B01D46">
      <w:pPr>
        <w:spacing w:after="0" w:line="240" w:lineRule="auto"/>
        <w:rPr>
          <w:rFonts w:ascii="Times New Roman" w:hAnsi="Times New Roman" w:cs="Times New Roman"/>
          <w:sz w:val="24"/>
          <w:szCs w:val="24"/>
        </w:rPr>
      </w:pPr>
    </w:p>
    <w:p w14:paraId="102305E4" w14:textId="77777777" w:rsidR="00B01D46" w:rsidRDefault="0067013E">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2AA5C15D" w14:textId="77777777" w:rsidR="00B01D46" w:rsidRDefault="0067013E">
      <w:pPr>
        <w:spacing w:after="131" w:line="36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 xml:space="preserve">A. Biographical information </w:t>
      </w:r>
    </w:p>
    <w:p w14:paraId="33F7D5D7"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Institution</w:t>
      </w:r>
      <w:r>
        <w:rPr>
          <w:rFonts w:ascii="Times New Roman" w:hAnsi="Times New Roman" w:cs="Times New Roman"/>
          <w:b/>
          <w:sz w:val="24"/>
          <w:szCs w:val="24"/>
        </w:rPr>
        <w:t xml:space="preserve"> </w:t>
      </w:r>
      <w:r>
        <w:rPr>
          <w:rFonts w:ascii="Times New Roman" w:hAnsi="Times New Roman" w:cs="Times New Roman"/>
          <w:sz w:val="24"/>
          <w:szCs w:val="24"/>
        </w:rPr>
        <w:t xml:space="preserve">…………………………………………………………………… </w:t>
      </w:r>
      <w:r>
        <w:rPr>
          <w:rFonts w:ascii="Times New Roman" w:hAnsi="Times New Roman" w:cs="Times New Roman"/>
          <w:b/>
          <w:sz w:val="24"/>
          <w:szCs w:val="24"/>
        </w:rPr>
        <w:t xml:space="preserve"> </w:t>
      </w:r>
    </w:p>
    <w:p w14:paraId="45D376C4"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Department…………………………………………………………………</w:t>
      </w:r>
    </w:p>
    <w:p w14:paraId="5C8018FD"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Current designation…………………………………………………</w:t>
      </w:r>
    </w:p>
    <w:p w14:paraId="394B8F4E"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Academic qualifications: [  ] PhD     [  ] Masters    [  ] Bachelors  </w:t>
      </w:r>
    </w:p>
    <w:p w14:paraId="22C584AB"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 xml:space="preserve">Gender:      [  ] Male        [  ] Female                      </w:t>
      </w:r>
    </w:p>
    <w:p w14:paraId="0E7F6C17"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Work experience: [ ]0-5yrs    [ ]5-10yrs    [ ]10-15yrs    [ ]15-20yrss  [  ]over 20yrs</w:t>
      </w:r>
    </w:p>
    <w:p w14:paraId="49626B46"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Field of specialization……………………………………………………………</w:t>
      </w:r>
    </w:p>
    <w:p w14:paraId="5FBA29C1" w14:textId="77777777" w:rsidR="00B01D46" w:rsidRDefault="00B01D46">
      <w:pPr>
        <w:spacing w:after="0" w:line="240" w:lineRule="auto"/>
        <w:rPr>
          <w:rFonts w:ascii="Times New Roman" w:hAnsi="Times New Roman" w:cs="Times New Roman"/>
          <w:sz w:val="24"/>
          <w:szCs w:val="24"/>
        </w:rPr>
      </w:pPr>
    </w:p>
    <w:p w14:paraId="03E0BC57" w14:textId="77777777" w:rsidR="00B01D46" w:rsidRDefault="0067013E">
      <w:pPr>
        <w:spacing w:after="0" w:line="240" w:lineRule="auto"/>
        <w:rPr>
          <w:rFonts w:ascii="Times New Roman" w:hAnsi="Times New Roman" w:cs="Times New Roman"/>
          <w:b/>
          <w:sz w:val="24"/>
          <w:szCs w:val="24"/>
        </w:rPr>
      </w:pPr>
      <w:r>
        <w:rPr>
          <w:rFonts w:ascii="Times New Roman" w:eastAsia="Calibri" w:hAnsi="Times New Roman" w:cs="Times New Roman"/>
          <w:b/>
          <w:sz w:val="24"/>
          <w:szCs w:val="24"/>
        </w:rPr>
        <w:t xml:space="preserve">B. The Status of Information Literacy Skills </w:t>
      </w:r>
      <w:r>
        <w:rPr>
          <w:rFonts w:ascii="Times New Roman" w:hAnsi="Times New Roman" w:cs="Times New Roman"/>
          <w:b/>
          <w:sz w:val="24"/>
          <w:szCs w:val="24"/>
        </w:rPr>
        <w:t>(ILS) Among Medical Undergraduate Students</w:t>
      </w:r>
    </w:p>
    <w:p w14:paraId="5FA6064F" w14:textId="77777777" w:rsidR="00B01D46" w:rsidRDefault="0067013E">
      <w:pPr>
        <w:pStyle w:val="NormalWeb"/>
        <w:shd w:val="clear" w:color="auto" w:fill="FFFFFF"/>
        <w:tabs>
          <w:tab w:val="left" w:pos="360"/>
        </w:tabs>
        <w:autoSpaceDE w:val="0"/>
        <w:autoSpaceDN w:val="0"/>
        <w:adjustRightInd w:val="0"/>
        <w:spacing w:before="120" w:after="0"/>
        <w:ind w:left="851" w:hanging="425"/>
        <w:jc w:val="both"/>
      </w:pPr>
      <w:r>
        <w:t>8. How can you rate the ILS competencies of  the medical Students in your institution?…………………………………………………………………………………………………………………………………………………………………………………………………………………………………………………………………………………………………………………………………………</w:t>
      </w:r>
    </w:p>
    <w:p w14:paraId="7F4CE115" w14:textId="77777777" w:rsidR="00B01D46" w:rsidRDefault="0067013E">
      <w:pPr>
        <w:spacing w:after="131" w:line="360" w:lineRule="auto"/>
        <w:ind w:left="851" w:hanging="425"/>
        <w:rPr>
          <w:rFonts w:ascii="Times New Roman" w:hAnsi="Times New Roman" w:cs="Times New Roman"/>
          <w:sz w:val="24"/>
          <w:szCs w:val="24"/>
        </w:rPr>
      </w:pPr>
      <w:r>
        <w:rPr>
          <w:rFonts w:ascii="Times New Roman" w:hAnsi="Times New Roman" w:cs="Times New Roman"/>
          <w:sz w:val="24"/>
          <w:szCs w:val="24"/>
        </w:rPr>
        <w:t>9 .What role does the library play in enhancing the adequacy of ILS among medical undergraduate students in your institution?...</w:t>
      </w:r>
    </w:p>
    <w:p w14:paraId="4363E168" w14:textId="77777777" w:rsidR="00B01D46" w:rsidRDefault="0067013E">
      <w:pPr>
        <w:spacing w:line="240" w:lineRule="auto"/>
        <w:ind w:left="851"/>
        <w:rPr>
          <w:rFonts w:ascii="Times New Roman" w:hAnsi="Times New Roman" w:cs="Times New Roman"/>
          <w:sz w:val="24"/>
          <w:szCs w:val="24"/>
        </w:rPr>
      </w:pPr>
      <w:r>
        <w:rPr>
          <w:rFonts w:ascii="Times New Roman" w:hAnsi="Times New Roman" w:cs="Times New Roman"/>
          <w:sz w:val="24"/>
          <w:szCs w:val="24"/>
        </w:rPr>
        <w:t>………………………………………………………………………………………………………………………………………………………………………………………………………………………………………………………………………………………………………………………………………………………</w:t>
      </w:r>
    </w:p>
    <w:p w14:paraId="69CB3981" w14:textId="77777777" w:rsidR="00B01D46" w:rsidRDefault="0067013E">
      <w:pPr>
        <w:spacing w:line="360" w:lineRule="auto"/>
        <w:ind w:left="851" w:hanging="425"/>
        <w:rPr>
          <w:rFonts w:ascii="Times New Roman" w:hAnsi="Times New Roman" w:cs="Times New Roman"/>
          <w:sz w:val="24"/>
          <w:szCs w:val="24"/>
        </w:rPr>
      </w:pPr>
      <w:r>
        <w:rPr>
          <w:rFonts w:ascii="Times New Roman" w:hAnsi="Times New Roman" w:cs="Times New Roman"/>
          <w:sz w:val="24"/>
          <w:szCs w:val="24"/>
        </w:rPr>
        <w:t>10. What ILS gaps exist and how can they be adequately addressed?</w:t>
      </w:r>
    </w:p>
    <w:p w14:paraId="346A0B31" w14:textId="77777777" w:rsidR="00B01D46" w:rsidRDefault="0067013E">
      <w:pPr>
        <w:spacing w:line="240" w:lineRule="auto"/>
        <w:ind w:left="851"/>
        <w:rPr>
          <w:rFonts w:ascii="Times New Roman" w:hAnsi="Times New Roman" w:cs="Times New Roman"/>
          <w:sz w:val="24"/>
          <w:szCs w:val="24"/>
        </w:rPr>
      </w:pPr>
      <w:r>
        <w:rPr>
          <w:rFonts w:ascii="Times New Roman" w:hAnsi="Times New Roman" w:cs="Times New Roman"/>
          <w:sz w:val="24"/>
          <w:szCs w:val="24"/>
        </w:rPr>
        <w:t>……………………………………………………………………………………………………………………………………………………………………………………………………………………………………………………………………………………………………………………………………………………</w:t>
      </w:r>
    </w:p>
    <w:p w14:paraId="633C1DE8" w14:textId="77777777" w:rsidR="00B01D46" w:rsidRDefault="00B01D46">
      <w:pPr>
        <w:spacing w:line="240" w:lineRule="auto"/>
        <w:ind w:left="851" w:hanging="131"/>
        <w:rPr>
          <w:rFonts w:ascii="Times New Roman" w:hAnsi="Times New Roman" w:cs="Times New Roman"/>
          <w:sz w:val="24"/>
          <w:szCs w:val="24"/>
        </w:rPr>
      </w:pPr>
    </w:p>
    <w:p w14:paraId="14543596" w14:textId="77777777" w:rsidR="00B01D46" w:rsidRDefault="00B01D46">
      <w:pPr>
        <w:spacing w:line="240" w:lineRule="auto"/>
        <w:ind w:left="851" w:hanging="131"/>
        <w:rPr>
          <w:rFonts w:ascii="Times New Roman" w:hAnsi="Times New Roman" w:cs="Times New Roman"/>
          <w:sz w:val="24"/>
          <w:szCs w:val="24"/>
        </w:rPr>
      </w:pPr>
    </w:p>
    <w:p w14:paraId="7D9868F8" w14:textId="77777777" w:rsidR="00B01D46" w:rsidRDefault="0067013E">
      <w:pPr>
        <w:pStyle w:val="NormalWeb"/>
        <w:shd w:val="clear" w:color="auto" w:fill="FFFFFF"/>
        <w:tabs>
          <w:tab w:val="left" w:pos="0"/>
        </w:tabs>
        <w:autoSpaceDE w:val="0"/>
        <w:autoSpaceDN w:val="0"/>
        <w:adjustRightInd w:val="0"/>
        <w:spacing w:before="120" w:after="0" w:line="360" w:lineRule="auto"/>
        <w:jc w:val="both"/>
      </w:pPr>
      <w:r>
        <w:lastRenderedPageBreak/>
        <w:t xml:space="preserve">C. </w:t>
      </w:r>
      <w:r>
        <w:rPr>
          <w:b/>
        </w:rPr>
        <w:t>Information Literacy Skills Policy and Curriculum Used in Supporting ILS delivery to Medical Undergraduate Students</w:t>
      </w:r>
    </w:p>
    <w:p w14:paraId="5AFFFC1C" w14:textId="77777777" w:rsidR="00B01D46" w:rsidRDefault="0067013E">
      <w:pPr>
        <w:autoSpaceDE w:val="0"/>
        <w:autoSpaceDN w:val="0"/>
        <w:adjustRightInd w:val="0"/>
        <w:spacing w:after="167" w:line="240" w:lineRule="auto"/>
        <w:ind w:left="426" w:hanging="426"/>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Does your institution have a formal information literacy policy and curriculum?</w:t>
      </w:r>
    </w:p>
    <w:p w14:paraId="2977AE7E" w14:textId="77777777" w:rsidR="00B01D46" w:rsidRDefault="0067013E">
      <w:pPr>
        <w:pStyle w:val="ListParagraph"/>
        <w:autoSpaceDE w:val="0"/>
        <w:autoSpaceDN w:val="0"/>
        <w:adjustRightInd w:val="0"/>
        <w:spacing w:after="167" w:line="240" w:lineRule="auto"/>
        <w:ind w:left="426" w:firstLine="0"/>
        <w:jc w:val="left"/>
        <w:rPr>
          <w:szCs w:val="24"/>
        </w:rPr>
      </w:pPr>
      <w:r>
        <w:rPr>
          <w:szCs w:val="24"/>
        </w:rPr>
        <w:t>…………………………………………………………………………………………………………………………………………………………………………………………………………………………………………………………………………………………………………………………………………………………………………</w:t>
      </w:r>
    </w:p>
    <w:p w14:paraId="6F6DD5F6" w14:textId="77777777" w:rsidR="00B01D46" w:rsidRDefault="0067013E">
      <w:pPr>
        <w:spacing w:after="131"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If yes, what areas does the ILS policy cover?</w:t>
      </w:r>
    </w:p>
    <w:p w14:paraId="63B6356D" w14:textId="77777777" w:rsidR="00B01D46" w:rsidRDefault="0067013E">
      <w:pPr>
        <w:spacing w:after="131" w:line="240" w:lineRule="auto"/>
        <w:ind w:left="426"/>
        <w:jc w:val="both"/>
        <w:rPr>
          <w:rFonts w:ascii="Times New Roman" w:hAnsi="Times New Roman" w:cs="Times New Roman"/>
          <w:sz w:val="24"/>
          <w:szCs w:val="24"/>
        </w:rPr>
      </w:pPr>
      <w:r>
        <w:rPr>
          <w:rFonts w:ascii="Times New Roman" w:hAnsi="Times New Roman" w:cs="Times New Roman"/>
          <w:sz w:val="24"/>
          <w:szCs w:val="24"/>
        </w:rPr>
        <w:t>………………………………………………………………………………………………………………………………………………………………………………………………………………………………………………………………………………………………………………………………………………………………………..</w:t>
      </w:r>
    </w:p>
    <w:p w14:paraId="602C8890" w14:textId="77777777" w:rsidR="00B01D46" w:rsidRDefault="0067013E">
      <w:pPr>
        <w:spacing w:after="131" w:line="355" w:lineRule="auto"/>
        <w:ind w:left="426" w:hanging="426"/>
        <w:rPr>
          <w:rFonts w:ascii="Times New Roman" w:hAnsi="Times New Roman" w:cs="Times New Roman"/>
          <w:sz w:val="24"/>
          <w:szCs w:val="24"/>
        </w:rPr>
      </w:pPr>
      <w:r>
        <w:rPr>
          <w:rFonts w:ascii="Times New Roman" w:hAnsi="Times New Roman" w:cs="Times New Roman"/>
          <w:sz w:val="24"/>
          <w:szCs w:val="24"/>
        </w:rPr>
        <w:t>13.  Briefly state the procedure of formulating the ILS policy and curriculum</w:t>
      </w:r>
    </w:p>
    <w:p w14:paraId="277FE0B8" w14:textId="77777777" w:rsidR="00B01D46" w:rsidRDefault="0067013E">
      <w:pPr>
        <w:pStyle w:val="ListParagraph"/>
        <w:spacing w:after="131" w:line="240" w:lineRule="auto"/>
        <w:ind w:left="426" w:firstLine="0"/>
        <w:rPr>
          <w:szCs w:val="24"/>
        </w:rPr>
      </w:pPr>
      <w:r>
        <w:rPr>
          <w:szCs w:val="24"/>
        </w:rPr>
        <w:t>………………………………………………………………………………………………………………………………………………………………………………………………………………………………………………………………………………………………………………………………………………………………………..</w:t>
      </w:r>
    </w:p>
    <w:p w14:paraId="6FDCB59A" w14:textId="77777777" w:rsidR="00B01D46" w:rsidRDefault="0067013E">
      <w:pPr>
        <w:spacing w:after="131"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Comment on the implementation of the ILS policy and curriculum</w:t>
      </w:r>
    </w:p>
    <w:p w14:paraId="012FCF15" w14:textId="77777777" w:rsidR="00B01D46" w:rsidRDefault="0067013E">
      <w:pPr>
        <w:pStyle w:val="ListParagraph"/>
        <w:autoSpaceDE w:val="0"/>
        <w:autoSpaceDN w:val="0"/>
        <w:adjustRightInd w:val="0"/>
        <w:spacing w:after="167" w:line="240" w:lineRule="auto"/>
        <w:ind w:left="426" w:firstLine="0"/>
        <w:jc w:val="left"/>
        <w:rPr>
          <w:rFonts w:eastAsiaTheme="minorHAnsi"/>
          <w:szCs w:val="24"/>
        </w:rPr>
      </w:pPr>
      <w:r>
        <w:rPr>
          <w:rFonts w:eastAsiaTheme="minorHAnsi"/>
          <w:szCs w:val="24"/>
        </w:rPr>
        <w:t>……………………………….</w:t>
      </w:r>
      <w:r>
        <w:rPr>
          <w:szCs w:val="24"/>
        </w:rPr>
        <w:t>…………………………………………………………………………………………………………………………………………………………………………………………………………………………………………………………………………………………………………………………………………</w:t>
      </w:r>
    </w:p>
    <w:p w14:paraId="22280F1B" w14:textId="77777777" w:rsidR="00B01D46" w:rsidRDefault="0067013E">
      <w:pPr>
        <w:spacing w:after="131"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How often is the policy reviewed?</w:t>
      </w:r>
    </w:p>
    <w:p w14:paraId="75D8344E" w14:textId="77777777" w:rsidR="00B01D46" w:rsidRDefault="0067013E">
      <w:pPr>
        <w:spacing w:after="131" w:line="240" w:lineRule="auto"/>
        <w:ind w:left="426"/>
        <w:jc w:val="both"/>
        <w:rPr>
          <w:rFonts w:ascii="Times New Roman" w:hAnsi="Times New Roman" w:cs="Times New Roman"/>
          <w:sz w:val="24"/>
          <w:szCs w:val="24"/>
        </w:rPr>
      </w:pPr>
      <w:r>
        <w:rPr>
          <w:rFonts w:ascii="Times New Roman" w:hAnsi="Times New Roman" w:cs="Times New Roman"/>
          <w:sz w:val="24"/>
          <w:szCs w:val="24"/>
        </w:rPr>
        <w:t>…………………………………………………………………………………………………………………………………………………………………………………………………………………………………………………………………………………………………………………………………………………………………………</w:t>
      </w:r>
    </w:p>
    <w:p w14:paraId="025B9435" w14:textId="77777777" w:rsidR="00B01D46" w:rsidRDefault="0067013E">
      <w:pPr>
        <w:spacing w:after="131"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Comment on the content and methods of delivery of the ILS curriculum in your institution</w:t>
      </w:r>
    </w:p>
    <w:p w14:paraId="0E515481" w14:textId="77777777" w:rsidR="00B01D46" w:rsidRDefault="0067013E">
      <w:pPr>
        <w:pStyle w:val="ListParagraph"/>
        <w:autoSpaceDE w:val="0"/>
        <w:autoSpaceDN w:val="0"/>
        <w:adjustRightInd w:val="0"/>
        <w:spacing w:after="167" w:line="240" w:lineRule="auto"/>
        <w:ind w:left="426" w:firstLine="0"/>
        <w:jc w:val="left"/>
        <w:rPr>
          <w:rFonts w:eastAsiaTheme="minorHAnsi"/>
          <w:szCs w:val="24"/>
        </w:rPr>
      </w:pPr>
      <w:r>
        <w:rPr>
          <w:szCs w:val="24"/>
        </w:rPr>
        <w:t>………………………………………………………………………………………………………………………………………………………………………………………………………………………………………………………………………………………………</w:t>
      </w:r>
      <w:r>
        <w:rPr>
          <w:rFonts w:eastAsiaTheme="minorHAnsi"/>
          <w:szCs w:val="24"/>
        </w:rPr>
        <w:t xml:space="preserve"> ………………………………………………………………………..</w:t>
      </w:r>
    </w:p>
    <w:p w14:paraId="61238286" w14:textId="77777777" w:rsidR="00B01D46" w:rsidRDefault="0067013E">
      <w:pPr>
        <w:autoSpaceDE w:val="0"/>
        <w:autoSpaceDN w:val="0"/>
        <w:adjustRightInd w:val="0"/>
        <w:spacing w:after="167" w:line="240" w:lineRule="auto"/>
        <w:ind w:left="426" w:hanging="426"/>
        <w:rPr>
          <w:rFonts w:ascii="Times New Roman" w:hAnsi="Times New Roman" w:cs="Times New Roman"/>
          <w:sz w:val="24"/>
          <w:szCs w:val="24"/>
        </w:rPr>
      </w:pPr>
      <w:r>
        <w:rPr>
          <w:rFonts w:ascii="Times New Roman" w:hAnsi="Times New Roman" w:cs="Times New Roman"/>
          <w:sz w:val="24"/>
          <w:szCs w:val="24"/>
        </w:rPr>
        <w:lastRenderedPageBreak/>
        <w:t>17.</w:t>
      </w:r>
      <w:r>
        <w:rPr>
          <w:rFonts w:ascii="Times New Roman" w:hAnsi="Times New Roman" w:cs="Times New Roman"/>
          <w:sz w:val="24"/>
          <w:szCs w:val="24"/>
        </w:rPr>
        <w:tab/>
        <w:t xml:space="preserve">What ILS assessment techniques does your institution use </w:t>
      </w:r>
    </w:p>
    <w:p w14:paraId="2A533F39" w14:textId="77777777" w:rsidR="00B01D46" w:rsidRDefault="0067013E">
      <w:pPr>
        <w:pStyle w:val="ListParagraph"/>
        <w:autoSpaceDE w:val="0"/>
        <w:autoSpaceDN w:val="0"/>
        <w:adjustRightInd w:val="0"/>
        <w:spacing w:after="167" w:line="240" w:lineRule="auto"/>
        <w:ind w:left="426" w:firstLine="0"/>
        <w:jc w:val="left"/>
        <w:rPr>
          <w:rFonts w:eastAsiaTheme="minorHAnsi"/>
          <w:szCs w:val="24"/>
        </w:rPr>
      </w:pPr>
      <w:r>
        <w:rPr>
          <w:rFonts w:eastAsiaTheme="minorHAnsi"/>
          <w:szCs w:val="24"/>
        </w:rPr>
        <w:t>....................................................................................................................................................................................................................................................................................................................................................................................................................................................................................................................................................................</w:t>
      </w:r>
    </w:p>
    <w:p w14:paraId="56AD40CD" w14:textId="77777777" w:rsidR="00B01D46" w:rsidRDefault="0067013E">
      <w:pPr>
        <w:autoSpaceDE w:val="0"/>
        <w:autoSpaceDN w:val="0"/>
        <w:adjustRightInd w:val="0"/>
        <w:spacing w:after="167" w:line="240" w:lineRule="auto"/>
        <w:ind w:left="426" w:hanging="426"/>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t>Is the policy and curriculum adequate in enhancing ILS among undergraduate medical students</w:t>
      </w:r>
    </w:p>
    <w:p w14:paraId="4F9BE32B" w14:textId="77777777" w:rsidR="00B01D46" w:rsidRDefault="0067013E">
      <w:pPr>
        <w:pStyle w:val="ListParagraph"/>
        <w:autoSpaceDE w:val="0"/>
        <w:autoSpaceDN w:val="0"/>
        <w:adjustRightInd w:val="0"/>
        <w:spacing w:after="167" w:line="240" w:lineRule="auto"/>
        <w:ind w:left="426" w:firstLine="0"/>
        <w:jc w:val="left"/>
        <w:rPr>
          <w:rFonts w:eastAsiaTheme="minorHAnsi"/>
          <w:szCs w:val="24"/>
        </w:rPr>
      </w:pPr>
      <w:r>
        <w:rPr>
          <w:szCs w:val="24"/>
        </w:rPr>
        <w:t>………………………………………………………………………………………………………………………………………………………………………………………………………………………………………………………………………………………………</w:t>
      </w:r>
      <w:r>
        <w:rPr>
          <w:rFonts w:eastAsiaTheme="minorHAnsi"/>
          <w:szCs w:val="24"/>
        </w:rPr>
        <w:t xml:space="preserve"> …………………………………………………………………………</w:t>
      </w:r>
    </w:p>
    <w:p w14:paraId="2A66DBA3" w14:textId="77777777" w:rsidR="00B01D46" w:rsidRDefault="0067013E">
      <w:pPr>
        <w:pStyle w:val="NormalWeb"/>
        <w:shd w:val="clear" w:color="auto" w:fill="FFFFFF"/>
        <w:tabs>
          <w:tab w:val="left" w:pos="360"/>
        </w:tabs>
        <w:autoSpaceDE w:val="0"/>
        <w:autoSpaceDN w:val="0"/>
        <w:adjustRightInd w:val="0"/>
        <w:spacing w:before="120" w:after="0" w:line="360" w:lineRule="auto"/>
        <w:ind w:left="1080" w:hanging="1260"/>
        <w:jc w:val="both"/>
        <w:rPr>
          <w:rFonts w:eastAsia="Calibri"/>
          <w:b/>
        </w:rPr>
      </w:pPr>
      <w:r>
        <w:rPr>
          <w:b/>
        </w:rPr>
        <w:t>D.</w:t>
      </w:r>
      <w:r>
        <w:rPr>
          <w:rFonts w:eastAsia="Calibri"/>
          <w:b/>
        </w:rPr>
        <w:t xml:space="preserve"> ILS understanding among Medical Undergraduate Students </w:t>
      </w:r>
    </w:p>
    <w:p w14:paraId="4704CF16" w14:textId="77777777" w:rsidR="00B01D46" w:rsidRDefault="0067013E">
      <w:pPr>
        <w:spacing w:after="131" w:line="241" w:lineRule="auto"/>
        <w:ind w:left="426" w:hanging="426"/>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(a) How do students perceive ILS  in  your institution</w:t>
      </w:r>
    </w:p>
    <w:p w14:paraId="1E8954CA" w14:textId="77777777" w:rsidR="00B01D46" w:rsidRDefault="0067013E">
      <w:pPr>
        <w:spacing w:after="131" w:line="241" w:lineRule="auto"/>
        <w:ind w:left="426"/>
        <w:jc w:val="both"/>
        <w:rPr>
          <w:rFonts w:ascii="Times New Roman" w:hAnsi="Times New Roman" w:cs="Times New Roman"/>
          <w:sz w:val="24"/>
          <w:szCs w:val="24"/>
        </w:rPr>
      </w:pPr>
      <w:r>
        <w:rPr>
          <w:rFonts w:ascii="Times New Roman" w:hAnsi="Times New Roman" w:cs="Times New Roman"/>
          <w:sz w:val="24"/>
          <w:szCs w:val="24"/>
        </w:rPr>
        <w:t>………………………………………………………………………………………………………………………………………………………………………………………………………………………………………………………………………………………………………………………………………………………………</w:t>
      </w:r>
    </w:p>
    <w:p w14:paraId="15867C0A" w14:textId="77777777" w:rsidR="00B01D46" w:rsidRDefault="0067013E">
      <w:pPr>
        <w:spacing w:after="131" w:line="241" w:lineRule="auto"/>
        <w:ind w:left="426"/>
        <w:jc w:val="both"/>
        <w:rPr>
          <w:rFonts w:ascii="Times New Roman" w:hAnsi="Times New Roman" w:cs="Times New Roman"/>
          <w:sz w:val="24"/>
          <w:szCs w:val="24"/>
        </w:rPr>
      </w:pPr>
      <w:r>
        <w:rPr>
          <w:rFonts w:ascii="Times New Roman" w:hAnsi="Times New Roman" w:cs="Times New Roman"/>
          <w:sz w:val="24"/>
          <w:szCs w:val="24"/>
        </w:rPr>
        <w:t>(b) What are the reasons for the explanation in question (1a) above?</w:t>
      </w:r>
    </w:p>
    <w:p w14:paraId="63513704" w14:textId="77777777" w:rsidR="00B01D46" w:rsidRDefault="0067013E">
      <w:pPr>
        <w:spacing w:after="131" w:line="241" w:lineRule="auto"/>
        <w:ind w:left="426"/>
        <w:jc w:val="both"/>
        <w:rPr>
          <w:rFonts w:ascii="Times New Roman" w:hAnsi="Times New Roman" w:cs="Times New Roman"/>
          <w:sz w:val="24"/>
          <w:szCs w:val="24"/>
        </w:rPr>
      </w:pPr>
      <w:r>
        <w:rPr>
          <w:rFonts w:ascii="Times New Roman" w:hAnsi="Times New Roman" w:cs="Times New Roman"/>
          <w:sz w:val="24"/>
          <w:szCs w:val="24"/>
        </w:rPr>
        <w:t>………………………………………………………………………………………………………………………………………………………………………………………………………………………………………………………………………………………………………………………………………………………………</w:t>
      </w:r>
    </w:p>
    <w:p w14:paraId="3DB874D0" w14:textId="77777777" w:rsidR="00B01D46" w:rsidRDefault="0067013E">
      <w:pPr>
        <w:spacing w:after="131" w:line="241" w:lineRule="auto"/>
        <w:ind w:left="426" w:hanging="426"/>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t>What is your general view of ILS  programme in your institution? ………………………………………………………………………………………………………………………………………………………………………………………………………………………………………………………………………………………………………………………………………………………………………..</w:t>
      </w:r>
    </w:p>
    <w:p w14:paraId="686619AA" w14:textId="77777777" w:rsidR="00B01D46" w:rsidRDefault="0067013E">
      <w:pPr>
        <w:spacing w:after="131" w:line="241" w:lineRule="auto"/>
        <w:ind w:left="426" w:hanging="426"/>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 xml:space="preserve">What do you think could be done to enhance ILS in your university? </w:t>
      </w:r>
    </w:p>
    <w:p w14:paraId="2FF38140" w14:textId="77777777" w:rsidR="00B01D46" w:rsidRDefault="0067013E">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p>
    <w:p w14:paraId="2BB23CB5" w14:textId="77777777" w:rsidR="00B01D46" w:rsidRDefault="0067013E">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w:t>
      </w:r>
    </w:p>
    <w:p w14:paraId="6FCFB807" w14:textId="77777777" w:rsidR="00B01D46" w:rsidRDefault="0067013E">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w:t>
      </w:r>
    </w:p>
    <w:p w14:paraId="0ED3E14D" w14:textId="77777777" w:rsidR="00B01D46" w:rsidRDefault="0067013E">
      <w:pPr>
        <w:spacing w:after="131" w:line="241" w:lineRule="auto"/>
        <w:ind w:left="426" w:hanging="426"/>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t xml:space="preserve">`What is the evidence of the impact of ILS on Medical undergraduate students? </w:t>
      </w:r>
    </w:p>
    <w:p w14:paraId="71770B14" w14:textId="77777777" w:rsidR="00B01D46" w:rsidRDefault="0067013E">
      <w:pPr>
        <w:spacing w:after="131" w:line="241" w:lineRule="auto"/>
        <w:ind w:left="426" w:hanging="426"/>
        <w:rPr>
          <w:rFonts w:ascii="Times New Roman" w:hAnsi="Times New Roman" w:cs="Times New Roman"/>
          <w:sz w:val="24"/>
          <w:szCs w:val="24"/>
        </w:rPr>
      </w:pPr>
      <w:r>
        <w:rPr>
          <w:rFonts w:ascii="Times New Roman" w:hAnsi="Times New Roman" w:cs="Times New Roman"/>
          <w:sz w:val="24"/>
          <w:szCs w:val="24"/>
        </w:rPr>
        <w:t>(Observable, testable, etc)</w:t>
      </w:r>
    </w:p>
    <w:p w14:paraId="7EF102BC" w14:textId="77777777" w:rsidR="00B01D46" w:rsidRDefault="0067013E">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p>
    <w:p w14:paraId="7F02EBE4" w14:textId="77777777" w:rsidR="00B01D46" w:rsidRDefault="0067013E">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w:t>
      </w:r>
    </w:p>
    <w:p w14:paraId="2E2084F0" w14:textId="77777777" w:rsidR="00B01D46" w:rsidRDefault="0067013E">
      <w:p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w:t>
      </w:r>
    </w:p>
    <w:p w14:paraId="3098AF73" w14:textId="77777777" w:rsidR="00B01D46" w:rsidRDefault="00B01D46">
      <w:pPr>
        <w:spacing w:after="0" w:line="240" w:lineRule="auto"/>
        <w:ind w:left="687" w:hanging="10"/>
        <w:rPr>
          <w:rFonts w:ascii="Times New Roman" w:hAnsi="Times New Roman" w:cs="Times New Roman"/>
          <w:sz w:val="24"/>
          <w:szCs w:val="24"/>
        </w:rPr>
      </w:pPr>
    </w:p>
    <w:p w14:paraId="6C8F9475" w14:textId="77777777" w:rsidR="00B01D46" w:rsidRDefault="0067013E">
      <w:pPr>
        <w:autoSpaceDE w:val="0"/>
        <w:autoSpaceDN w:val="0"/>
        <w:adjustRightInd w:val="0"/>
        <w:spacing w:after="167" w:line="240" w:lineRule="auto"/>
        <w:ind w:left="90"/>
        <w:rPr>
          <w:rFonts w:ascii="Times New Roman" w:hAnsi="Times New Roman" w:cs="Times New Roman"/>
          <w:b/>
          <w:sz w:val="24"/>
          <w:szCs w:val="24"/>
        </w:rPr>
      </w:pPr>
      <w:r>
        <w:rPr>
          <w:rFonts w:ascii="Times New Roman" w:hAnsi="Times New Roman" w:cs="Times New Roman"/>
          <w:b/>
          <w:sz w:val="24"/>
          <w:szCs w:val="24"/>
        </w:rPr>
        <w:lastRenderedPageBreak/>
        <w:t>F. K</w:t>
      </w:r>
      <w:r>
        <w:rPr>
          <w:rFonts w:ascii="Times New Roman" w:eastAsia="Calibri" w:hAnsi="Times New Roman" w:cs="Times New Roman"/>
          <w:b/>
          <w:sz w:val="24"/>
          <w:szCs w:val="24"/>
        </w:rPr>
        <w:t xml:space="preserve">nowledge, Skills and training needed by Staff in Facilitating ILS among </w:t>
      </w:r>
      <w:r>
        <w:rPr>
          <w:rFonts w:ascii="Times New Roman" w:hAnsi="Times New Roman" w:cs="Times New Roman"/>
          <w:b/>
          <w:sz w:val="24"/>
          <w:szCs w:val="24"/>
        </w:rPr>
        <w:t>Medical Undergraduate Students</w:t>
      </w:r>
    </w:p>
    <w:p w14:paraId="5B3F49DC" w14:textId="77777777" w:rsidR="00B01D46" w:rsidRDefault="00B01D46">
      <w:pPr>
        <w:pStyle w:val="NoSpacing"/>
        <w:rPr>
          <w:rFonts w:ascii="Times New Roman" w:hAnsi="Times New Roman" w:cs="Times New Roman"/>
          <w:sz w:val="24"/>
          <w:szCs w:val="24"/>
        </w:rPr>
      </w:pPr>
    </w:p>
    <w:p w14:paraId="2601526B" w14:textId="77777777" w:rsidR="00B01D46" w:rsidRDefault="0067013E">
      <w:pPr>
        <w:pStyle w:val="NoSpacing"/>
        <w:ind w:left="567" w:right="8" w:hanging="567"/>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t xml:space="preserve">Who is responsible for ILS delivery </w:t>
      </w:r>
    </w:p>
    <w:p w14:paraId="1BC39004" w14:textId="77777777" w:rsidR="00B01D46" w:rsidRDefault="0067013E">
      <w:pPr>
        <w:pStyle w:val="NoSpacing"/>
        <w:ind w:left="567" w:right="8" w:firstLine="0"/>
        <w:rPr>
          <w:rFonts w:ascii="Times New Roman" w:hAnsi="Times New Roman" w:cs="Times New Roman"/>
          <w:sz w:val="24"/>
          <w:szCs w:val="24"/>
        </w:rPr>
      </w:pPr>
      <w:r>
        <w:rPr>
          <w:rFonts w:ascii="Times New Roman" w:hAnsi="Times New Roman" w:cs="Times New Roman"/>
          <w:sz w:val="24"/>
          <w:szCs w:val="24"/>
        </w:rPr>
        <w:t>……………………………………………………………………………………………………………………………………………………………………………………</w:t>
      </w:r>
    </w:p>
    <w:p w14:paraId="3878A552" w14:textId="77777777" w:rsidR="00B01D46" w:rsidRDefault="0067013E">
      <w:pPr>
        <w:pStyle w:val="NoSpacing"/>
        <w:ind w:left="567" w:right="8" w:firstLine="0"/>
        <w:rPr>
          <w:rFonts w:ascii="Times New Roman" w:hAnsi="Times New Roman" w:cs="Times New Roman"/>
          <w:sz w:val="24"/>
          <w:szCs w:val="24"/>
        </w:rPr>
      </w:pPr>
      <w:r>
        <w:rPr>
          <w:rFonts w:ascii="Times New Roman" w:hAnsi="Times New Roman" w:cs="Times New Roman"/>
          <w:sz w:val="24"/>
          <w:szCs w:val="24"/>
        </w:rPr>
        <w:t>……………………………………………………………………………………………………………………………………………….........................................................</w:t>
      </w:r>
    </w:p>
    <w:p w14:paraId="076B19A7" w14:textId="77777777" w:rsidR="00B01D46" w:rsidRDefault="0067013E">
      <w:pPr>
        <w:pStyle w:val="NoSpacing"/>
        <w:ind w:left="567" w:right="8" w:hanging="567"/>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t xml:space="preserve">What is the competency level of the library staff and lecturers in enhancing adequacy of  ILS among medical undergraduate students? </w:t>
      </w:r>
    </w:p>
    <w:p w14:paraId="32C3CD7F" w14:textId="77777777" w:rsidR="00B01D46" w:rsidRDefault="0067013E">
      <w:pPr>
        <w:pStyle w:val="NoSpacing"/>
        <w:ind w:left="567" w:right="8" w:hanging="567"/>
        <w:rPr>
          <w:rFonts w:ascii="Times New Roman" w:hAnsi="Times New Roman" w:cs="Times New Roman"/>
          <w:sz w:val="24"/>
          <w:szCs w:val="24"/>
        </w:rPr>
      </w:pPr>
      <w:r>
        <w:rPr>
          <w:rFonts w:ascii="Times New Roman" w:hAnsi="Times New Roman" w:cs="Times New Roman"/>
          <w:sz w:val="24"/>
          <w:szCs w:val="24"/>
        </w:rPr>
        <w:tab/>
        <w:t>…………………………………………………………………………………………………………………………………………………………………………………………………………………………………………………………………………………………………………………………………………………………………………</w:t>
      </w:r>
    </w:p>
    <w:p w14:paraId="1CAF52F6" w14:textId="77777777" w:rsidR="00B01D46" w:rsidRDefault="0067013E">
      <w:pPr>
        <w:pStyle w:val="NoSpacing"/>
        <w:spacing w:line="360" w:lineRule="auto"/>
        <w:ind w:left="567" w:right="8" w:hanging="567"/>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sz w:val="24"/>
          <w:szCs w:val="24"/>
        </w:rPr>
        <w:tab/>
        <w:t>In your view, what needs to be done to enhance the skills of staff facilitating ILS among medical undergraduate students</w:t>
      </w:r>
    </w:p>
    <w:p w14:paraId="0D0E6855" w14:textId="77777777" w:rsidR="00B01D46" w:rsidRDefault="0067013E">
      <w:pPr>
        <w:pStyle w:val="ListParagraph"/>
        <w:spacing w:after="131" w:line="240" w:lineRule="auto"/>
        <w:ind w:left="567" w:firstLine="0"/>
        <w:rPr>
          <w:szCs w:val="24"/>
        </w:rPr>
      </w:pPr>
      <w:r>
        <w:rPr>
          <w:szCs w:val="24"/>
        </w:rPr>
        <w:t>………………………………………………………………………………………………………………………………………………………………………………………………………………………………………………………………………………</w:t>
      </w:r>
    </w:p>
    <w:p w14:paraId="7CC54ADC" w14:textId="77777777" w:rsidR="00B01D46" w:rsidRDefault="0067013E">
      <w:pPr>
        <w:pStyle w:val="NormalWeb"/>
        <w:shd w:val="clear" w:color="auto" w:fill="FFFFFF"/>
        <w:tabs>
          <w:tab w:val="left" w:pos="0"/>
        </w:tabs>
        <w:autoSpaceDE w:val="0"/>
        <w:autoSpaceDN w:val="0"/>
        <w:adjustRightInd w:val="0"/>
        <w:spacing w:line="360" w:lineRule="auto"/>
        <w:jc w:val="both"/>
        <w:rPr>
          <w:b/>
        </w:rPr>
      </w:pPr>
      <w:r>
        <w:rPr>
          <w:b/>
        </w:rPr>
        <w:t>G. R</w:t>
      </w:r>
      <w:r>
        <w:rPr>
          <w:rFonts w:eastAsia="Calibri"/>
          <w:b/>
        </w:rPr>
        <w:t>ole of ICT in Promoting the Training and Learning of Information Literacy Skills among Undergraduate Medical Students</w:t>
      </w:r>
    </w:p>
    <w:p w14:paraId="37D5CCCA" w14:textId="77777777" w:rsidR="00B01D46" w:rsidRDefault="0067013E">
      <w:pPr>
        <w:autoSpaceDE w:val="0"/>
        <w:autoSpaceDN w:val="0"/>
        <w:adjustRightInd w:val="0"/>
        <w:spacing w:after="167" w:line="240" w:lineRule="auto"/>
        <w:ind w:left="426" w:hanging="536"/>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t>How is ICT utilized in enhancing ILS among medical undergraduate students in your institution.</w:t>
      </w:r>
    </w:p>
    <w:p w14:paraId="201E2665" w14:textId="77777777" w:rsidR="00B01D46" w:rsidRDefault="0067013E">
      <w:pPr>
        <w:pStyle w:val="NoSpacing"/>
        <w:ind w:left="426" w:right="8" w:firstLine="0"/>
        <w:rPr>
          <w:rFonts w:ascii="Times New Roman" w:hAnsi="Times New Roman" w:cs="Times New Roman"/>
          <w:sz w:val="24"/>
          <w:szCs w:val="24"/>
        </w:rPr>
      </w:pPr>
      <w:r>
        <w:rPr>
          <w:rFonts w:ascii="Times New Roman" w:hAnsi="Times New Roman" w:cs="Times New Roman"/>
          <w:sz w:val="24"/>
          <w:szCs w:val="24"/>
        </w:rPr>
        <w:t>…………………………………………………………………………………………………………………………………………………………………………………………………………………………………………………………………………………………………………………………………………………………………………</w:t>
      </w:r>
    </w:p>
    <w:p w14:paraId="3FB3AF55" w14:textId="77777777" w:rsidR="00B01D46" w:rsidRDefault="0067013E">
      <w:pPr>
        <w:autoSpaceDE w:val="0"/>
        <w:autoSpaceDN w:val="0"/>
        <w:adjustRightInd w:val="0"/>
        <w:spacing w:after="167" w:line="240" w:lineRule="auto"/>
        <w:ind w:left="426" w:hanging="536"/>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t>What types of ICT tools and equipment do you use for your ILS teaching?</w:t>
      </w:r>
    </w:p>
    <w:p w14:paraId="6B5A2405" w14:textId="77777777" w:rsidR="00B01D46" w:rsidRDefault="0067013E">
      <w:pPr>
        <w:pStyle w:val="NoSpacing"/>
        <w:ind w:left="426" w:right="8" w:firstLine="0"/>
        <w:rPr>
          <w:rFonts w:ascii="Times New Roman" w:hAnsi="Times New Roman" w:cs="Times New Roman"/>
          <w:sz w:val="24"/>
          <w:szCs w:val="24"/>
        </w:rPr>
      </w:pPr>
      <w:r>
        <w:rPr>
          <w:rFonts w:ascii="Times New Roman" w:hAnsi="Times New Roman" w:cs="Times New Roman"/>
          <w:sz w:val="24"/>
          <w:szCs w:val="24"/>
        </w:rPr>
        <w:t>………………………………………………………………………………………………………………………………………………………………………………………………………………………………………………………………………………</w:t>
      </w:r>
    </w:p>
    <w:p w14:paraId="7C24D357" w14:textId="77777777" w:rsidR="00B01D46" w:rsidRDefault="0067013E">
      <w:pPr>
        <w:autoSpaceDE w:val="0"/>
        <w:autoSpaceDN w:val="0"/>
        <w:adjustRightInd w:val="0"/>
        <w:spacing w:after="167" w:line="240" w:lineRule="auto"/>
        <w:ind w:left="426" w:hanging="536"/>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t>What is the level of ICT(s) infrastructure preparedness with regard to ILS learning and training in your institution? ………………………………………………………………………………………………………………………………………………………………………………………………………………………………………………………………………………</w:t>
      </w:r>
    </w:p>
    <w:p w14:paraId="2BCCB6CE" w14:textId="77777777" w:rsidR="00B01D46" w:rsidRDefault="0067013E">
      <w:pPr>
        <w:autoSpaceDE w:val="0"/>
        <w:autoSpaceDN w:val="0"/>
        <w:adjustRightInd w:val="0"/>
        <w:spacing w:after="0" w:line="240" w:lineRule="auto"/>
        <w:ind w:left="426" w:hanging="536"/>
        <w:rPr>
          <w:rFonts w:ascii="Times New Roman" w:hAnsi="Times New Roman" w:cs="Times New Roman"/>
          <w:sz w:val="24"/>
          <w:szCs w:val="24"/>
        </w:rPr>
      </w:pPr>
      <w:r>
        <w:rPr>
          <w:rFonts w:ascii="Times New Roman" w:hAnsi="Times New Roman" w:cs="Times New Roman"/>
          <w:sz w:val="24"/>
          <w:szCs w:val="24"/>
        </w:rPr>
        <w:lastRenderedPageBreak/>
        <w:t>29.</w:t>
      </w:r>
      <w:r>
        <w:rPr>
          <w:rFonts w:ascii="Times New Roman" w:hAnsi="Times New Roman" w:cs="Times New Roman"/>
          <w:sz w:val="24"/>
          <w:szCs w:val="24"/>
        </w:rPr>
        <w:tab/>
        <w:t>What are the success factors of using ICT in your ILS teaching? ……………………………………………………………………………………………………………………………………………………………………………………</w:t>
      </w:r>
    </w:p>
    <w:p w14:paraId="678DBC99" w14:textId="77777777" w:rsidR="00B01D46" w:rsidRDefault="00B01D46">
      <w:pPr>
        <w:pStyle w:val="ListParagraph"/>
        <w:ind w:left="426" w:hanging="536"/>
        <w:rPr>
          <w:szCs w:val="24"/>
        </w:rPr>
      </w:pPr>
    </w:p>
    <w:p w14:paraId="43892986" w14:textId="77777777" w:rsidR="00B01D46" w:rsidRDefault="0067013E">
      <w:pPr>
        <w:ind w:left="426" w:hanging="536"/>
        <w:rPr>
          <w:rFonts w:ascii="Times New Roman" w:hAnsi="Times New Roman" w:cs="Times New Roman"/>
          <w:sz w:val="24"/>
          <w:szCs w:val="24"/>
        </w:rPr>
      </w:pPr>
      <w:r>
        <w:rPr>
          <w:rFonts w:ascii="Times New Roman" w:hAnsi="Times New Roman" w:cs="Times New Roman"/>
          <w:sz w:val="24"/>
          <w:szCs w:val="24"/>
        </w:rPr>
        <w:t>30.</w:t>
      </w:r>
      <w:r>
        <w:rPr>
          <w:rFonts w:ascii="Times New Roman" w:hAnsi="Times New Roman" w:cs="Times New Roman"/>
          <w:sz w:val="24"/>
          <w:szCs w:val="24"/>
        </w:rPr>
        <w:tab/>
        <w:t>What factors hinder ICT integration in ILS utilisation?</w:t>
      </w:r>
    </w:p>
    <w:p w14:paraId="000AE1C2" w14:textId="77777777" w:rsidR="00B01D46" w:rsidRDefault="0067013E">
      <w:pPr>
        <w:spacing w:after="0" w:line="240" w:lineRule="auto"/>
        <w:ind w:left="426" w:hanging="536"/>
        <w:jc w:val="both"/>
        <w:rPr>
          <w:rFonts w:ascii="Times New Roman" w:hAnsi="Times New Roman" w:cs="Times New Roman"/>
          <w:sz w:val="24"/>
          <w:szCs w:val="24"/>
        </w:rPr>
      </w:pPr>
      <w:r>
        <w:rPr>
          <w:rFonts w:ascii="Times New Roman" w:hAnsi="Times New Roman" w:cs="Times New Roman"/>
          <w:sz w:val="24"/>
          <w:szCs w:val="24"/>
        </w:rPr>
        <w:t>…………………………………………………………………………………………</w:t>
      </w:r>
    </w:p>
    <w:p w14:paraId="3C838E6B" w14:textId="77777777" w:rsidR="00B01D46" w:rsidRDefault="0067013E">
      <w:pPr>
        <w:spacing w:after="0" w:line="240" w:lineRule="auto"/>
        <w:ind w:left="426" w:hanging="536"/>
        <w:rPr>
          <w:rFonts w:ascii="Times New Roman" w:hAnsi="Times New Roman" w:cs="Times New Roman"/>
          <w:sz w:val="24"/>
          <w:szCs w:val="24"/>
        </w:rPr>
      </w:pPr>
      <w:r>
        <w:rPr>
          <w:rFonts w:ascii="Times New Roman" w:hAnsi="Times New Roman" w:cs="Times New Roman"/>
          <w:sz w:val="24"/>
          <w:szCs w:val="24"/>
        </w:rPr>
        <w:t>…………………………………………………………………………………………</w:t>
      </w:r>
    </w:p>
    <w:p w14:paraId="1DFB6888" w14:textId="77777777" w:rsidR="00B01D46" w:rsidRDefault="0067013E">
      <w:pPr>
        <w:spacing w:after="0" w:line="240" w:lineRule="auto"/>
        <w:ind w:left="426" w:hanging="536"/>
        <w:rPr>
          <w:rFonts w:ascii="Times New Roman" w:hAnsi="Times New Roman" w:cs="Times New Roman"/>
          <w:sz w:val="24"/>
          <w:szCs w:val="24"/>
        </w:rPr>
      </w:pPr>
      <w:r>
        <w:rPr>
          <w:rFonts w:ascii="Times New Roman" w:hAnsi="Times New Roman" w:cs="Times New Roman"/>
          <w:sz w:val="24"/>
          <w:szCs w:val="24"/>
        </w:rPr>
        <w:t>…………………………………………………………………………………………</w:t>
      </w:r>
    </w:p>
    <w:p w14:paraId="50E5D95C" w14:textId="77777777" w:rsidR="00B01D46" w:rsidRDefault="00B01D46">
      <w:pPr>
        <w:spacing w:after="131" w:line="241" w:lineRule="auto"/>
        <w:rPr>
          <w:rFonts w:ascii="Times New Roman" w:hAnsi="Times New Roman" w:cs="Times New Roman"/>
          <w:sz w:val="24"/>
          <w:szCs w:val="24"/>
        </w:rPr>
      </w:pPr>
    </w:p>
    <w:p w14:paraId="1CD081DB" w14:textId="77777777" w:rsidR="00B01D46" w:rsidRDefault="0067013E">
      <w:pPr>
        <w:spacing w:after="127" w:line="240" w:lineRule="auto"/>
        <w:ind w:left="1"/>
        <w:rPr>
          <w:rFonts w:ascii="Times New Roman" w:hAnsi="Times New Roman" w:cs="Times New Roman"/>
          <w:b/>
          <w:sz w:val="24"/>
          <w:szCs w:val="24"/>
        </w:rPr>
      </w:pPr>
      <w:r>
        <w:rPr>
          <w:rFonts w:ascii="Times New Roman" w:hAnsi="Times New Roman" w:cs="Times New Roman"/>
          <w:b/>
          <w:sz w:val="24"/>
          <w:szCs w:val="24"/>
        </w:rPr>
        <w:t xml:space="preserve">H. Challenges </w:t>
      </w:r>
    </w:p>
    <w:p w14:paraId="06126376" w14:textId="77777777" w:rsidR="00B01D46" w:rsidRDefault="0067013E">
      <w:pPr>
        <w:spacing w:after="131" w:line="241" w:lineRule="auto"/>
        <w:ind w:left="426" w:hanging="568"/>
        <w:jc w:val="both"/>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t xml:space="preserve">What challenges impede effective ILS learning? </w:t>
      </w:r>
    </w:p>
    <w:p w14:paraId="0A7E627D" w14:textId="77777777" w:rsidR="00B01D46" w:rsidRDefault="0067013E">
      <w:pPr>
        <w:spacing w:after="0" w:line="240" w:lineRule="auto"/>
        <w:ind w:left="425"/>
        <w:jc w:val="both"/>
        <w:rPr>
          <w:rFonts w:ascii="Times New Roman" w:hAnsi="Times New Roman" w:cs="Times New Roman"/>
          <w:sz w:val="24"/>
          <w:szCs w:val="24"/>
        </w:rPr>
      </w:pPr>
      <w:r>
        <w:rPr>
          <w:rFonts w:ascii="Times New Roman" w:hAnsi="Times New Roman" w:cs="Times New Roman"/>
          <w:sz w:val="24"/>
          <w:szCs w:val="24"/>
        </w:rPr>
        <w:t>……………………………………………………………………………………</w:t>
      </w:r>
    </w:p>
    <w:p w14:paraId="2D9506DD" w14:textId="77777777" w:rsidR="00B01D46" w:rsidRDefault="0067013E">
      <w:pPr>
        <w:spacing w:after="0" w:line="240" w:lineRule="auto"/>
        <w:ind w:left="425"/>
        <w:rPr>
          <w:rFonts w:ascii="Times New Roman" w:hAnsi="Times New Roman" w:cs="Times New Roman"/>
          <w:sz w:val="24"/>
          <w:szCs w:val="24"/>
        </w:rPr>
      </w:pPr>
      <w:r>
        <w:rPr>
          <w:rFonts w:ascii="Times New Roman" w:hAnsi="Times New Roman" w:cs="Times New Roman"/>
          <w:sz w:val="24"/>
          <w:szCs w:val="24"/>
        </w:rPr>
        <w:t>……………………………………………………………………………………</w:t>
      </w:r>
    </w:p>
    <w:p w14:paraId="493521A1" w14:textId="77777777" w:rsidR="00B01D46" w:rsidRDefault="0067013E">
      <w:pPr>
        <w:spacing w:after="0" w:line="240" w:lineRule="auto"/>
        <w:ind w:left="425"/>
        <w:rPr>
          <w:rFonts w:ascii="Times New Roman" w:hAnsi="Times New Roman" w:cs="Times New Roman"/>
          <w:sz w:val="24"/>
          <w:szCs w:val="24"/>
        </w:rPr>
      </w:pPr>
      <w:r>
        <w:rPr>
          <w:rFonts w:ascii="Times New Roman" w:hAnsi="Times New Roman" w:cs="Times New Roman"/>
          <w:sz w:val="24"/>
          <w:szCs w:val="24"/>
        </w:rPr>
        <w:t>……………………………………………………………………………………</w:t>
      </w:r>
    </w:p>
    <w:p w14:paraId="1657F30F" w14:textId="77777777" w:rsidR="00B01D46" w:rsidRDefault="0067013E">
      <w:pPr>
        <w:spacing w:after="0" w:line="240" w:lineRule="auto"/>
        <w:ind w:left="425" w:hanging="568"/>
        <w:jc w:val="both"/>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t>How do you think the challenges above could be addressed? ……………………………………………………………………………………</w:t>
      </w:r>
    </w:p>
    <w:p w14:paraId="47144A8F" w14:textId="77777777" w:rsidR="00B01D46" w:rsidRDefault="0067013E">
      <w:pPr>
        <w:spacing w:after="0" w:line="240" w:lineRule="auto"/>
        <w:ind w:left="425"/>
        <w:rPr>
          <w:rFonts w:ascii="Times New Roman" w:hAnsi="Times New Roman" w:cs="Times New Roman"/>
          <w:sz w:val="24"/>
          <w:szCs w:val="24"/>
        </w:rPr>
      </w:pPr>
      <w:r>
        <w:rPr>
          <w:rFonts w:ascii="Times New Roman" w:hAnsi="Times New Roman" w:cs="Times New Roman"/>
          <w:sz w:val="24"/>
          <w:szCs w:val="24"/>
        </w:rPr>
        <w:t>……………………………………………………………………………………</w:t>
      </w:r>
    </w:p>
    <w:p w14:paraId="707D2E0E" w14:textId="77777777" w:rsidR="00B01D46" w:rsidRDefault="0067013E">
      <w:pPr>
        <w:spacing w:after="0" w:line="240" w:lineRule="auto"/>
        <w:ind w:left="425" w:hanging="568"/>
        <w:rPr>
          <w:rFonts w:ascii="Times New Roman" w:hAnsi="Times New Roman" w:cs="Times New Roman"/>
          <w:sz w:val="24"/>
          <w:szCs w:val="24"/>
        </w:rPr>
      </w:pPr>
      <w:r>
        <w:rPr>
          <w:rFonts w:ascii="Times New Roman" w:hAnsi="Times New Roman" w:cs="Times New Roman"/>
          <w:sz w:val="24"/>
          <w:szCs w:val="24"/>
        </w:rPr>
        <w:t xml:space="preserve">         ……………………………………………………………………………………</w:t>
      </w:r>
    </w:p>
    <w:p w14:paraId="0D5CD4B0" w14:textId="77777777" w:rsidR="00B01D46" w:rsidRDefault="00B01D46">
      <w:pPr>
        <w:spacing w:after="131" w:line="241" w:lineRule="auto"/>
        <w:ind w:left="-4" w:hanging="10"/>
        <w:rPr>
          <w:rFonts w:ascii="Times New Roman" w:hAnsi="Times New Roman" w:cs="Times New Roman"/>
          <w:sz w:val="24"/>
          <w:szCs w:val="24"/>
        </w:rPr>
      </w:pPr>
    </w:p>
    <w:p w14:paraId="3D581252" w14:textId="77777777" w:rsidR="00B01D46" w:rsidRDefault="00B01D46">
      <w:pPr>
        <w:spacing w:after="131" w:line="241" w:lineRule="auto"/>
        <w:ind w:left="-4" w:hanging="10"/>
        <w:rPr>
          <w:rFonts w:ascii="Times New Roman" w:hAnsi="Times New Roman" w:cs="Times New Roman"/>
          <w:sz w:val="24"/>
          <w:szCs w:val="24"/>
        </w:rPr>
      </w:pPr>
    </w:p>
    <w:p w14:paraId="76C397F9" w14:textId="77777777" w:rsidR="00B01D46" w:rsidRDefault="0067013E">
      <w:pPr>
        <w:spacing w:after="131" w:line="241" w:lineRule="auto"/>
        <w:ind w:left="-4" w:hanging="10"/>
        <w:jc w:val="center"/>
        <w:rPr>
          <w:rFonts w:ascii="Times New Roman" w:hAnsi="Times New Roman" w:cs="Times New Roman"/>
          <w:sz w:val="24"/>
          <w:szCs w:val="24"/>
        </w:rPr>
      </w:pPr>
      <w:r>
        <w:rPr>
          <w:rFonts w:ascii="Times New Roman" w:hAnsi="Times New Roman" w:cs="Times New Roman"/>
          <w:sz w:val="24"/>
          <w:szCs w:val="24"/>
        </w:rPr>
        <w:t>Again, thank you for your time, and offering information for this study.</w:t>
      </w:r>
    </w:p>
    <w:bookmarkEnd w:id="2544"/>
    <w:p w14:paraId="48AA1089" w14:textId="77777777" w:rsidR="00B01D46" w:rsidRDefault="00B01D46">
      <w:pPr>
        <w:rPr>
          <w:rFonts w:ascii="Times New Roman" w:hAnsi="Times New Roman" w:cs="Times New Roman"/>
          <w:sz w:val="24"/>
          <w:szCs w:val="24"/>
        </w:rPr>
      </w:pPr>
    </w:p>
    <w:p w14:paraId="3F4932F5" w14:textId="77777777" w:rsidR="00B01D46" w:rsidRDefault="00B01D46">
      <w:pPr>
        <w:spacing w:after="131" w:line="241" w:lineRule="auto"/>
        <w:ind w:left="-4" w:hanging="10"/>
        <w:rPr>
          <w:rFonts w:ascii="Times New Roman" w:hAnsi="Times New Roman" w:cs="Times New Roman"/>
          <w:sz w:val="24"/>
          <w:szCs w:val="24"/>
        </w:rPr>
      </w:pPr>
    </w:p>
    <w:p w14:paraId="7634BD03" w14:textId="77777777" w:rsidR="00B01D46" w:rsidRDefault="00B01D46">
      <w:pPr>
        <w:spacing w:after="131" w:line="241" w:lineRule="auto"/>
        <w:ind w:left="-4" w:hanging="10"/>
        <w:rPr>
          <w:rFonts w:ascii="Times New Roman" w:hAnsi="Times New Roman" w:cs="Times New Roman"/>
          <w:sz w:val="24"/>
          <w:szCs w:val="24"/>
        </w:rPr>
      </w:pPr>
    </w:p>
    <w:p w14:paraId="60441E63" w14:textId="77777777" w:rsidR="00B01D46" w:rsidRDefault="00B01D46">
      <w:pPr>
        <w:spacing w:after="131" w:line="241" w:lineRule="auto"/>
        <w:ind w:left="-4" w:hanging="10"/>
        <w:rPr>
          <w:rFonts w:ascii="Times New Roman" w:hAnsi="Times New Roman" w:cs="Times New Roman"/>
          <w:sz w:val="24"/>
          <w:szCs w:val="24"/>
        </w:rPr>
      </w:pPr>
    </w:p>
    <w:p w14:paraId="304EB75F" w14:textId="77777777" w:rsidR="00B01D46" w:rsidRDefault="00B01D46">
      <w:pPr>
        <w:spacing w:after="131" w:line="241" w:lineRule="auto"/>
        <w:ind w:left="-4" w:hanging="10"/>
        <w:rPr>
          <w:rFonts w:ascii="Times New Roman" w:hAnsi="Times New Roman" w:cs="Times New Roman"/>
          <w:sz w:val="24"/>
          <w:szCs w:val="24"/>
        </w:rPr>
      </w:pPr>
    </w:p>
    <w:p w14:paraId="56DD9792" w14:textId="77777777" w:rsidR="00B01D46" w:rsidRDefault="00B01D46">
      <w:pPr>
        <w:spacing w:after="131" w:line="241" w:lineRule="auto"/>
        <w:ind w:left="-4" w:hanging="10"/>
        <w:rPr>
          <w:rFonts w:ascii="Times New Roman" w:hAnsi="Times New Roman" w:cs="Times New Roman"/>
          <w:sz w:val="24"/>
          <w:szCs w:val="24"/>
        </w:rPr>
      </w:pPr>
    </w:p>
    <w:p w14:paraId="0E0C90A3" w14:textId="77777777" w:rsidR="00B01D46" w:rsidRDefault="00B01D46">
      <w:pPr>
        <w:spacing w:after="131" w:line="241" w:lineRule="auto"/>
        <w:ind w:left="-4" w:hanging="10"/>
        <w:rPr>
          <w:rFonts w:ascii="Times New Roman" w:hAnsi="Times New Roman" w:cs="Times New Roman"/>
          <w:sz w:val="24"/>
          <w:szCs w:val="24"/>
        </w:rPr>
      </w:pPr>
    </w:p>
    <w:p w14:paraId="13157377" w14:textId="77777777" w:rsidR="00B01D46" w:rsidRDefault="00B01D46">
      <w:pPr>
        <w:spacing w:after="131" w:line="241" w:lineRule="auto"/>
        <w:ind w:left="-4" w:hanging="10"/>
        <w:rPr>
          <w:rFonts w:ascii="Times New Roman" w:hAnsi="Times New Roman" w:cs="Times New Roman"/>
          <w:sz w:val="24"/>
          <w:szCs w:val="24"/>
        </w:rPr>
      </w:pPr>
    </w:p>
    <w:p w14:paraId="38FB6330" w14:textId="77777777" w:rsidR="00B01D46" w:rsidRDefault="0067013E">
      <w:pPr>
        <w:spacing w:after="200" w:line="276" w:lineRule="auto"/>
        <w:rPr>
          <w:rFonts w:ascii="Times New Roman" w:eastAsiaTheme="majorEastAsia" w:hAnsi="Times New Roman" w:cs="Times New Roman"/>
          <w:b/>
          <w:sz w:val="24"/>
          <w:szCs w:val="24"/>
        </w:rPr>
      </w:pPr>
      <w:bookmarkStart w:id="2546" w:name="_Toc165365354"/>
      <w:bookmarkStart w:id="2547" w:name="_Toc165369388"/>
      <w:bookmarkStart w:id="2548" w:name="_Toc165975953"/>
      <w:bookmarkStart w:id="2549" w:name="_Toc165973232"/>
      <w:bookmarkStart w:id="2550" w:name="_Toc165363580"/>
      <w:r>
        <w:rPr>
          <w:rFonts w:ascii="Times New Roman" w:hAnsi="Times New Roman" w:cs="Times New Roman"/>
          <w:b/>
          <w:sz w:val="24"/>
          <w:szCs w:val="24"/>
        </w:rPr>
        <w:br w:type="page"/>
      </w:r>
    </w:p>
    <w:p w14:paraId="1F1902CE" w14:textId="77777777" w:rsidR="00B01D46" w:rsidRDefault="0067013E">
      <w:pPr>
        <w:pStyle w:val="Heading2"/>
      </w:pPr>
      <w:bookmarkStart w:id="2551" w:name="_Toc184273035"/>
      <w:r>
        <w:lastRenderedPageBreak/>
        <w:t>Appendix VI: Request to NACOSTI to Undertake Research</w:t>
      </w:r>
      <w:bookmarkEnd w:id="2546"/>
      <w:bookmarkEnd w:id="2547"/>
      <w:bookmarkEnd w:id="2548"/>
      <w:bookmarkEnd w:id="2549"/>
      <w:bookmarkEnd w:id="2550"/>
      <w:bookmarkEnd w:id="2551"/>
    </w:p>
    <w:p w14:paraId="1D8D4E90" w14:textId="77777777" w:rsidR="00B01D46" w:rsidRDefault="00B01D46">
      <w:pPr>
        <w:rPr>
          <w:rFonts w:ascii="Times New Roman" w:hAnsi="Times New Roman" w:cs="Times New Roman"/>
          <w:sz w:val="24"/>
          <w:szCs w:val="24"/>
        </w:rPr>
      </w:pPr>
    </w:p>
    <w:p w14:paraId="510BA6DB" w14:textId="77777777" w:rsidR="00B01D46" w:rsidRDefault="0067013E">
      <w:pPr>
        <w:spacing w:after="131" w:line="241" w:lineRule="auto"/>
        <w:ind w:left="-4" w:hanging="1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A2A390" wp14:editId="00699DAA">
            <wp:extent cx="5233035" cy="7653020"/>
            <wp:effectExtent l="0" t="0" r="5715" b="5080"/>
            <wp:docPr id="1690065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065119" name="Picture 1"/>
                    <pic:cNvPicPr>
                      <a:picLocks noChangeAspect="1"/>
                    </pic:cNvPicPr>
                  </pic:nvPicPr>
                  <pic:blipFill>
                    <a:blip r:embed="rId60" cstate="print"/>
                    <a:srcRect l="17052" r="7624" b="10196"/>
                    <a:stretch>
                      <a:fillRect/>
                    </a:stretch>
                  </pic:blipFill>
                  <pic:spPr>
                    <a:xfrm>
                      <a:off x="0" y="0"/>
                      <a:ext cx="5240142" cy="7663476"/>
                    </a:xfrm>
                    <a:prstGeom prst="rect">
                      <a:avLst/>
                    </a:prstGeom>
                    <a:ln>
                      <a:noFill/>
                    </a:ln>
                  </pic:spPr>
                </pic:pic>
              </a:graphicData>
            </a:graphic>
          </wp:inline>
        </w:drawing>
      </w:r>
    </w:p>
    <w:p w14:paraId="470CF068" w14:textId="77777777" w:rsidR="00B01D46" w:rsidRDefault="0067013E">
      <w:pPr>
        <w:spacing w:after="200" w:line="276"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566F9F3F" w14:textId="77777777" w:rsidR="00B01D46" w:rsidRDefault="0067013E">
      <w:pPr>
        <w:pStyle w:val="Heading2"/>
      </w:pPr>
      <w:bookmarkStart w:id="2552" w:name="_Toc184273036"/>
      <w:bookmarkStart w:id="2553" w:name="_Toc165365355"/>
      <w:bookmarkStart w:id="2554" w:name="_Toc165363581"/>
      <w:bookmarkStart w:id="2555" w:name="_Toc165975954"/>
      <w:bookmarkStart w:id="2556" w:name="_Toc165369389"/>
      <w:bookmarkStart w:id="2557" w:name="_Toc165973233"/>
      <w:r>
        <w:lastRenderedPageBreak/>
        <w:t>Appendix VII: Authority from NACOSTI to Carry Out Research</w:t>
      </w:r>
      <w:bookmarkEnd w:id="2552"/>
      <w:bookmarkEnd w:id="2553"/>
      <w:bookmarkEnd w:id="2554"/>
      <w:bookmarkEnd w:id="2555"/>
      <w:bookmarkEnd w:id="2556"/>
      <w:bookmarkEnd w:id="2557"/>
    </w:p>
    <w:p w14:paraId="133D0915" w14:textId="77777777" w:rsidR="00B01D46" w:rsidRDefault="00B01D46">
      <w:pPr>
        <w:rPr>
          <w:rFonts w:ascii="Times New Roman" w:hAnsi="Times New Roman" w:cs="Times New Roman"/>
          <w:sz w:val="24"/>
          <w:szCs w:val="24"/>
        </w:rPr>
      </w:pPr>
    </w:p>
    <w:p w14:paraId="27923243" w14:textId="77777777" w:rsidR="00B01D46" w:rsidRDefault="0067013E">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ED227C5" wp14:editId="0F4CA66F">
            <wp:extent cx="5249545" cy="6611620"/>
            <wp:effectExtent l="0" t="0" r="8255" b="0"/>
            <wp:docPr id="1855825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25488" name="Picture 1"/>
                    <pic:cNvPicPr>
                      <a:picLocks noChangeAspect="1"/>
                    </pic:cNvPicPr>
                  </pic:nvPicPr>
                  <pic:blipFill>
                    <a:blip r:embed="rId61" cstate="print"/>
                    <a:stretch>
                      <a:fillRect/>
                    </a:stretch>
                  </pic:blipFill>
                  <pic:spPr>
                    <a:xfrm>
                      <a:off x="0" y="0"/>
                      <a:ext cx="5255920" cy="6619526"/>
                    </a:xfrm>
                    <a:prstGeom prst="rect">
                      <a:avLst/>
                    </a:prstGeom>
                  </pic:spPr>
                </pic:pic>
              </a:graphicData>
            </a:graphic>
          </wp:inline>
        </w:drawing>
      </w:r>
    </w:p>
    <w:p w14:paraId="2E9F00B1" w14:textId="77777777" w:rsidR="00B01D46" w:rsidRDefault="0067013E">
      <w:pPr>
        <w:spacing w:after="0" w:line="240" w:lineRule="auto"/>
        <w:rPr>
          <w:rFonts w:ascii="Times New Roman" w:eastAsiaTheme="majorEastAsia" w:hAnsi="Times New Roman" w:cs="Times New Roman"/>
          <w:sz w:val="24"/>
          <w:szCs w:val="24"/>
        </w:rPr>
      </w:pPr>
      <w:bookmarkStart w:id="2558" w:name="_Toc165973234"/>
      <w:bookmarkStart w:id="2559" w:name="_Toc165369390"/>
      <w:bookmarkStart w:id="2560" w:name="_Toc165975955"/>
      <w:bookmarkStart w:id="2561" w:name="_Toc165363582"/>
      <w:bookmarkStart w:id="2562" w:name="_Toc165365356"/>
      <w:r>
        <w:rPr>
          <w:rFonts w:cs="Times New Roman"/>
          <w:b/>
          <w:szCs w:val="24"/>
        </w:rPr>
        <w:br w:type="page"/>
      </w:r>
    </w:p>
    <w:p w14:paraId="24EA63AA" w14:textId="77777777" w:rsidR="00B01D46" w:rsidRDefault="0067013E">
      <w:pPr>
        <w:pStyle w:val="Heading2"/>
      </w:pPr>
      <w:bookmarkStart w:id="2563" w:name="_Toc184273037"/>
      <w:r>
        <w:lastRenderedPageBreak/>
        <w:t>Appendix VIII: Request To Undertake Research in University of Nairobi</w:t>
      </w:r>
      <w:bookmarkEnd w:id="2558"/>
      <w:bookmarkEnd w:id="2559"/>
      <w:bookmarkEnd w:id="2560"/>
      <w:bookmarkEnd w:id="2561"/>
      <w:bookmarkEnd w:id="2562"/>
      <w:bookmarkEnd w:id="2563"/>
    </w:p>
    <w:p w14:paraId="4EFE30AC" w14:textId="77777777" w:rsidR="00B01D46" w:rsidRDefault="0067013E">
      <w:pPr>
        <w:pStyle w:val="NoSpacing"/>
        <w:ind w:left="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99A78D" wp14:editId="43BD7AAE">
            <wp:extent cx="4862195" cy="8104505"/>
            <wp:effectExtent l="0" t="0" r="0" b="0"/>
            <wp:docPr id="194625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5369" name="Picture 1"/>
                    <pic:cNvPicPr>
                      <a:picLocks noChangeAspect="1"/>
                    </pic:cNvPicPr>
                  </pic:nvPicPr>
                  <pic:blipFill>
                    <a:blip r:embed="rId62" cstate="print"/>
                    <a:srcRect l="14653" r="8625" b="11057"/>
                    <a:stretch>
                      <a:fillRect/>
                    </a:stretch>
                  </pic:blipFill>
                  <pic:spPr>
                    <a:xfrm>
                      <a:off x="0" y="0"/>
                      <a:ext cx="4868207" cy="8114221"/>
                    </a:xfrm>
                    <a:prstGeom prst="rect">
                      <a:avLst/>
                    </a:prstGeom>
                    <a:ln>
                      <a:noFill/>
                    </a:ln>
                  </pic:spPr>
                </pic:pic>
              </a:graphicData>
            </a:graphic>
          </wp:inline>
        </w:drawing>
      </w:r>
    </w:p>
    <w:p w14:paraId="089E0E01" w14:textId="77777777" w:rsidR="00B01D46" w:rsidRDefault="0067013E">
      <w:pPr>
        <w:pStyle w:val="Heading2"/>
      </w:pPr>
      <w:bookmarkStart w:id="2564" w:name="_Toc165975956"/>
      <w:bookmarkStart w:id="2565" w:name="_Toc165365357"/>
      <w:bookmarkStart w:id="2566" w:name="_Toc165369391"/>
      <w:bookmarkStart w:id="2567" w:name="_Toc184273038"/>
      <w:bookmarkStart w:id="2568" w:name="_Toc165973235"/>
      <w:bookmarkStart w:id="2569" w:name="_Toc165363583"/>
      <w:r>
        <w:lastRenderedPageBreak/>
        <w:t>Appendix IX: Authority Letter from University of Nairobi</w:t>
      </w:r>
      <w:bookmarkEnd w:id="2564"/>
      <w:bookmarkEnd w:id="2565"/>
      <w:bookmarkEnd w:id="2566"/>
      <w:bookmarkEnd w:id="2567"/>
      <w:bookmarkEnd w:id="2568"/>
      <w:bookmarkEnd w:id="2569"/>
    </w:p>
    <w:p w14:paraId="328BF5D6" w14:textId="77777777" w:rsidR="00B01D46" w:rsidRDefault="0067013E">
      <w:pPr>
        <w:pStyle w:val="NoSpacing"/>
        <w:ind w:left="0"/>
        <w:jc w:val="left"/>
        <w:rPr>
          <w:rFonts w:ascii="Times New Roman" w:hAnsi="Times New Roman" w:cs="Times New Roman"/>
          <w:b/>
          <w:bCs/>
          <w:sz w:val="24"/>
          <w:szCs w:val="24"/>
        </w:rPr>
      </w:pPr>
      <w:r>
        <w:rPr>
          <w:rFonts w:ascii="Times New Roman" w:hAnsi="Times New Roman" w:cs="Times New Roman"/>
          <w:noProof/>
          <w:sz w:val="24"/>
          <w:szCs w:val="24"/>
        </w:rPr>
        <w:drawing>
          <wp:inline distT="0" distB="0" distL="0" distR="0" wp14:anchorId="5718305D" wp14:editId="560440BE">
            <wp:extent cx="5122545" cy="7357110"/>
            <wp:effectExtent l="0" t="0" r="1905" b="0"/>
            <wp:docPr id="1612491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491356"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l="4997" t="5325" r="10323" b="8290"/>
                    <a:stretch>
                      <a:fillRect/>
                    </a:stretch>
                  </pic:blipFill>
                  <pic:spPr>
                    <a:xfrm>
                      <a:off x="0" y="0"/>
                      <a:ext cx="5137854" cy="7379303"/>
                    </a:xfrm>
                    <a:prstGeom prst="rect">
                      <a:avLst/>
                    </a:prstGeom>
                    <a:noFill/>
                    <a:ln>
                      <a:noFill/>
                    </a:ln>
                  </pic:spPr>
                </pic:pic>
              </a:graphicData>
            </a:graphic>
          </wp:inline>
        </w:drawing>
      </w:r>
    </w:p>
    <w:p w14:paraId="3E62D26F" w14:textId="77777777" w:rsidR="00B01D46" w:rsidRDefault="00B01D46">
      <w:pPr>
        <w:pStyle w:val="NoSpacing"/>
        <w:rPr>
          <w:rFonts w:ascii="Times New Roman" w:hAnsi="Times New Roman" w:cs="Times New Roman"/>
          <w:sz w:val="24"/>
          <w:szCs w:val="24"/>
        </w:rPr>
      </w:pPr>
    </w:p>
    <w:p w14:paraId="702FAEEF" w14:textId="77777777" w:rsidR="00B01D46" w:rsidRDefault="00B01D46">
      <w:pPr>
        <w:spacing w:line="480" w:lineRule="auto"/>
        <w:jc w:val="both"/>
        <w:rPr>
          <w:rFonts w:ascii="Times New Roman" w:hAnsi="Times New Roman" w:cs="Times New Roman"/>
          <w:sz w:val="24"/>
          <w:szCs w:val="24"/>
        </w:rPr>
      </w:pPr>
    </w:p>
    <w:p w14:paraId="7056F305" w14:textId="77777777" w:rsidR="00B01D46" w:rsidRDefault="0067013E">
      <w:pPr>
        <w:pStyle w:val="Heading2"/>
      </w:pPr>
      <w:bookmarkStart w:id="2570" w:name="_Toc184273039"/>
      <w:bookmarkStart w:id="2571" w:name="_Toc165369392"/>
      <w:bookmarkStart w:id="2572" w:name="_Toc165365358"/>
      <w:bookmarkStart w:id="2573" w:name="_Toc165363584"/>
      <w:bookmarkStart w:id="2574" w:name="_Toc165975957"/>
      <w:bookmarkStart w:id="2575" w:name="_Toc165973236"/>
      <w:r>
        <w:lastRenderedPageBreak/>
        <w:t>Appendix X: Request to Undertake Research in Moi University</w:t>
      </w:r>
      <w:bookmarkEnd w:id="2570"/>
    </w:p>
    <w:p w14:paraId="52B5EBBE" w14:textId="77777777" w:rsidR="00B01D46" w:rsidRDefault="0067013E">
      <w:pPr>
        <w:pStyle w:val="NoSpacing"/>
      </w:pPr>
      <w:r>
        <w:t xml:space="preserve"> </w:t>
      </w:r>
      <w:r>
        <w:rPr>
          <w:noProof/>
        </w:rPr>
        <w:drawing>
          <wp:inline distT="0" distB="0" distL="0" distR="0" wp14:anchorId="7C349482" wp14:editId="0832371E">
            <wp:extent cx="5092065" cy="8189595"/>
            <wp:effectExtent l="0" t="0" r="0" b="1905"/>
            <wp:docPr id="168209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99656" name="Picture 1"/>
                    <pic:cNvPicPr>
                      <a:picLocks noChangeAspect="1"/>
                    </pic:cNvPicPr>
                  </pic:nvPicPr>
                  <pic:blipFill>
                    <a:blip r:embed="rId64" cstate="print"/>
                    <a:srcRect l="15449" r="8335" b="10309"/>
                    <a:stretch>
                      <a:fillRect/>
                    </a:stretch>
                  </pic:blipFill>
                  <pic:spPr>
                    <a:xfrm>
                      <a:off x="0" y="0"/>
                      <a:ext cx="5101726" cy="8205052"/>
                    </a:xfrm>
                    <a:prstGeom prst="rect">
                      <a:avLst/>
                    </a:prstGeom>
                    <a:ln>
                      <a:noFill/>
                    </a:ln>
                  </pic:spPr>
                </pic:pic>
              </a:graphicData>
            </a:graphic>
          </wp:inline>
        </w:drawing>
      </w:r>
      <w:bookmarkEnd w:id="2571"/>
      <w:bookmarkEnd w:id="2572"/>
      <w:bookmarkEnd w:id="2573"/>
      <w:bookmarkEnd w:id="2574"/>
      <w:bookmarkEnd w:id="2575"/>
    </w:p>
    <w:p w14:paraId="2821CBA4" w14:textId="77777777" w:rsidR="00B01D46" w:rsidRDefault="0067013E">
      <w:pPr>
        <w:pStyle w:val="Heading2"/>
      </w:pPr>
      <w:r>
        <w:br w:type="page"/>
      </w:r>
      <w:bookmarkStart w:id="2576" w:name="_Toc184273040"/>
      <w:r>
        <w:lastRenderedPageBreak/>
        <w:t>Appendix XI: Plagiarism Awareness Certificate</w:t>
      </w:r>
      <w:bookmarkEnd w:id="2576"/>
    </w:p>
    <w:p w14:paraId="338E1078" w14:textId="77777777" w:rsidR="00B01D46" w:rsidRDefault="0067013E">
      <w:pPr>
        <w:rPr>
          <w:rFonts w:ascii="Times New Roman" w:hAnsi="Times New Roman" w:cs="Times New Roman"/>
          <w:sz w:val="24"/>
          <w:szCs w:val="24"/>
        </w:rPr>
      </w:pPr>
      <w:r>
        <w:rPr>
          <w:rFonts w:ascii="Times New Roman" w:hAnsi="Times New Roman" w:cs="Times New Roman"/>
          <w:sz w:val="24"/>
          <w:szCs w:val="24"/>
        </w:rPr>
        <w:object w:dxaOrig="9180" w:dyaOrig="11880" w14:anchorId="09791E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65" o:title=""/>
          </v:shape>
          <o:OLEObject Type="Embed" ProgID="Acrobat.Document.DC" ShapeID="_x0000_i1025" DrawAspect="Content" ObjectID="_1800856574" r:id="rId66"/>
        </w:object>
      </w:r>
    </w:p>
    <w:sectPr w:rsidR="00B01D46">
      <w:pgSz w:w="11909" w:h="16834"/>
      <w:pgMar w:top="1440" w:right="1584" w:bottom="1440" w:left="21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D3DD9" w14:textId="77777777" w:rsidR="00FE757F" w:rsidRDefault="00FE757F">
      <w:pPr>
        <w:spacing w:line="240" w:lineRule="auto"/>
      </w:pPr>
      <w:r>
        <w:separator/>
      </w:r>
    </w:p>
  </w:endnote>
  <w:endnote w:type="continuationSeparator" w:id="0">
    <w:p w14:paraId="6C85906B" w14:textId="77777777" w:rsidR="00FE757F" w:rsidRDefault="00FE75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81FAF" w14:textId="77777777" w:rsidR="00FE757F" w:rsidRDefault="00FE757F">
      <w:pPr>
        <w:spacing w:after="0"/>
      </w:pPr>
      <w:r>
        <w:separator/>
      </w:r>
    </w:p>
  </w:footnote>
  <w:footnote w:type="continuationSeparator" w:id="0">
    <w:p w14:paraId="37D670A1" w14:textId="77777777" w:rsidR="00FE757F" w:rsidRDefault="00FE757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5772385"/>
    </w:sdtPr>
    <w:sdtEndPr/>
    <w:sdtContent>
      <w:p w14:paraId="56B82F8D" w14:textId="6DE3BE9B" w:rsidR="00B01D46" w:rsidRDefault="0067013E">
        <w:pPr>
          <w:pStyle w:val="Header"/>
          <w:ind w:right="-264"/>
          <w:jc w:val="right"/>
        </w:pPr>
        <w:r>
          <w:fldChar w:fldCharType="begin"/>
        </w:r>
        <w:r>
          <w:instrText xml:space="preserve"> PAGE   \* MERGEFORMAT </w:instrText>
        </w:r>
        <w:r>
          <w:fldChar w:fldCharType="separate"/>
        </w:r>
        <w:r w:rsidR="000A14FA">
          <w:rPr>
            <w:noProof/>
          </w:rPr>
          <w:t>ii</w:t>
        </w:r>
        <w:r>
          <w:fldChar w:fldCharType="end"/>
        </w:r>
      </w:p>
    </w:sdtContent>
  </w:sdt>
  <w:p w14:paraId="73052835" w14:textId="77777777" w:rsidR="00B01D46" w:rsidRDefault="00B01D46">
    <w:pPr>
      <w:pStyle w:val="Header"/>
      <w:jc w:val="right"/>
      <w:rPr>
        <w:rFonts w:ascii="Times New Roman" w:hAnsi="Times New Roman" w:cs="Times New Roman"/>
        <w:sz w:val="24"/>
        <w:szCs w:val="24"/>
      </w:rPr>
    </w:pPr>
  </w:p>
  <w:p w14:paraId="27E4805A" w14:textId="77777777" w:rsidR="00B01D46" w:rsidRDefault="00B01D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F388C" w14:textId="5F70D0FC" w:rsidR="00B01D46" w:rsidRDefault="0067013E">
    <w:pPr>
      <w:pStyle w:val="Header"/>
      <w:ind w:right="-264"/>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0A14FA">
      <w:rPr>
        <w:rFonts w:ascii="Times New Roman" w:hAnsi="Times New Roman" w:cs="Times New Roman"/>
        <w:noProof/>
        <w:sz w:val="24"/>
        <w:szCs w:val="24"/>
      </w:rPr>
      <w:t>2</w:t>
    </w:r>
    <w:r>
      <w:rPr>
        <w:rFonts w:ascii="Times New Roman" w:hAnsi="Times New Roman" w:cs="Times New Roman"/>
        <w:sz w:val="24"/>
        <w:szCs w:val="24"/>
      </w:rPr>
      <w:fldChar w:fldCharType="end"/>
    </w:r>
  </w:p>
  <w:p w14:paraId="51A93F6E" w14:textId="77777777" w:rsidR="00B01D46" w:rsidRDefault="00B01D46">
    <w:pPr>
      <w:pStyle w:val="Header"/>
      <w:jc w:val="right"/>
      <w:rPr>
        <w:rFonts w:ascii="Times New Roman" w:hAnsi="Times New Roman" w:cs="Times New Roman"/>
        <w:sz w:val="24"/>
        <w:szCs w:val="24"/>
      </w:rPr>
    </w:pPr>
  </w:p>
  <w:p w14:paraId="64F3405E" w14:textId="77777777" w:rsidR="00B01D46" w:rsidRDefault="00B01D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50D2E"/>
    <w:multiLevelType w:val="multilevel"/>
    <w:tmpl w:val="01850D2E"/>
    <w:lvl w:ilvl="0">
      <w:start w:val="1"/>
      <w:numFmt w:val="decimal"/>
      <w:lvlText w:val="%1."/>
      <w:lvlJc w:val="left"/>
      <w:pPr>
        <w:ind w:left="720" w:hanging="360"/>
      </w:pPr>
      <w:rPr>
        <w:rFonts w:hint="default"/>
      </w:rPr>
    </w:lvl>
    <w:lvl w:ilvl="1">
      <w:start w:val="4"/>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B17171"/>
    <w:multiLevelType w:val="multilevel"/>
    <w:tmpl w:val="02B1717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F9468C"/>
    <w:multiLevelType w:val="multilevel"/>
    <w:tmpl w:val="05F9468C"/>
    <w:lvl w:ilvl="0">
      <w:start w:val="1"/>
      <w:numFmt w:val="decimal"/>
      <w:lvlText w:val="%1."/>
      <w:lvlJc w:val="left"/>
      <w:pPr>
        <w:ind w:left="720" w:hanging="360"/>
      </w:pPr>
      <w:rPr>
        <w:rFonts w:hint="default"/>
      </w:rPr>
    </w:lvl>
    <w:lvl w:ilvl="1">
      <w:start w:val="4"/>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5C5B1D"/>
    <w:multiLevelType w:val="multilevel"/>
    <w:tmpl w:val="175C5B1D"/>
    <w:lvl w:ilvl="0">
      <w:start w:val="1"/>
      <w:numFmt w:val="decimal"/>
      <w:lvlText w:val="%1."/>
      <w:lvlJc w:val="left"/>
      <w:pPr>
        <w:ind w:left="360" w:hanging="360"/>
      </w:p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FEE1525"/>
    <w:multiLevelType w:val="multilevel"/>
    <w:tmpl w:val="1FEE15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4F0D46"/>
    <w:multiLevelType w:val="hybridMultilevel"/>
    <w:tmpl w:val="E17270CE"/>
    <w:lvl w:ilvl="0" w:tplc="7EC48ACA">
      <w:numFmt w:val="bullet"/>
      <w:lvlText w:val=""/>
      <w:lvlJc w:val="left"/>
      <w:pPr>
        <w:ind w:left="345" w:hanging="360"/>
      </w:pPr>
      <w:rPr>
        <w:rFonts w:ascii="Symbol" w:eastAsia="Times New Roman" w:hAnsi="Symbol" w:cs="Times New Roman"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6" w15:restartNumberingAfterBreak="0">
    <w:nsid w:val="30F8482D"/>
    <w:multiLevelType w:val="multilevel"/>
    <w:tmpl w:val="30F8482D"/>
    <w:lvl w:ilvl="0">
      <w:start w:val="6"/>
      <w:numFmt w:val="decimal"/>
      <w:lvlText w:val="%1."/>
      <w:lvlJc w:val="left"/>
      <w:pPr>
        <w:ind w:left="1135" w:firstLine="0"/>
      </w:pPr>
      <w:rPr>
        <w:rFonts w:ascii="Times New Roman" w:eastAsia="Times New Roman" w:hAnsi="Times New Roman" w:cs="Times New Roman" w:hint="default"/>
        <w:b w:val="0"/>
        <w:i w:val="0"/>
        <w:strike w:val="0"/>
        <w:dstrike w:val="0"/>
        <w:color w:val="000000"/>
        <w:sz w:val="23"/>
        <w:u w:val="none" w:color="000000"/>
        <w:vertAlign w:val="baseline"/>
      </w:rPr>
    </w:lvl>
    <w:lvl w:ilvl="1">
      <w:start w:val="1"/>
      <w:numFmt w:val="lowerLetter"/>
      <w:lvlText w:val="%2."/>
      <w:lvlJc w:val="left"/>
      <w:pPr>
        <w:ind w:left="2467" w:hanging="360"/>
      </w:pPr>
      <w:rPr>
        <w:rFonts w:hint="default"/>
      </w:rPr>
    </w:lvl>
    <w:lvl w:ilvl="2">
      <w:start w:val="1"/>
      <w:numFmt w:val="lowerRoman"/>
      <w:lvlText w:val="%3."/>
      <w:lvlJc w:val="right"/>
      <w:pPr>
        <w:ind w:left="3187" w:hanging="180"/>
      </w:pPr>
      <w:rPr>
        <w:rFonts w:hint="default"/>
      </w:rPr>
    </w:lvl>
    <w:lvl w:ilvl="3">
      <w:start w:val="1"/>
      <w:numFmt w:val="decimal"/>
      <w:lvlText w:val="%4."/>
      <w:lvlJc w:val="left"/>
      <w:pPr>
        <w:ind w:left="3907" w:hanging="360"/>
      </w:pPr>
      <w:rPr>
        <w:rFonts w:hint="default"/>
      </w:rPr>
    </w:lvl>
    <w:lvl w:ilvl="4">
      <w:start w:val="1"/>
      <w:numFmt w:val="lowerLetter"/>
      <w:lvlText w:val="%5."/>
      <w:lvlJc w:val="left"/>
      <w:pPr>
        <w:ind w:left="4627" w:hanging="360"/>
      </w:pPr>
      <w:rPr>
        <w:rFonts w:hint="default"/>
      </w:rPr>
    </w:lvl>
    <w:lvl w:ilvl="5">
      <w:start w:val="1"/>
      <w:numFmt w:val="lowerRoman"/>
      <w:lvlText w:val="%6."/>
      <w:lvlJc w:val="right"/>
      <w:pPr>
        <w:ind w:left="5347" w:hanging="180"/>
      </w:pPr>
      <w:rPr>
        <w:rFonts w:hint="default"/>
      </w:rPr>
    </w:lvl>
    <w:lvl w:ilvl="6">
      <w:start w:val="1"/>
      <w:numFmt w:val="decimal"/>
      <w:lvlText w:val="%7."/>
      <w:lvlJc w:val="left"/>
      <w:pPr>
        <w:ind w:left="6067" w:hanging="360"/>
      </w:pPr>
      <w:rPr>
        <w:rFonts w:hint="default"/>
      </w:rPr>
    </w:lvl>
    <w:lvl w:ilvl="7">
      <w:start w:val="1"/>
      <w:numFmt w:val="lowerLetter"/>
      <w:lvlText w:val="%8."/>
      <w:lvlJc w:val="left"/>
      <w:pPr>
        <w:ind w:left="6787" w:hanging="360"/>
      </w:pPr>
      <w:rPr>
        <w:rFonts w:hint="default"/>
      </w:rPr>
    </w:lvl>
    <w:lvl w:ilvl="8">
      <w:start w:val="1"/>
      <w:numFmt w:val="lowerRoman"/>
      <w:lvlText w:val="%9."/>
      <w:lvlJc w:val="right"/>
      <w:pPr>
        <w:ind w:left="7507" w:hanging="180"/>
      </w:pPr>
      <w:rPr>
        <w:rFonts w:hint="default"/>
      </w:rPr>
    </w:lvl>
  </w:abstractNum>
  <w:abstractNum w:abstractNumId="7" w15:restartNumberingAfterBreak="0">
    <w:nsid w:val="395D6837"/>
    <w:multiLevelType w:val="multilevel"/>
    <w:tmpl w:val="395D6837"/>
    <w:lvl w:ilvl="0">
      <w:start w:val="1"/>
      <w:numFmt w:val="decimal"/>
      <w:lvlText w:val="%1."/>
      <w:lvlJc w:val="left"/>
      <w:pPr>
        <w:ind w:left="67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1">
      <w:start w:val="1"/>
      <w:numFmt w:val="lowerLetter"/>
      <w:lvlText w:val="%2)"/>
      <w:lvlJc w:val="left"/>
      <w:pPr>
        <w:ind w:left="1028"/>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2">
      <w:start w:val="1"/>
      <w:numFmt w:val="lowerRoman"/>
      <w:lvlText w:val="%3"/>
      <w:lvlJc w:val="left"/>
      <w:pPr>
        <w:ind w:left="175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3">
      <w:start w:val="1"/>
      <w:numFmt w:val="decimal"/>
      <w:lvlText w:val="%4"/>
      <w:lvlJc w:val="left"/>
      <w:pPr>
        <w:ind w:left="247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4">
      <w:start w:val="1"/>
      <w:numFmt w:val="lowerLetter"/>
      <w:lvlText w:val="%5"/>
      <w:lvlJc w:val="left"/>
      <w:pPr>
        <w:ind w:left="319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5">
      <w:start w:val="1"/>
      <w:numFmt w:val="lowerRoman"/>
      <w:lvlText w:val="%6"/>
      <w:lvlJc w:val="left"/>
      <w:pPr>
        <w:ind w:left="391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6">
      <w:start w:val="1"/>
      <w:numFmt w:val="decimal"/>
      <w:lvlText w:val="%7"/>
      <w:lvlJc w:val="left"/>
      <w:pPr>
        <w:ind w:left="463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7">
      <w:start w:val="1"/>
      <w:numFmt w:val="lowerLetter"/>
      <w:lvlText w:val="%8"/>
      <w:lvlJc w:val="left"/>
      <w:pPr>
        <w:ind w:left="535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8">
      <w:start w:val="1"/>
      <w:numFmt w:val="lowerRoman"/>
      <w:lvlText w:val="%9"/>
      <w:lvlJc w:val="left"/>
      <w:pPr>
        <w:ind w:left="607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abstractNum>
  <w:abstractNum w:abstractNumId="8" w15:restartNumberingAfterBreak="0">
    <w:nsid w:val="3A871B4C"/>
    <w:multiLevelType w:val="multilevel"/>
    <w:tmpl w:val="3A871B4C"/>
    <w:lvl w:ilvl="0">
      <w:start w:val="11"/>
      <w:numFmt w:val="decimal"/>
      <w:lvlText w:val="%1."/>
      <w:lvlJc w:val="left"/>
      <w:pPr>
        <w:ind w:left="677" w:firstLine="0"/>
      </w:pPr>
      <w:rPr>
        <w:rFonts w:ascii="Times New Roman" w:eastAsia="Times New Roman" w:hAnsi="Times New Roman" w:cs="Times New Roman" w:hint="default"/>
        <w:b w:val="0"/>
        <w:i w:val="0"/>
        <w:strike w:val="0"/>
        <w:dstrike w:val="0"/>
        <w:color w:val="000000"/>
        <w:sz w:val="23"/>
        <w:u w:val="none" w:color="000000"/>
        <w:vertAlign w:val="baseline"/>
      </w:rPr>
    </w:lvl>
    <w:lvl w:ilvl="1">
      <w:start w:val="1"/>
      <w:numFmt w:val="lowerLetter"/>
      <w:lvlText w:val="%2)"/>
      <w:lvlJc w:val="left"/>
      <w:pPr>
        <w:ind w:left="1028" w:firstLine="0"/>
      </w:pPr>
      <w:rPr>
        <w:rFonts w:ascii="Times New Roman" w:eastAsia="Times New Roman" w:hAnsi="Times New Roman" w:cs="Times New Roman" w:hint="default"/>
        <w:b w:val="0"/>
        <w:i w:val="0"/>
        <w:strike w:val="0"/>
        <w:dstrike w:val="0"/>
        <w:color w:val="000000"/>
        <w:sz w:val="23"/>
        <w:u w:val="none" w:color="000000"/>
        <w:vertAlign w:val="baseline"/>
      </w:rPr>
    </w:lvl>
    <w:lvl w:ilvl="2">
      <w:start w:val="1"/>
      <w:numFmt w:val="lowerRoman"/>
      <w:lvlText w:val="%3"/>
      <w:lvlJc w:val="left"/>
      <w:pPr>
        <w:ind w:left="1757" w:firstLine="0"/>
      </w:pPr>
      <w:rPr>
        <w:rFonts w:ascii="Times New Roman" w:eastAsia="Times New Roman" w:hAnsi="Times New Roman" w:cs="Times New Roman" w:hint="default"/>
        <w:b w:val="0"/>
        <w:i w:val="0"/>
        <w:strike w:val="0"/>
        <w:dstrike w:val="0"/>
        <w:color w:val="000000"/>
        <w:sz w:val="23"/>
        <w:u w:val="none" w:color="000000"/>
        <w:vertAlign w:val="baseline"/>
      </w:rPr>
    </w:lvl>
    <w:lvl w:ilvl="3">
      <w:start w:val="1"/>
      <w:numFmt w:val="decimal"/>
      <w:lvlText w:val="%4"/>
      <w:lvlJc w:val="left"/>
      <w:pPr>
        <w:ind w:left="2477" w:firstLine="0"/>
      </w:pPr>
      <w:rPr>
        <w:rFonts w:ascii="Times New Roman" w:eastAsia="Times New Roman" w:hAnsi="Times New Roman" w:cs="Times New Roman" w:hint="default"/>
        <w:b w:val="0"/>
        <w:i w:val="0"/>
        <w:strike w:val="0"/>
        <w:dstrike w:val="0"/>
        <w:color w:val="000000"/>
        <w:sz w:val="23"/>
        <w:u w:val="none" w:color="000000"/>
        <w:vertAlign w:val="baseline"/>
      </w:rPr>
    </w:lvl>
    <w:lvl w:ilvl="4">
      <w:start w:val="1"/>
      <w:numFmt w:val="lowerLetter"/>
      <w:lvlText w:val="%5"/>
      <w:lvlJc w:val="left"/>
      <w:pPr>
        <w:ind w:left="3197" w:firstLine="0"/>
      </w:pPr>
      <w:rPr>
        <w:rFonts w:ascii="Times New Roman" w:eastAsia="Times New Roman" w:hAnsi="Times New Roman" w:cs="Times New Roman" w:hint="default"/>
        <w:b w:val="0"/>
        <w:i w:val="0"/>
        <w:strike w:val="0"/>
        <w:dstrike w:val="0"/>
        <w:color w:val="000000"/>
        <w:sz w:val="23"/>
        <w:u w:val="none" w:color="000000"/>
        <w:vertAlign w:val="baseline"/>
      </w:rPr>
    </w:lvl>
    <w:lvl w:ilvl="5">
      <w:start w:val="1"/>
      <w:numFmt w:val="lowerRoman"/>
      <w:lvlText w:val="%6"/>
      <w:lvlJc w:val="left"/>
      <w:pPr>
        <w:ind w:left="3917" w:firstLine="0"/>
      </w:pPr>
      <w:rPr>
        <w:rFonts w:ascii="Times New Roman" w:eastAsia="Times New Roman" w:hAnsi="Times New Roman" w:cs="Times New Roman" w:hint="default"/>
        <w:b w:val="0"/>
        <w:i w:val="0"/>
        <w:strike w:val="0"/>
        <w:dstrike w:val="0"/>
        <w:color w:val="000000"/>
        <w:sz w:val="23"/>
        <w:u w:val="none" w:color="000000"/>
        <w:vertAlign w:val="baseline"/>
      </w:rPr>
    </w:lvl>
    <w:lvl w:ilvl="6">
      <w:start w:val="1"/>
      <w:numFmt w:val="decimal"/>
      <w:lvlText w:val="%7"/>
      <w:lvlJc w:val="left"/>
      <w:pPr>
        <w:ind w:left="4637" w:firstLine="0"/>
      </w:pPr>
      <w:rPr>
        <w:rFonts w:ascii="Times New Roman" w:eastAsia="Times New Roman" w:hAnsi="Times New Roman" w:cs="Times New Roman" w:hint="default"/>
        <w:b w:val="0"/>
        <w:i w:val="0"/>
        <w:strike w:val="0"/>
        <w:dstrike w:val="0"/>
        <w:color w:val="000000"/>
        <w:sz w:val="23"/>
        <w:u w:val="none" w:color="000000"/>
        <w:vertAlign w:val="baseline"/>
      </w:rPr>
    </w:lvl>
    <w:lvl w:ilvl="7">
      <w:start w:val="1"/>
      <w:numFmt w:val="lowerLetter"/>
      <w:lvlText w:val="%8"/>
      <w:lvlJc w:val="left"/>
      <w:pPr>
        <w:ind w:left="5357" w:firstLine="0"/>
      </w:pPr>
      <w:rPr>
        <w:rFonts w:ascii="Times New Roman" w:eastAsia="Times New Roman" w:hAnsi="Times New Roman" w:cs="Times New Roman" w:hint="default"/>
        <w:b w:val="0"/>
        <w:i w:val="0"/>
        <w:strike w:val="0"/>
        <w:dstrike w:val="0"/>
        <w:color w:val="000000"/>
        <w:sz w:val="23"/>
        <w:u w:val="none" w:color="000000"/>
        <w:vertAlign w:val="baseline"/>
      </w:rPr>
    </w:lvl>
    <w:lvl w:ilvl="8">
      <w:start w:val="1"/>
      <w:numFmt w:val="lowerRoman"/>
      <w:lvlText w:val="%9"/>
      <w:lvlJc w:val="left"/>
      <w:pPr>
        <w:ind w:left="6077" w:firstLine="0"/>
      </w:pPr>
      <w:rPr>
        <w:rFonts w:ascii="Times New Roman" w:eastAsia="Times New Roman" w:hAnsi="Times New Roman" w:cs="Times New Roman" w:hint="default"/>
        <w:b w:val="0"/>
        <w:i w:val="0"/>
        <w:strike w:val="0"/>
        <w:dstrike w:val="0"/>
        <w:color w:val="000000"/>
        <w:sz w:val="23"/>
        <w:u w:val="none" w:color="000000"/>
        <w:vertAlign w:val="baseline"/>
      </w:rPr>
    </w:lvl>
  </w:abstractNum>
  <w:abstractNum w:abstractNumId="9" w15:restartNumberingAfterBreak="0">
    <w:nsid w:val="43654757"/>
    <w:multiLevelType w:val="multilevel"/>
    <w:tmpl w:val="43654757"/>
    <w:lvl w:ilvl="0">
      <w:start w:val="1"/>
      <w:numFmt w:val="decimal"/>
      <w:lvlText w:val="%1."/>
      <w:lvlJc w:val="left"/>
      <w:pPr>
        <w:ind w:left="360" w:hanging="360"/>
      </w:pPr>
    </w:lvl>
    <w:lvl w:ilvl="1">
      <w:start w:val="3"/>
      <w:numFmt w:val="decimal"/>
      <w:isLgl/>
      <w:lvlText w:val="%1.%2"/>
      <w:lvlJc w:val="left"/>
      <w:pPr>
        <w:ind w:left="615" w:hanging="615"/>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4C50F66"/>
    <w:multiLevelType w:val="multilevel"/>
    <w:tmpl w:val="44C50F66"/>
    <w:lvl w:ilvl="0">
      <w:start w:val="1"/>
      <w:numFmt w:val="decimal"/>
      <w:lvlText w:val="%1."/>
      <w:lvlJc w:val="left"/>
      <w:pPr>
        <w:ind w:left="1260" w:hanging="360"/>
      </w:pPr>
      <w:rPr>
        <w:rFonts w:hint="default"/>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1" w15:restartNumberingAfterBreak="0">
    <w:nsid w:val="499A636A"/>
    <w:multiLevelType w:val="multilevel"/>
    <w:tmpl w:val="499A636A"/>
    <w:lvl w:ilvl="0">
      <w:start w:val="1"/>
      <w:numFmt w:val="decimal"/>
      <w:lvlText w:val="%1."/>
      <w:lvlJc w:val="left"/>
      <w:pPr>
        <w:ind w:left="67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1">
      <w:start w:val="1"/>
      <w:numFmt w:val="lowerLetter"/>
      <w:lvlText w:val="%2)"/>
      <w:lvlJc w:val="left"/>
      <w:pPr>
        <w:ind w:left="1028"/>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2">
      <w:start w:val="1"/>
      <w:numFmt w:val="lowerRoman"/>
      <w:lvlText w:val="%3"/>
      <w:lvlJc w:val="left"/>
      <w:pPr>
        <w:ind w:left="175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3">
      <w:start w:val="1"/>
      <w:numFmt w:val="decimal"/>
      <w:lvlText w:val="%4"/>
      <w:lvlJc w:val="left"/>
      <w:pPr>
        <w:ind w:left="247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4">
      <w:start w:val="1"/>
      <w:numFmt w:val="lowerLetter"/>
      <w:lvlText w:val="%5"/>
      <w:lvlJc w:val="left"/>
      <w:pPr>
        <w:ind w:left="319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5">
      <w:start w:val="1"/>
      <w:numFmt w:val="lowerRoman"/>
      <w:lvlText w:val="%6"/>
      <w:lvlJc w:val="left"/>
      <w:pPr>
        <w:ind w:left="391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6">
      <w:start w:val="1"/>
      <w:numFmt w:val="decimal"/>
      <w:lvlText w:val="%7"/>
      <w:lvlJc w:val="left"/>
      <w:pPr>
        <w:ind w:left="463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7">
      <w:start w:val="1"/>
      <w:numFmt w:val="lowerLetter"/>
      <w:lvlText w:val="%8"/>
      <w:lvlJc w:val="left"/>
      <w:pPr>
        <w:ind w:left="535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8">
      <w:start w:val="1"/>
      <w:numFmt w:val="lowerRoman"/>
      <w:lvlText w:val="%9"/>
      <w:lvlJc w:val="left"/>
      <w:pPr>
        <w:ind w:left="607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abstractNum>
  <w:abstractNum w:abstractNumId="12" w15:restartNumberingAfterBreak="0">
    <w:nsid w:val="4A7A6E58"/>
    <w:multiLevelType w:val="multilevel"/>
    <w:tmpl w:val="4A7A6E58"/>
    <w:lvl w:ilvl="0">
      <w:start w:val="1"/>
      <w:numFmt w:val="lowerLetter"/>
      <w:lvlText w:val="%1)"/>
      <w:lvlJc w:val="left"/>
      <w:pPr>
        <w:ind w:left="360" w:hanging="360"/>
      </w:pPr>
      <w:rPr>
        <w:rFonts w:hint="default"/>
        <w:b/>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3" w15:restartNumberingAfterBreak="0">
    <w:nsid w:val="4C383C38"/>
    <w:multiLevelType w:val="multilevel"/>
    <w:tmpl w:val="4C383C38"/>
    <w:lvl w:ilvl="0">
      <w:start w:val="1"/>
      <w:numFmt w:val="decimal"/>
      <w:lvlText w:val="%1."/>
      <w:lvlJc w:val="left"/>
      <w:pPr>
        <w:tabs>
          <w:tab w:val="left" w:pos="360"/>
        </w:tabs>
        <w:ind w:left="360" w:hanging="360"/>
      </w:pPr>
    </w:lvl>
    <w:lvl w:ilvl="1">
      <w:start w:val="1"/>
      <w:numFmt w:val="lowerRoman"/>
      <w:lvlText w:val="%2."/>
      <w:lvlJc w:val="right"/>
      <w:pPr>
        <w:tabs>
          <w:tab w:val="left" w:pos="720"/>
        </w:tabs>
        <w:ind w:left="720" w:hanging="360"/>
      </w:pPr>
    </w:lvl>
    <w:lvl w:ilvl="2">
      <w:start w:val="1"/>
      <w:numFmt w:val="lowerRoman"/>
      <w:lvlText w:val="%3."/>
      <w:lvlJc w:val="left"/>
      <w:pPr>
        <w:tabs>
          <w:tab w:val="left" w:pos="2520"/>
        </w:tabs>
        <w:ind w:left="2520" w:hanging="720"/>
      </w:pPr>
      <w:rPr>
        <w:rFont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4FAE7A13"/>
    <w:multiLevelType w:val="multilevel"/>
    <w:tmpl w:val="4FAE7A1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1F738E6"/>
    <w:multiLevelType w:val="multilevel"/>
    <w:tmpl w:val="51F738E6"/>
    <w:lvl w:ilvl="0">
      <w:start w:val="1"/>
      <w:numFmt w:val="decimal"/>
      <w:lvlText w:val="%1."/>
      <w:lvlJc w:val="left"/>
      <w:pPr>
        <w:ind w:left="720" w:hanging="360"/>
      </w:pPr>
      <w:rPr>
        <w:rFonts w:hint="default"/>
      </w:rPr>
    </w:lvl>
    <w:lvl w:ilvl="1">
      <w:start w:val="4"/>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29204D9"/>
    <w:multiLevelType w:val="multilevel"/>
    <w:tmpl w:val="529204D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2B24975"/>
    <w:multiLevelType w:val="multilevel"/>
    <w:tmpl w:val="52B24975"/>
    <w:lvl w:ilvl="0">
      <w:start w:val="1"/>
      <w:numFmt w:val="bullet"/>
      <w:lvlText w:val=""/>
      <w:lvlJc w:val="left"/>
      <w:pPr>
        <w:ind w:left="4680" w:hanging="360"/>
      </w:pPr>
      <w:rPr>
        <w:rFonts w:ascii="Symbol" w:hAnsi="Symbol" w:hint="default"/>
      </w:rPr>
    </w:lvl>
    <w:lvl w:ilvl="1">
      <w:start w:val="1"/>
      <w:numFmt w:val="bullet"/>
      <w:lvlText w:val="o"/>
      <w:lvlJc w:val="left"/>
      <w:pPr>
        <w:ind w:left="5400" w:hanging="360"/>
      </w:pPr>
      <w:rPr>
        <w:rFonts w:ascii="Courier New" w:hAnsi="Courier New" w:cs="Courier New" w:hint="default"/>
      </w:rPr>
    </w:lvl>
    <w:lvl w:ilvl="2">
      <w:start w:val="1"/>
      <w:numFmt w:val="bullet"/>
      <w:lvlText w:val=""/>
      <w:lvlJc w:val="left"/>
      <w:pPr>
        <w:ind w:left="6120" w:hanging="360"/>
      </w:pPr>
      <w:rPr>
        <w:rFonts w:ascii="Wingdings" w:hAnsi="Wingdings" w:hint="default"/>
      </w:rPr>
    </w:lvl>
    <w:lvl w:ilvl="3">
      <w:start w:val="1"/>
      <w:numFmt w:val="bullet"/>
      <w:lvlText w:val=""/>
      <w:lvlJc w:val="left"/>
      <w:pPr>
        <w:ind w:left="6840" w:hanging="360"/>
      </w:pPr>
      <w:rPr>
        <w:rFonts w:ascii="Symbol" w:hAnsi="Symbol" w:hint="default"/>
      </w:rPr>
    </w:lvl>
    <w:lvl w:ilvl="4">
      <w:start w:val="1"/>
      <w:numFmt w:val="bullet"/>
      <w:lvlText w:val="o"/>
      <w:lvlJc w:val="left"/>
      <w:pPr>
        <w:ind w:left="7560" w:hanging="360"/>
      </w:pPr>
      <w:rPr>
        <w:rFonts w:ascii="Courier New" w:hAnsi="Courier New" w:cs="Courier New" w:hint="default"/>
      </w:rPr>
    </w:lvl>
    <w:lvl w:ilvl="5">
      <w:start w:val="1"/>
      <w:numFmt w:val="bullet"/>
      <w:lvlText w:val=""/>
      <w:lvlJc w:val="left"/>
      <w:pPr>
        <w:ind w:left="8280" w:hanging="360"/>
      </w:pPr>
      <w:rPr>
        <w:rFonts w:ascii="Wingdings" w:hAnsi="Wingdings" w:hint="default"/>
      </w:rPr>
    </w:lvl>
    <w:lvl w:ilvl="6">
      <w:start w:val="1"/>
      <w:numFmt w:val="bullet"/>
      <w:lvlText w:val=""/>
      <w:lvlJc w:val="left"/>
      <w:pPr>
        <w:ind w:left="9000" w:hanging="360"/>
      </w:pPr>
      <w:rPr>
        <w:rFonts w:ascii="Symbol" w:hAnsi="Symbol" w:hint="default"/>
      </w:rPr>
    </w:lvl>
    <w:lvl w:ilvl="7">
      <w:start w:val="1"/>
      <w:numFmt w:val="bullet"/>
      <w:lvlText w:val="o"/>
      <w:lvlJc w:val="left"/>
      <w:pPr>
        <w:ind w:left="9720" w:hanging="360"/>
      </w:pPr>
      <w:rPr>
        <w:rFonts w:ascii="Courier New" w:hAnsi="Courier New" w:cs="Courier New" w:hint="default"/>
      </w:rPr>
    </w:lvl>
    <w:lvl w:ilvl="8">
      <w:start w:val="1"/>
      <w:numFmt w:val="bullet"/>
      <w:lvlText w:val=""/>
      <w:lvlJc w:val="left"/>
      <w:pPr>
        <w:ind w:left="10440" w:hanging="360"/>
      </w:pPr>
      <w:rPr>
        <w:rFonts w:ascii="Wingdings" w:hAnsi="Wingdings" w:hint="default"/>
      </w:rPr>
    </w:lvl>
  </w:abstractNum>
  <w:abstractNum w:abstractNumId="18" w15:restartNumberingAfterBreak="0">
    <w:nsid w:val="55A44528"/>
    <w:multiLevelType w:val="multilevel"/>
    <w:tmpl w:val="55A445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9EF5D2C"/>
    <w:multiLevelType w:val="multilevel"/>
    <w:tmpl w:val="59EF5D2C"/>
    <w:lvl w:ilvl="0">
      <w:start w:val="1"/>
      <w:numFmt w:val="decimal"/>
      <w:lvlText w:val="%1."/>
      <w:lvlJc w:val="left"/>
      <w:pPr>
        <w:ind w:left="706" w:hanging="360"/>
      </w:pPr>
    </w:lvl>
    <w:lvl w:ilvl="1">
      <w:start w:val="1"/>
      <w:numFmt w:val="lowerLetter"/>
      <w:lvlText w:val="%2."/>
      <w:lvlJc w:val="left"/>
      <w:pPr>
        <w:ind w:left="1426" w:hanging="360"/>
      </w:pPr>
    </w:lvl>
    <w:lvl w:ilvl="2">
      <w:start w:val="1"/>
      <w:numFmt w:val="lowerRoman"/>
      <w:lvlText w:val="%3."/>
      <w:lvlJc w:val="right"/>
      <w:pPr>
        <w:ind w:left="2146" w:hanging="180"/>
      </w:pPr>
    </w:lvl>
    <w:lvl w:ilvl="3">
      <w:start w:val="1"/>
      <w:numFmt w:val="decimal"/>
      <w:lvlText w:val="%4."/>
      <w:lvlJc w:val="left"/>
      <w:pPr>
        <w:ind w:left="2866" w:hanging="360"/>
      </w:pPr>
    </w:lvl>
    <w:lvl w:ilvl="4">
      <w:start w:val="1"/>
      <w:numFmt w:val="lowerLetter"/>
      <w:lvlText w:val="%5."/>
      <w:lvlJc w:val="left"/>
      <w:pPr>
        <w:ind w:left="3586" w:hanging="360"/>
      </w:pPr>
    </w:lvl>
    <w:lvl w:ilvl="5">
      <w:start w:val="1"/>
      <w:numFmt w:val="lowerRoman"/>
      <w:lvlText w:val="%6."/>
      <w:lvlJc w:val="right"/>
      <w:pPr>
        <w:ind w:left="4306" w:hanging="180"/>
      </w:pPr>
    </w:lvl>
    <w:lvl w:ilvl="6">
      <w:start w:val="1"/>
      <w:numFmt w:val="decimal"/>
      <w:lvlText w:val="%7."/>
      <w:lvlJc w:val="left"/>
      <w:pPr>
        <w:ind w:left="5026" w:hanging="360"/>
      </w:pPr>
    </w:lvl>
    <w:lvl w:ilvl="7">
      <w:start w:val="1"/>
      <w:numFmt w:val="lowerLetter"/>
      <w:lvlText w:val="%8."/>
      <w:lvlJc w:val="left"/>
      <w:pPr>
        <w:ind w:left="5746" w:hanging="360"/>
      </w:pPr>
    </w:lvl>
    <w:lvl w:ilvl="8">
      <w:start w:val="1"/>
      <w:numFmt w:val="lowerRoman"/>
      <w:lvlText w:val="%9."/>
      <w:lvlJc w:val="right"/>
      <w:pPr>
        <w:ind w:left="6466" w:hanging="180"/>
      </w:pPr>
    </w:lvl>
  </w:abstractNum>
  <w:abstractNum w:abstractNumId="20" w15:restartNumberingAfterBreak="0">
    <w:nsid w:val="5B3D725A"/>
    <w:multiLevelType w:val="multilevel"/>
    <w:tmpl w:val="5B3D725A"/>
    <w:lvl w:ilvl="0">
      <w:start w:val="1"/>
      <w:numFmt w:val="bullet"/>
      <w:lvlText w:val=""/>
      <w:lvlJc w:val="left"/>
      <w:pPr>
        <w:ind w:left="450" w:hanging="360"/>
      </w:pPr>
      <w:rPr>
        <w:rFonts w:ascii="Symbol" w:hAnsi="Symbol"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hint="default"/>
      </w:rPr>
    </w:lvl>
  </w:abstractNum>
  <w:abstractNum w:abstractNumId="21" w15:restartNumberingAfterBreak="0">
    <w:nsid w:val="5B632D2E"/>
    <w:multiLevelType w:val="multilevel"/>
    <w:tmpl w:val="5B632D2E"/>
    <w:lvl w:ilvl="0">
      <w:start w:val="1"/>
      <w:numFmt w:val="lowerRoman"/>
      <w:lvlText w:val="%1."/>
      <w:lvlJc w:val="right"/>
      <w:pPr>
        <w:ind w:left="660" w:hanging="660"/>
      </w:pPr>
      <w:rPr>
        <w:rFonts w:hint="default"/>
      </w:rPr>
    </w:lvl>
    <w:lvl w:ilvl="1">
      <w:start w:val="4"/>
      <w:numFmt w:val="decimal"/>
      <w:lvlText w:val="%1.%2"/>
      <w:lvlJc w:val="left"/>
      <w:pPr>
        <w:ind w:left="564" w:hanging="660"/>
      </w:pPr>
      <w:rPr>
        <w:rFonts w:hint="default"/>
      </w:rPr>
    </w:lvl>
    <w:lvl w:ilvl="2">
      <w:start w:val="2"/>
      <w:numFmt w:val="decimal"/>
      <w:lvlText w:val="%1.%2.%3"/>
      <w:lvlJc w:val="left"/>
      <w:pPr>
        <w:ind w:left="528" w:hanging="720"/>
      </w:pPr>
      <w:rPr>
        <w:rFonts w:hint="default"/>
      </w:rPr>
    </w:lvl>
    <w:lvl w:ilvl="3">
      <w:start w:val="6"/>
      <w:numFmt w:val="decimal"/>
      <w:lvlText w:val="%1.%2.%3.%4"/>
      <w:lvlJc w:val="left"/>
      <w:pPr>
        <w:ind w:left="432" w:hanging="720"/>
      </w:pPr>
      <w:rPr>
        <w:rFonts w:hint="default"/>
      </w:rPr>
    </w:lvl>
    <w:lvl w:ilvl="4">
      <w:start w:val="1"/>
      <w:numFmt w:val="decimal"/>
      <w:lvlText w:val="%1.%2.%3.%4.%5"/>
      <w:lvlJc w:val="left"/>
      <w:pPr>
        <w:ind w:left="696" w:hanging="1080"/>
      </w:pPr>
      <w:rPr>
        <w:rFonts w:hint="default"/>
      </w:rPr>
    </w:lvl>
    <w:lvl w:ilvl="5">
      <w:start w:val="1"/>
      <w:numFmt w:val="decimal"/>
      <w:lvlText w:val="%1.%2.%3.%4.%5.%6"/>
      <w:lvlJc w:val="left"/>
      <w:pPr>
        <w:ind w:left="600" w:hanging="1080"/>
      </w:pPr>
      <w:rPr>
        <w:rFonts w:hint="default"/>
      </w:rPr>
    </w:lvl>
    <w:lvl w:ilvl="6">
      <w:start w:val="1"/>
      <w:numFmt w:val="decimal"/>
      <w:lvlText w:val="%1.%2.%3.%4.%5.%6.%7"/>
      <w:lvlJc w:val="left"/>
      <w:pPr>
        <w:ind w:left="864" w:hanging="1440"/>
      </w:pPr>
      <w:rPr>
        <w:rFonts w:hint="default"/>
      </w:rPr>
    </w:lvl>
    <w:lvl w:ilvl="7">
      <w:start w:val="1"/>
      <w:numFmt w:val="decimal"/>
      <w:lvlText w:val="%1.%2.%3.%4.%5.%6.%7.%8"/>
      <w:lvlJc w:val="left"/>
      <w:pPr>
        <w:ind w:left="768" w:hanging="1440"/>
      </w:pPr>
      <w:rPr>
        <w:rFonts w:hint="default"/>
      </w:rPr>
    </w:lvl>
    <w:lvl w:ilvl="8">
      <w:start w:val="1"/>
      <w:numFmt w:val="decimal"/>
      <w:lvlText w:val="%1.%2.%3.%4.%5.%6.%7.%8.%9"/>
      <w:lvlJc w:val="left"/>
      <w:pPr>
        <w:ind w:left="1032" w:hanging="1800"/>
      </w:pPr>
      <w:rPr>
        <w:rFonts w:hint="default"/>
      </w:rPr>
    </w:lvl>
  </w:abstractNum>
  <w:abstractNum w:abstractNumId="22" w15:restartNumberingAfterBreak="0">
    <w:nsid w:val="5C492193"/>
    <w:multiLevelType w:val="multilevel"/>
    <w:tmpl w:val="5C492193"/>
    <w:lvl w:ilvl="0">
      <w:start w:val="1"/>
      <w:numFmt w:val="decimal"/>
      <w:lvlText w:val="%1."/>
      <w:lvlJc w:val="left"/>
      <w:pPr>
        <w:ind w:left="426"/>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1">
      <w:start w:val="1"/>
      <w:numFmt w:val="lowerLetter"/>
      <w:lvlText w:val="%2)"/>
      <w:lvlJc w:val="left"/>
      <w:pPr>
        <w:ind w:left="984"/>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2">
      <w:start w:val="1"/>
      <w:numFmt w:val="lowerRoman"/>
      <w:lvlText w:val="%3"/>
      <w:lvlJc w:val="left"/>
      <w:pPr>
        <w:ind w:left="175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3">
      <w:start w:val="1"/>
      <w:numFmt w:val="decimal"/>
      <w:lvlText w:val="%4"/>
      <w:lvlJc w:val="left"/>
      <w:pPr>
        <w:ind w:left="247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4">
      <w:start w:val="1"/>
      <w:numFmt w:val="lowerLetter"/>
      <w:lvlText w:val="%5"/>
      <w:lvlJc w:val="left"/>
      <w:pPr>
        <w:ind w:left="319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5">
      <w:start w:val="1"/>
      <w:numFmt w:val="lowerRoman"/>
      <w:lvlText w:val="%6"/>
      <w:lvlJc w:val="left"/>
      <w:pPr>
        <w:ind w:left="391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6">
      <w:start w:val="1"/>
      <w:numFmt w:val="decimal"/>
      <w:lvlText w:val="%7"/>
      <w:lvlJc w:val="left"/>
      <w:pPr>
        <w:ind w:left="463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7">
      <w:start w:val="1"/>
      <w:numFmt w:val="lowerLetter"/>
      <w:lvlText w:val="%8"/>
      <w:lvlJc w:val="left"/>
      <w:pPr>
        <w:ind w:left="535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8">
      <w:start w:val="1"/>
      <w:numFmt w:val="lowerRoman"/>
      <w:lvlText w:val="%9"/>
      <w:lvlJc w:val="left"/>
      <w:pPr>
        <w:ind w:left="607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abstractNum>
  <w:abstractNum w:abstractNumId="23" w15:restartNumberingAfterBreak="0">
    <w:nsid w:val="5CB970B9"/>
    <w:multiLevelType w:val="multilevel"/>
    <w:tmpl w:val="5CB970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62AF27EC"/>
    <w:multiLevelType w:val="multilevel"/>
    <w:tmpl w:val="62AF27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6334194B"/>
    <w:multiLevelType w:val="multilevel"/>
    <w:tmpl w:val="6334194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52023B"/>
    <w:multiLevelType w:val="multilevel"/>
    <w:tmpl w:val="6752023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7BD1818"/>
    <w:multiLevelType w:val="multilevel"/>
    <w:tmpl w:val="67BD18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AD53E5D"/>
    <w:multiLevelType w:val="multilevel"/>
    <w:tmpl w:val="6AD53E5D"/>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9" w15:restartNumberingAfterBreak="0">
    <w:nsid w:val="6BFB410F"/>
    <w:multiLevelType w:val="multilevel"/>
    <w:tmpl w:val="6BFB410F"/>
    <w:lvl w:ilvl="0">
      <w:start w:val="1"/>
      <w:numFmt w:val="lowerRoman"/>
      <w:lvlText w:val="%1."/>
      <w:lvlJc w:val="right"/>
      <w:pPr>
        <w:ind w:left="705"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30" w15:restartNumberingAfterBreak="0">
    <w:nsid w:val="6D9423E0"/>
    <w:multiLevelType w:val="multilevel"/>
    <w:tmpl w:val="6D9423E0"/>
    <w:lvl w:ilvl="0">
      <w:start w:val="1"/>
      <w:numFmt w:val="decimal"/>
      <w:lvlText w:val="%1."/>
      <w:lvlJc w:val="left"/>
      <w:pPr>
        <w:ind w:left="1135"/>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1">
      <w:start w:val="1"/>
      <w:numFmt w:val="lowerLetter"/>
      <w:lvlText w:val="%2."/>
      <w:lvlJc w:val="left"/>
      <w:pPr>
        <w:ind w:left="2467" w:hanging="360"/>
      </w:pPr>
    </w:lvl>
    <w:lvl w:ilvl="2">
      <w:start w:val="1"/>
      <w:numFmt w:val="lowerRoman"/>
      <w:lvlText w:val="%3."/>
      <w:lvlJc w:val="right"/>
      <w:pPr>
        <w:ind w:left="3187" w:hanging="180"/>
      </w:pPr>
    </w:lvl>
    <w:lvl w:ilvl="3">
      <w:start w:val="1"/>
      <w:numFmt w:val="decimal"/>
      <w:lvlText w:val="%4."/>
      <w:lvlJc w:val="left"/>
      <w:pPr>
        <w:ind w:left="3907" w:hanging="360"/>
      </w:pPr>
    </w:lvl>
    <w:lvl w:ilvl="4">
      <w:start w:val="1"/>
      <w:numFmt w:val="lowerLetter"/>
      <w:lvlText w:val="%5."/>
      <w:lvlJc w:val="left"/>
      <w:pPr>
        <w:ind w:left="4627" w:hanging="360"/>
      </w:pPr>
    </w:lvl>
    <w:lvl w:ilvl="5">
      <w:start w:val="1"/>
      <w:numFmt w:val="lowerRoman"/>
      <w:lvlText w:val="%6."/>
      <w:lvlJc w:val="right"/>
      <w:pPr>
        <w:ind w:left="5347" w:hanging="180"/>
      </w:pPr>
    </w:lvl>
    <w:lvl w:ilvl="6">
      <w:start w:val="1"/>
      <w:numFmt w:val="decimal"/>
      <w:lvlText w:val="%7."/>
      <w:lvlJc w:val="left"/>
      <w:pPr>
        <w:ind w:left="6067" w:hanging="360"/>
      </w:pPr>
    </w:lvl>
    <w:lvl w:ilvl="7">
      <w:start w:val="1"/>
      <w:numFmt w:val="lowerLetter"/>
      <w:lvlText w:val="%8."/>
      <w:lvlJc w:val="left"/>
      <w:pPr>
        <w:ind w:left="6787" w:hanging="360"/>
      </w:pPr>
    </w:lvl>
    <w:lvl w:ilvl="8">
      <w:start w:val="1"/>
      <w:numFmt w:val="lowerRoman"/>
      <w:lvlText w:val="%9."/>
      <w:lvlJc w:val="right"/>
      <w:pPr>
        <w:ind w:left="7507" w:hanging="180"/>
      </w:pPr>
    </w:lvl>
  </w:abstractNum>
  <w:abstractNum w:abstractNumId="31" w15:restartNumberingAfterBreak="0">
    <w:nsid w:val="70FF472D"/>
    <w:multiLevelType w:val="multilevel"/>
    <w:tmpl w:val="70FF472D"/>
    <w:lvl w:ilvl="0">
      <w:start w:val="1"/>
      <w:numFmt w:val="decimal"/>
      <w:lvlText w:val="%1."/>
      <w:lvlJc w:val="left"/>
      <w:pPr>
        <w:ind w:left="644"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2A5E5D"/>
    <w:multiLevelType w:val="multilevel"/>
    <w:tmpl w:val="7A2A5E5D"/>
    <w:lvl w:ilvl="0">
      <w:start w:val="1"/>
      <w:numFmt w:val="decimal"/>
      <w:lvlText w:val="%1."/>
      <w:lvlJc w:val="left"/>
      <w:pPr>
        <w:ind w:left="682"/>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1">
      <w:start w:val="1"/>
      <w:numFmt w:val="decimal"/>
      <w:lvlText w:val="%2."/>
      <w:lvlJc w:val="left"/>
      <w:pPr>
        <w:ind w:left="984"/>
      </w:pPr>
      <w:rPr>
        <w:b w:val="0"/>
        <w:i w:val="0"/>
        <w:strike w:val="0"/>
        <w:dstrike w:val="0"/>
        <w:color w:val="000000"/>
        <w:sz w:val="23"/>
        <w:u w:val="none" w:color="000000"/>
        <w:shd w:val="clear" w:color="auto" w:fill="auto"/>
        <w:vertAlign w:val="baseline"/>
      </w:rPr>
    </w:lvl>
    <w:lvl w:ilvl="2">
      <w:start w:val="1"/>
      <w:numFmt w:val="lowerRoman"/>
      <w:lvlText w:val="%3"/>
      <w:lvlJc w:val="left"/>
      <w:pPr>
        <w:ind w:left="175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3">
      <w:start w:val="1"/>
      <w:numFmt w:val="decimal"/>
      <w:lvlText w:val="%4"/>
      <w:lvlJc w:val="left"/>
      <w:pPr>
        <w:ind w:left="247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4">
      <w:start w:val="1"/>
      <w:numFmt w:val="lowerLetter"/>
      <w:lvlText w:val="%5"/>
      <w:lvlJc w:val="left"/>
      <w:pPr>
        <w:ind w:left="319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5">
      <w:start w:val="1"/>
      <w:numFmt w:val="lowerRoman"/>
      <w:lvlText w:val="%6"/>
      <w:lvlJc w:val="left"/>
      <w:pPr>
        <w:ind w:left="391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6">
      <w:start w:val="1"/>
      <w:numFmt w:val="decimal"/>
      <w:lvlText w:val="%7"/>
      <w:lvlJc w:val="left"/>
      <w:pPr>
        <w:ind w:left="463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7">
      <w:start w:val="1"/>
      <w:numFmt w:val="lowerLetter"/>
      <w:lvlText w:val="%8"/>
      <w:lvlJc w:val="left"/>
      <w:pPr>
        <w:ind w:left="535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lvl w:ilvl="8">
      <w:start w:val="1"/>
      <w:numFmt w:val="lowerRoman"/>
      <w:lvlText w:val="%9"/>
      <w:lvlJc w:val="left"/>
      <w:pPr>
        <w:ind w:left="6077"/>
      </w:pPr>
      <w:rPr>
        <w:rFonts w:ascii="Times New Roman" w:eastAsia="Times New Roman" w:hAnsi="Times New Roman" w:cs="Times New Roman"/>
        <w:b w:val="0"/>
        <w:i w:val="0"/>
        <w:strike w:val="0"/>
        <w:dstrike w:val="0"/>
        <w:color w:val="000000"/>
        <w:sz w:val="23"/>
        <w:u w:val="none" w:color="000000"/>
        <w:shd w:val="clear" w:color="auto" w:fill="auto"/>
        <w:vertAlign w:val="baseline"/>
      </w:rPr>
    </w:lvl>
  </w:abstractNum>
  <w:num w:numId="1">
    <w:abstractNumId w:val="16"/>
  </w:num>
  <w:num w:numId="2">
    <w:abstractNumId w:val="17"/>
  </w:num>
  <w:num w:numId="3">
    <w:abstractNumId w:val="15"/>
  </w:num>
  <w:num w:numId="4">
    <w:abstractNumId w:val="9"/>
  </w:num>
  <w:num w:numId="5">
    <w:abstractNumId w:val="3"/>
  </w:num>
  <w:num w:numId="6">
    <w:abstractNumId w:val="2"/>
  </w:num>
  <w:num w:numId="7">
    <w:abstractNumId w:val="12"/>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29"/>
  </w:num>
  <w:num w:numId="11">
    <w:abstractNumId w:val="1"/>
  </w:num>
  <w:num w:numId="12">
    <w:abstractNumId w:val="4"/>
  </w:num>
  <w:num w:numId="13">
    <w:abstractNumId w:val="26"/>
  </w:num>
  <w:num w:numId="14">
    <w:abstractNumId w:val="0"/>
  </w:num>
  <w:num w:numId="15">
    <w:abstractNumId w:val="21"/>
  </w:num>
  <w:num w:numId="16">
    <w:abstractNumId w:val="23"/>
  </w:num>
  <w:num w:numId="17">
    <w:abstractNumId w:val="25"/>
  </w:num>
  <w:num w:numId="18">
    <w:abstractNumId w:val="19"/>
  </w:num>
  <w:num w:numId="19">
    <w:abstractNumId w:val="13"/>
  </w:num>
  <w:num w:numId="20">
    <w:abstractNumId w:val="18"/>
  </w:num>
  <w:num w:numId="21">
    <w:abstractNumId w:val="28"/>
  </w:num>
  <w:num w:numId="22">
    <w:abstractNumId w:val="31"/>
  </w:num>
  <w:num w:numId="23">
    <w:abstractNumId w:val="14"/>
  </w:num>
  <w:num w:numId="24">
    <w:abstractNumId w:val="32"/>
  </w:num>
  <w:num w:numId="25">
    <w:abstractNumId w:val="11"/>
  </w:num>
  <w:num w:numId="26">
    <w:abstractNumId w:val="22"/>
  </w:num>
  <w:num w:numId="27">
    <w:abstractNumId w:val="10"/>
  </w:num>
  <w:num w:numId="28">
    <w:abstractNumId w:val="30"/>
  </w:num>
  <w:num w:numId="29">
    <w:abstractNumId w:val="27"/>
  </w:num>
  <w:num w:numId="30">
    <w:abstractNumId w:val="7"/>
  </w:num>
  <w:num w:numId="31">
    <w:abstractNumId w:val="6"/>
  </w:num>
  <w:num w:numId="32">
    <w:abstractNumId w:val="8"/>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481"/>
    <w:rsid w:val="00010367"/>
    <w:rsid w:val="00023653"/>
    <w:rsid w:val="00032832"/>
    <w:rsid w:val="00042058"/>
    <w:rsid w:val="00063651"/>
    <w:rsid w:val="000665DA"/>
    <w:rsid w:val="0006785E"/>
    <w:rsid w:val="00082338"/>
    <w:rsid w:val="00087317"/>
    <w:rsid w:val="0009263C"/>
    <w:rsid w:val="000A02CE"/>
    <w:rsid w:val="000A14FA"/>
    <w:rsid w:val="000A4A78"/>
    <w:rsid w:val="000A6FEB"/>
    <w:rsid w:val="000C6EFF"/>
    <w:rsid w:val="000D1FB5"/>
    <w:rsid w:val="000E5690"/>
    <w:rsid w:val="000F0154"/>
    <w:rsid w:val="000F369A"/>
    <w:rsid w:val="000F7AA5"/>
    <w:rsid w:val="00115084"/>
    <w:rsid w:val="001233AD"/>
    <w:rsid w:val="00127F67"/>
    <w:rsid w:val="00132D1F"/>
    <w:rsid w:val="001333FA"/>
    <w:rsid w:val="00134597"/>
    <w:rsid w:val="0014082F"/>
    <w:rsid w:val="00147DA4"/>
    <w:rsid w:val="00154355"/>
    <w:rsid w:val="00155812"/>
    <w:rsid w:val="00163A93"/>
    <w:rsid w:val="00166CFF"/>
    <w:rsid w:val="001719D5"/>
    <w:rsid w:val="00181F5A"/>
    <w:rsid w:val="0018679A"/>
    <w:rsid w:val="001A490D"/>
    <w:rsid w:val="001A5C56"/>
    <w:rsid w:val="001C6CED"/>
    <w:rsid w:val="001D41DC"/>
    <w:rsid w:val="001E02E3"/>
    <w:rsid w:val="001E3DF6"/>
    <w:rsid w:val="001E433E"/>
    <w:rsid w:val="001E694F"/>
    <w:rsid w:val="001E6984"/>
    <w:rsid w:val="00200329"/>
    <w:rsid w:val="00210D0F"/>
    <w:rsid w:val="00211A6A"/>
    <w:rsid w:val="00216684"/>
    <w:rsid w:val="0022663C"/>
    <w:rsid w:val="00233D17"/>
    <w:rsid w:val="00241C66"/>
    <w:rsid w:val="00242BEE"/>
    <w:rsid w:val="0024729D"/>
    <w:rsid w:val="00247D10"/>
    <w:rsid w:val="00250830"/>
    <w:rsid w:val="00260775"/>
    <w:rsid w:val="00265B88"/>
    <w:rsid w:val="00266760"/>
    <w:rsid w:val="002943B4"/>
    <w:rsid w:val="002A5CFC"/>
    <w:rsid w:val="002B18ED"/>
    <w:rsid w:val="002B46FF"/>
    <w:rsid w:val="002D0C71"/>
    <w:rsid w:val="002E0421"/>
    <w:rsid w:val="002F2F8B"/>
    <w:rsid w:val="002F3F84"/>
    <w:rsid w:val="002F5099"/>
    <w:rsid w:val="00321972"/>
    <w:rsid w:val="00325D38"/>
    <w:rsid w:val="003321B3"/>
    <w:rsid w:val="003351BC"/>
    <w:rsid w:val="00351ED1"/>
    <w:rsid w:val="0035437A"/>
    <w:rsid w:val="003554E0"/>
    <w:rsid w:val="003575FE"/>
    <w:rsid w:val="00366B95"/>
    <w:rsid w:val="003732E2"/>
    <w:rsid w:val="003779BC"/>
    <w:rsid w:val="0038098B"/>
    <w:rsid w:val="00385F8B"/>
    <w:rsid w:val="003922E5"/>
    <w:rsid w:val="003924D9"/>
    <w:rsid w:val="0039598C"/>
    <w:rsid w:val="003A2A44"/>
    <w:rsid w:val="003A315E"/>
    <w:rsid w:val="003A585E"/>
    <w:rsid w:val="003B15DC"/>
    <w:rsid w:val="003B4BB1"/>
    <w:rsid w:val="003C0CF3"/>
    <w:rsid w:val="003D33D3"/>
    <w:rsid w:val="004166AE"/>
    <w:rsid w:val="00430677"/>
    <w:rsid w:val="00432963"/>
    <w:rsid w:val="00443F37"/>
    <w:rsid w:val="004453D5"/>
    <w:rsid w:val="00447144"/>
    <w:rsid w:val="0045431E"/>
    <w:rsid w:val="00482B51"/>
    <w:rsid w:val="0048639A"/>
    <w:rsid w:val="004872EF"/>
    <w:rsid w:val="00490574"/>
    <w:rsid w:val="0049241E"/>
    <w:rsid w:val="004A0AFD"/>
    <w:rsid w:val="004A643F"/>
    <w:rsid w:val="004A72F6"/>
    <w:rsid w:val="004B5308"/>
    <w:rsid w:val="004C67A0"/>
    <w:rsid w:val="004D2892"/>
    <w:rsid w:val="004D5A1B"/>
    <w:rsid w:val="004D6304"/>
    <w:rsid w:val="004F08FC"/>
    <w:rsid w:val="005169A2"/>
    <w:rsid w:val="00516EB0"/>
    <w:rsid w:val="00517F4D"/>
    <w:rsid w:val="0052406E"/>
    <w:rsid w:val="00524550"/>
    <w:rsid w:val="00525841"/>
    <w:rsid w:val="00532EEE"/>
    <w:rsid w:val="00547F1E"/>
    <w:rsid w:val="005514EC"/>
    <w:rsid w:val="00560820"/>
    <w:rsid w:val="00563939"/>
    <w:rsid w:val="0056670B"/>
    <w:rsid w:val="00567FE1"/>
    <w:rsid w:val="0057268E"/>
    <w:rsid w:val="00573C44"/>
    <w:rsid w:val="00574E3B"/>
    <w:rsid w:val="005759E7"/>
    <w:rsid w:val="00586A7F"/>
    <w:rsid w:val="00587267"/>
    <w:rsid w:val="005A2A03"/>
    <w:rsid w:val="005A3D29"/>
    <w:rsid w:val="005B20A8"/>
    <w:rsid w:val="005B358D"/>
    <w:rsid w:val="005B4868"/>
    <w:rsid w:val="005C2AAE"/>
    <w:rsid w:val="005C36A4"/>
    <w:rsid w:val="005C56E4"/>
    <w:rsid w:val="005C5E63"/>
    <w:rsid w:val="005C7CD3"/>
    <w:rsid w:val="005D7357"/>
    <w:rsid w:val="005E1EAE"/>
    <w:rsid w:val="005E6DC4"/>
    <w:rsid w:val="00600916"/>
    <w:rsid w:val="00603028"/>
    <w:rsid w:val="006310EC"/>
    <w:rsid w:val="00634034"/>
    <w:rsid w:val="00642601"/>
    <w:rsid w:val="006536B7"/>
    <w:rsid w:val="006569D5"/>
    <w:rsid w:val="00663432"/>
    <w:rsid w:val="0067013E"/>
    <w:rsid w:val="006745FB"/>
    <w:rsid w:val="0067494D"/>
    <w:rsid w:val="006874F5"/>
    <w:rsid w:val="0069230D"/>
    <w:rsid w:val="00696633"/>
    <w:rsid w:val="006B7329"/>
    <w:rsid w:val="006C57C1"/>
    <w:rsid w:val="006C7FE3"/>
    <w:rsid w:val="006D1D5D"/>
    <w:rsid w:val="006D32ED"/>
    <w:rsid w:val="006D6309"/>
    <w:rsid w:val="006D7D11"/>
    <w:rsid w:val="006E1539"/>
    <w:rsid w:val="006E743F"/>
    <w:rsid w:val="006F2F99"/>
    <w:rsid w:val="006F5EAB"/>
    <w:rsid w:val="00707F76"/>
    <w:rsid w:val="00712A3C"/>
    <w:rsid w:val="007160B5"/>
    <w:rsid w:val="0072131B"/>
    <w:rsid w:val="00721CBF"/>
    <w:rsid w:val="007254BB"/>
    <w:rsid w:val="00726ED9"/>
    <w:rsid w:val="0074200B"/>
    <w:rsid w:val="00753E67"/>
    <w:rsid w:val="00763428"/>
    <w:rsid w:val="00777BB8"/>
    <w:rsid w:val="00781598"/>
    <w:rsid w:val="00786B94"/>
    <w:rsid w:val="007A0AB2"/>
    <w:rsid w:val="007B3682"/>
    <w:rsid w:val="007C43E1"/>
    <w:rsid w:val="007D2558"/>
    <w:rsid w:val="007F436B"/>
    <w:rsid w:val="008103EB"/>
    <w:rsid w:val="00825BFB"/>
    <w:rsid w:val="00825E11"/>
    <w:rsid w:val="00827817"/>
    <w:rsid w:val="008336EA"/>
    <w:rsid w:val="008358B4"/>
    <w:rsid w:val="00846695"/>
    <w:rsid w:val="0087106D"/>
    <w:rsid w:val="00885D2F"/>
    <w:rsid w:val="00893D69"/>
    <w:rsid w:val="008A586E"/>
    <w:rsid w:val="008B2F8E"/>
    <w:rsid w:val="008B7C8F"/>
    <w:rsid w:val="008E7F9A"/>
    <w:rsid w:val="008F18BA"/>
    <w:rsid w:val="008F4A55"/>
    <w:rsid w:val="008F4AEC"/>
    <w:rsid w:val="00901E87"/>
    <w:rsid w:val="00906022"/>
    <w:rsid w:val="0091693B"/>
    <w:rsid w:val="00924F49"/>
    <w:rsid w:val="00936CDB"/>
    <w:rsid w:val="00952C9C"/>
    <w:rsid w:val="00954289"/>
    <w:rsid w:val="0095570B"/>
    <w:rsid w:val="00955EAA"/>
    <w:rsid w:val="009872F9"/>
    <w:rsid w:val="009A0C38"/>
    <w:rsid w:val="009A7CA0"/>
    <w:rsid w:val="009B0ABD"/>
    <w:rsid w:val="009B2777"/>
    <w:rsid w:val="009C1332"/>
    <w:rsid w:val="009D3419"/>
    <w:rsid w:val="009F113E"/>
    <w:rsid w:val="009F3DBF"/>
    <w:rsid w:val="00A034EF"/>
    <w:rsid w:val="00A06EF3"/>
    <w:rsid w:val="00A11187"/>
    <w:rsid w:val="00A15C27"/>
    <w:rsid w:val="00A33BC4"/>
    <w:rsid w:val="00A42B12"/>
    <w:rsid w:val="00A557E0"/>
    <w:rsid w:val="00A60D1C"/>
    <w:rsid w:val="00A7182B"/>
    <w:rsid w:val="00A85A85"/>
    <w:rsid w:val="00A8641A"/>
    <w:rsid w:val="00A93906"/>
    <w:rsid w:val="00A94D44"/>
    <w:rsid w:val="00AA0961"/>
    <w:rsid w:val="00AA26AB"/>
    <w:rsid w:val="00AB128B"/>
    <w:rsid w:val="00AB5338"/>
    <w:rsid w:val="00AD12D7"/>
    <w:rsid w:val="00AE2131"/>
    <w:rsid w:val="00AE3D06"/>
    <w:rsid w:val="00B01D46"/>
    <w:rsid w:val="00B10C80"/>
    <w:rsid w:val="00B11314"/>
    <w:rsid w:val="00B31830"/>
    <w:rsid w:val="00B40F3E"/>
    <w:rsid w:val="00B462A7"/>
    <w:rsid w:val="00B470CD"/>
    <w:rsid w:val="00B479E2"/>
    <w:rsid w:val="00B566C7"/>
    <w:rsid w:val="00B62A8C"/>
    <w:rsid w:val="00B66F48"/>
    <w:rsid w:val="00B723D5"/>
    <w:rsid w:val="00B7393C"/>
    <w:rsid w:val="00B774DA"/>
    <w:rsid w:val="00B8196B"/>
    <w:rsid w:val="00B96FE6"/>
    <w:rsid w:val="00BA294D"/>
    <w:rsid w:val="00BA798D"/>
    <w:rsid w:val="00BC19F6"/>
    <w:rsid w:val="00BE19B0"/>
    <w:rsid w:val="00BE3641"/>
    <w:rsid w:val="00BE6A7E"/>
    <w:rsid w:val="00BE7650"/>
    <w:rsid w:val="00BE79C9"/>
    <w:rsid w:val="00BF6C60"/>
    <w:rsid w:val="00BF6F87"/>
    <w:rsid w:val="00C00CE6"/>
    <w:rsid w:val="00C018BC"/>
    <w:rsid w:val="00C0543E"/>
    <w:rsid w:val="00C20234"/>
    <w:rsid w:val="00C2469C"/>
    <w:rsid w:val="00C26AC6"/>
    <w:rsid w:val="00C3239B"/>
    <w:rsid w:val="00C32454"/>
    <w:rsid w:val="00C40BE1"/>
    <w:rsid w:val="00C41F8B"/>
    <w:rsid w:val="00C54735"/>
    <w:rsid w:val="00C576F1"/>
    <w:rsid w:val="00C6150E"/>
    <w:rsid w:val="00C66746"/>
    <w:rsid w:val="00C7118C"/>
    <w:rsid w:val="00C773CB"/>
    <w:rsid w:val="00C80A1B"/>
    <w:rsid w:val="00C8173D"/>
    <w:rsid w:val="00C854B4"/>
    <w:rsid w:val="00C92FAC"/>
    <w:rsid w:val="00C93EA4"/>
    <w:rsid w:val="00C94025"/>
    <w:rsid w:val="00CA2997"/>
    <w:rsid w:val="00CA56F7"/>
    <w:rsid w:val="00CB01CE"/>
    <w:rsid w:val="00CB6C00"/>
    <w:rsid w:val="00CD0739"/>
    <w:rsid w:val="00CD21A9"/>
    <w:rsid w:val="00CD5053"/>
    <w:rsid w:val="00CE2007"/>
    <w:rsid w:val="00CE2316"/>
    <w:rsid w:val="00CE7790"/>
    <w:rsid w:val="00CF1FB4"/>
    <w:rsid w:val="00CF213E"/>
    <w:rsid w:val="00CF2596"/>
    <w:rsid w:val="00CF6365"/>
    <w:rsid w:val="00D04182"/>
    <w:rsid w:val="00D2198B"/>
    <w:rsid w:val="00D27D2D"/>
    <w:rsid w:val="00D33D7E"/>
    <w:rsid w:val="00D45278"/>
    <w:rsid w:val="00D477EF"/>
    <w:rsid w:val="00D53151"/>
    <w:rsid w:val="00D6286F"/>
    <w:rsid w:val="00D72094"/>
    <w:rsid w:val="00D970AA"/>
    <w:rsid w:val="00DA0C6A"/>
    <w:rsid w:val="00DC16C5"/>
    <w:rsid w:val="00DC6198"/>
    <w:rsid w:val="00DC7AD2"/>
    <w:rsid w:val="00DD029A"/>
    <w:rsid w:val="00DD49BB"/>
    <w:rsid w:val="00DE4D1C"/>
    <w:rsid w:val="00DF0EE4"/>
    <w:rsid w:val="00DF3A20"/>
    <w:rsid w:val="00E12FE6"/>
    <w:rsid w:val="00E23007"/>
    <w:rsid w:val="00E244A1"/>
    <w:rsid w:val="00E36D9F"/>
    <w:rsid w:val="00E37651"/>
    <w:rsid w:val="00E43322"/>
    <w:rsid w:val="00E540FC"/>
    <w:rsid w:val="00E56533"/>
    <w:rsid w:val="00E601E8"/>
    <w:rsid w:val="00E61F91"/>
    <w:rsid w:val="00E628C9"/>
    <w:rsid w:val="00E65368"/>
    <w:rsid w:val="00E679E7"/>
    <w:rsid w:val="00E7688C"/>
    <w:rsid w:val="00E86725"/>
    <w:rsid w:val="00E91087"/>
    <w:rsid w:val="00E97E58"/>
    <w:rsid w:val="00EA3C68"/>
    <w:rsid w:val="00EA4AF4"/>
    <w:rsid w:val="00EA528F"/>
    <w:rsid w:val="00EB2575"/>
    <w:rsid w:val="00EC1481"/>
    <w:rsid w:val="00ED2405"/>
    <w:rsid w:val="00ED3391"/>
    <w:rsid w:val="00ED5C2B"/>
    <w:rsid w:val="00EE0F94"/>
    <w:rsid w:val="00EE21C2"/>
    <w:rsid w:val="00EF0299"/>
    <w:rsid w:val="00EF15AD"/>
    <w:rsid w:val="00F1517F"/>
    <w:rsid w:val="00F21685"/>
    <w:rsid w:val="00F3580C"/>
    <w:rsid w:val="00F414AE"/>
    <w:rsid w:val="00F42CF5"/>
    <w:rsid w:val="00F4453D"/>
    <w:rsid w:val="00F468F7"/>
    <w:rsid w:val="00F47C6D"/>
    <w:rsid w:val="00F52B18"/>
    <w:rsid w:val="00F53221"/>
    <w:rsid w:val="00F57AE5"/>
    <w:rsid w:val="00F600CC"/>
    <w:rsid w:val="00F74A96"/>
    <w:rsid w:val="00F74F5B"/>
    <w:rsid w:val="00FA7030"/>
    <w:rsid w:val="00FB1380"/>
    <w:rsid w:val="00FB4E51"/>
    <w:rsid w:val="00FB6D67"/>
    <w:rsid w:val="00FC534B"/>
    <w:rsid w:val="00FC6F80"/>
    <w:rsid w:val="00FC7276"/>
    <w:rsid w:val="00FE2707"/>
    <w:rsid w:val="00FE31B7"/>
    <w:rsid w:val="00FE487B"/>
    <w:rsid w:val="00FE757F"/>
    <w:rsid w:val="00FF2153"/>
    <w:rsid w:val="00FF6C10"/>
    <w:rsid w:val="3577655F"/>
    <w:rsid w:val="404B5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07A5FB0"/>
  <w15:docId w15:val="{93CE526A-5646-41C7-B8AC-0A9B813A5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lsdException w:name="toc 4" w:uiPriority="39" w:unhideWhenUsed="1"/>
    <w:lsdException w:name="toc 5" w:uiPriority="39" w:unhideWhenUsed="1" w:qFormat="1"/>
    <w:lsdException w:name="toc 6" w:uiPriority="39" w:unhideWhenUsed="1" w:qFormat="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after="0" w:line="48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pPr>
      <w:keepNext/>
      <w:keepLines/>
      <w:spacing w:after="0" w:line="480" w:lineRule="auto"/>
      <w:jc w:val="both"/>
      <w:outlineLvl w:val="1"/>
    </w:pPr>
    <w:rPr>
      <w:rFonts w:ascii="Times New Roman" w:eastAsiaTheme="majorEastAsia" w:hAnsi="Times New Roman" w:cstheme="majorBidi"/>
      <w:b/>
      <w:sz w:val="24"/>
      <w:szCs w:val="26"/>
    </w:rPr>
  </w:style>
  <w:style w:type="paragraph" w:styleId="Heading3">
    <w:name w:val="heading 3"/>
    <w:basedOn w:val="Normal"/>
    <w:link w:val="Heading3Char"/>
    <w:uiPriority w:val="9"/>
    <w:qFormat/>
    <w:pPr>
      <w:spacing w:after="0" w:line="480" w:lineRule="auto"/>
      <w:jc w:val="both"/>
      <w:outlineLvl w:val="2"/>
    </w:pPr>
    <w:rPr>
      <w:rFonts w:ascii="Times New Roman" w:eastAsia="Times New Roman" w:hAnsi="Times New Roman" w:cs="Times New Roman"/>
      <w:b/>
      <w:bCs/>
      <w:sz w:val="24"/>
      <w:szCs w:val="27"/>
    </w:rPr>
  </w:style>
  <w:style w:type="paragraph" w:styleId="Heading4">
    <w:name w:val="heading 4"/>
    <w:basedOn w:val="Normal"/>
    <w:next w:val="Normal"/>
    <w:link w:val="Heading4Char"/>
    <w:uiPriority w:val="9"/>
    <w:unhideWhenUsed/>
    <w:qFormat/>
    <w:pPr>
      <w:keepNext/>
      <w:keepLines/>
      <w:spacing w:after="0" w:line="480" w:lineRule="auto"/>
      <w:jc w:val="both"/>
      <w:outlineLvl w:val="3"/>
    </w:pPr>
    <w:rPr>
      <w:rFonts w:ascii="Times New Roman" w:eastAsiaTheme="majorEastAsia" w:hAnsi="Times New Roman" w:cstheme="majorBidi"/>
      <w:b/>
      <w:iCs/>
      <w:color w:val="000000" w:themeColor="text1"/>
      <w:sz w:val="24"/>
    </w:rPr>
  </w:style>
  <w:style w:type="paragraph" w:styleId="Heading5">
    <w:name w:val="heading 5"/>
    <w:basedOn w:val="Normal"/>
    <w:next w:val="Normal"/>
    <w:link w:val="Heading5Char"/>
    <w:uiPriority w:val="9"/>
    <w:unhideWhenUsed/>
    <w:qFormat/>
    <w:pPr>
      <w:keepNext/>
      <w:keepLines/>
      <w:spacing w:after="0" w:line="480" w:lineRule="auto"/>
      <w:jc w:val="both"/>
      <w:outlineLvl w:val="4"/>
    </w:pPr>
    <w:rPr>
      <w:rFonts w:ascii="Times New Roman" w:eastAsiaTheme="majorEastAsia" w:hAnsi="Times New Roman" w:cstheme="majorBid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ind w:left="-5" w:hanging="10"/>
      <w:jc w:val="both"/>
    </w:pPr>
    <w:rPr>
      <w:rFonts w:ascii="Segoe UI" w:eastAsia="Times New Roman" w:hAnsi="Segoe UI" w:cs="Segoe UI"/>
      <w:color w:val="000000"/>
      <w:sz w:val="18"/>
      <w:szCs w:val="18"/>
    </w:rPr>
  </w:style>
  <w:style w:type="paragraph" w:styleId="BodyText">
    <w:name w:val="Body Text"/>
    <w:basedOn w:val="Normal"/>
    <w:link w:val="BodyTextChar1"/>
    <w:pPr>
      <w:spacing w:after="0" w:line="360" w:lineRule="auto"/>
      <w:jc w:val="both"/>
    </w:pPr>
    <w:rPr>
      <w:rFonts w:ascii="Times New Roman" w:eastAsia="Times New Roman" w:hAnsi="Times New Roman" w:cs="Times New Roman"/>
      <w:sz w:val="24"/>
      <w:szCs w:val="24"/>
      <w:lang w:val="zh-CN" w:eastAsia="zh-CN"/>
    </w:rPr>
  </w:style>
  <w:style w:type="paragraph" w:styleId="Caption">
    <w:name w:val="caption"/>
    <w:basedOn w:val="Normal"/>
    <w:next w:val="Normal"/>
    <w:uiPriority w:val="35"/>
    <w:unhideWhenUsed/>
    <w:qFormat/>
    <w:pPr>
      <w:spacing w:after="200" w:line="240" w:lineRule="auto"/>
      <w:jc w:val="both"/>
    </w:pPr>
    <w:rPr>
      <w:rFonts w:ascii="Times New Roman" w:hAnsi="Times New Roman"/>
      <w:bCs/>
      <w:i/>
      <w:sz w:val="24"/>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55" w:line="240" w:lineRule="auto"/>
      <w:ind w:left="-5" w:hanging="10"/>
      <w:jc w:val="both"/>
    </w:pPr>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pPr>
      <w:spacing w:after="0" w:line="240" w:lineRule="auto"/>
      <w:jc w:val="both"/>
    </w:pPr>
    <w:rPr>
      <w:rFonts w:ascii="Consolas" w:hAnsi="Consolas"/>
      <w:sz w:val="21"/>
      <w:szCs w:val="21"/>
    </w:rPr>
  </w:style>
  <w:style w:type="character" w:styleId="Strong">
    <w:name w:val="Strong"/>
    <w:autoRedefine/>
    <w:uiPriority w:val="22"/>
    <w:qFormat/>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after="0"/>
    </w:pPr>
  </w:style>
  <w:style w:type="paragraph" w:styleId="TOC1">
    <w:name w:val="toc 1"/>
    <w:basedOn w:val="Normal"/>
    <w:next w:val="Normal"/>
    <w:autoRedefine/>
    <w:uiPriority w:val="39"/>
    <w:unhideWhenUsed/>
    <w:pPr>
      <w:tabs>
        <w:tab w:val="right" w:leader="dot" w:pos="9356"/>
      </w:tabs>
      <w:spacing w:after="0" w:line="240" w:lineRule="auto"/>
      <w:ind w:right="-399"/>
    </w:pPr>
    <w:rPr>
      <w:rFonts w:ascii="Times New Roman" w:eastAsia="Calibri" w:hAnsi="Times New Roman" w:cs="Times New Roman"/>
      <w:b/>
      <w:sz w:val="24"/>
      <w:szCs w:val="24"/>
    </w:rPr>
  </w:style>
  <w:style w:type="paragraph" w:styleId="TOC2">
    <w:name w:val="toc 2"/>
    <w:basedOn w:val="Normal"/>
    <w:next w:val="Normal"/>
    <w:autoRedefine/>
    <w:uiPriority w:val="39"/>
    <w:unhideWhenUsed/>
    <w:qFormat/>
    <w:pPr>
      <w:tabs>
        <w:tab w:val="right" w:leader="dot" w:pos="8100"/>
        <w:tab w:val="right" w:leader="dot" w:pos="9214"/>
      </w:tabs>
      <w:spacing w:after="0" w:line="360" w:lineRule="auto"/>
      <w:ind w:left="360" w:right="65" w:hanging="360"/>
    </w:pPr>
    <w:rPr>
      <w:rFonts w:ascii="Times New Roman" w:hAnsi="Times New Roman" w:cs="Times New Roman"/>
      <w:color w:val="000000" w:themeColor="text1"/>
      <w:sz w:val="24"/>
      <w:szCs w:val="24"/>
    </w:rPr>
  </w:style>
  <w:style w:type="paragraph" w:styleId="TOC3">
    <w:name w:val="toc 3"/>
    <w:basedOn w:val="Normal"/>
    <w:next w:val="Normal"/>
    <w:autoRedefine/>
    <w:uiPriority w:val="39"/>
    <w:unhideWhenUsed/>
    <w:pPr>
      <w:tabs>
        <w:tab w:val="right" w:leader="dot" w:pos="8100"/>
      </w:tabs>
      <w:spacing w:after="0" w:line="360" w:lineRule="auto"/>
      <w:ind w:left="720" w:right="65" w:hanging="540"/>
    </w:pPr>
  </w:style>
  <w:style w:type="paragraph" w:styleId="TOC4">
    <w:name w:val="toc 4"/>
    <w:basedOn w:val="Normal"/>
    <w:next w:val="Normal"/>
    <w:autoRedefine/>
    <w:uiPriority w:val="39"/>
    <w:unhideWhenUsed/>
    <w:pPr>
      <w:spacing w:after="100"/>
      <w:ind w:left="660"/>
    </w:pPr>
    <w:rPr>
      <w:rFonts w:eastAsiaTheme="minorEastAsia"/>
    </w:rPr>
  </w:style>
  <w:style w:type="paragraph" w:styleId="TOC5">
    <w:name w:val="toc 5"/>
    <w:basedOn w:val="Normal"/>
    <w:next w:val="Normal"/>
    <w:autoRedefine/>
    <w:uiPriority w:val="39"/>
    <w:unhideWhenUsed/>
    <w:qFormat/>
    <w:pPr>
      <w:tabs>
        <w:tab w:val="right" w:leader="dot" w:pos="8100"/>
        <w:tab w:val="right" w:leader="dot" w:pos="8155"/>
      </w:tabs>
      <w:spacing w:after="0" w:line="360" w:lineRule="auto"/>
      <w:ind w:left="1710" w:right="65" w:hanging="830"/>
    </w:pPr>
    <w:rPr>
      <w:rFonts w:eastAsiaTheme="minorEastAsia"/>
    </w:rPr>
  </w:style>
  <w:style w:type="paragraph" w:styleId="TOC6">
    <w:name w:val="toc 6"/>
    <w:basedOn w:val="Normal"/>
    <w:next w:val="Normal"/>
    <w:autoRedefine/>
    <w:uiPriority w:val="39"/>
    <w:unhideWhenUsed/>
    <w:qFormat/>
    <w:pPr>
      <w:spacing w:after="100"/>
      <w:ind w:left="1100"/>
    </w:pPr>
    <w:rPr>
      <w:rFonts w:eastAsiaTheme="minorEastAsia"/>
    </w:rPr>
  </w:style>
  <w:style w:type="paragraph" w:styleId="TOC7">
    <w:name w:val="toc 7"/>
    <w:basedOn w:val="Normal"/>
    <w:next w:val="Normal"/>
    <w:autoRedefine/>
    <w:uiPriority w:val="39"/>
    <w:unhideWhenUsed/>
    <w:pPr>
      <w:spacing w:after="100"/>
      <w:ind w:left="1320"/>
    </w:pPr>
    <w:rPr>
      <w:rFonts w:eastAsiaTheme="minorEastAsia"/>
    </w:rPr>
  </w:style>
  <w:style w:type="paragraph" w:styleId="TOC8">
    <w:name w:val="toc 8"/>
    <w:basedOn w:val="Normal"/>
    <w:next w:val="Normal"/>
    <w:autoRedefine/>
    <w:uiPriority w:val="39"/>
    <w:unhideWhenUsed/>
    <w:pPr>
      <w:spacing w:after="100"/>
      <w:ind w:left="1540"/>
    </w:pPr>
    <w:rPr>
      <w:rFonts w:eastAsiaTheme="minorEastAsia"/>
    </w:rPr>
  </w:style>
  <w:style w:type="paragraph" w:styleId="TOC9">
    <w:name w:val="toc 9"/>
    <w:basedOn w:val="Normal"/>
    <w:next w:val="Normal"/>
    <w:autoRedefine/>
    <w:uiPriority w:val="39"/>
    <w:unhideWhenUsed/>
    <w:pPr>
      <w:spacing w:after="100"/>
      <w:ind w:left="1760"/>
    </w:pPr>
    <w:rPr>
      <w:rFonts w:eastAsiaTheme="minorEastAsia"/>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Pr>
      <w:rFonts w:ascii="Times New Roman" w:eastAsiaTheme="majorEastAsia" w:hAnsi="Times New Roman" w:cstheme="majorBidi"/>
      <w:b/>
      <w:iCs/>
      <w:color w:val="000000" w:themeColor="text1"/>
      <w:sz w:val="24"/>
      <w:szCs w:val="22"/>
    </w:rPr>
  </w:style>
  <w:style w:type="character" w:customStyle="1" w:styleId="Heading5Char">
    <w:name w:val="Heading 5 Char"/>
    <w:basedOn w:val="DefaultParagraphFont"/>
    <w:link w:val="Heading5"/>
    <w:uiPriority w:val="9"/>
    <w:qFormat/>
    <w:rPr>
      <w:rFonts w:ascii="Times New Roman" w:eastAsiaTheme="majorEastAsia" w:hAnsi="Times New Roman" w:cstheme="majorBidi"/>
      <w:b/>
      <w:sz w:val="24"/>
      <w:szCs w:val="22"/>
    </w:rPr>
  </w:style>
  <w:style w:type="character" w:customStyle="1" w:styleId="BalloonTextChar">
    <w:name w:val="Balloon Text Char"/>
    <w:basedOn w:val="DefaultParagraphFont"/>
    <w:link w:val="BalloonText"/>
    <w:uiPriority w:val="99"/>
    <w:semiHidden/>
    <w:rPr>
      <w:rFonts w:ascii="Segoe UI" w:eastAsia="Times New Roman" w:hAnsi="Segoe UI" w:cs="Segoe UI"/>
      <w:color w:val="000000"/>
      <w:sz w:val="18"/>
      <w:szCs w:val="18"/>
    </w:rPr>
  </w:style>
  <w:style w:type="character" w:customStyle="1" w:styleId="BodyTextChar1">
    <w:name w:val="Body Text Char1"/>
    <w:link w:val="BodyText"/>
    <w:rPr>
      <w:rFonts w:ascii="Times New Roman" w:eastAsia="Times New Roman" w:hAnsi="Times New Roman" w:cs="Times New Roman"/>
      <w:sz w:val="24"/>
      <w:szCs w:val="24"/>
      <w:lang w:val="zh-CN" w:eastAsia="zh-CN"/>
    </w:rPr>
  </w:style>
  <w:style w:type="character" w:customStyle="1" w:styleId="BodyTextChar">
    <w:name w:val="Body Text Char"/>
    <w:basedOn w:val="DefaultParagraphFont"/>
    <w:uiPriority w:val="99"/>
    <w:semiHidden/>
    <w:qFormat/>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color w:val="000000"/>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color w:val="000000"/>
      <w:sz w:val="20"/>
      <w:szCs w:val="20"/>
    </w:rPr>
  </w:style>
  <w:style w:type="character" w:customStyle="1" w:styleId="FooterChar">
    <w:name w:val="Footer Char"/>
    <w:basedOn w:val="DefaultParagraphFont"/>
    <w:link w:val="Footer"/>
    <w:uiPriority w:val="99"/>
  </w:style>
  <w:style w:type="character" w:customStyle="1" w:styleId="HeaderChar">
    <w:name w:val="Header Char"/>
    <w:basedOn w:val="DefaultParagraphFont"/>
    <w:link w:val="Header"/>
    <w:uiPriority w:val="99"/>
    <w:qFormat/>
  </w:style>
  <w:style w:type="character" w:customStyle="1" w:styleId="PlainTextChar">
    <w:name w:val="Plain Text Char"/>
    <w:basedOn w:val="DefaultParagraphFont"/>
    <w:link w:val="PlainText"/>
    <w:uiPriority w:val="99"/>
    <w:qFormat/>
    <w:rPr>
      <w:rFonts w:ascii="Consolas" w:hAnsi="Consolas"/>
      <w:sz w:val="21"/>
      <w:szCs w:val="21"/>
    </w:rPr>
  </w:style>
  <w:style w:type="character" w:customStyle="1" w:styleId="element-citation">
    <w:name w:val="element-citation"/>
    <w:basedOn w:val="DefaultParagraphFont"/>
  </w:style>
  <w:style w:type="character" w:customStyle="1" w:styleId="listitemlabel">
    <w:name w:val="listitemlabel"/>
    <w:basedOn w:val="DefaultParagraphFont"/>
  </w:style>
  <w:style w:type="paragraph" w:styleId="ListParagraph">
    <w:name w:val="List Paragraph"/>
    <w:basedOn w:val="Normal"/>
    <w:uiPriority w:val="34"/>
    <w:qFormat/>
    <w:pPr>
      <w:spacing w:after="55" w:line="242" w:lineRule="auto"/>
      <w:ind w:left="720" w:hanging="10"/>
      <w:contextualSpacing/>
      <w:jc w:val="both"/>
    </w:pPr>
    <w:rPr>
      <w:rFonts w:ascii="Times New Roman" w:eastAsia="Times New Roman" w:hAnsi="Times New Roman" w:cs="Times New Roman"/>
      <w:color w:val="000000"/>
      <w:sz w:val="24"/>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character" w:customStyle="1" w:styleId="ilfuvd">
    <w:name w:val="ilfuvd"/>
    <w:basedOn w:val="DefaultParagraphFont"/>
  </w:style>
  <w:style w:type="character" w:customStyle="1" w:styleId="topic-highlight">
    <w:name w:val="topic-highlight"/>
    <w:basedOn w:val="DefaultParagraphFont"/>
  </w:style>
  <w:style w:type="character" w:customStyle="1" w:styleId="ff6">
    <w:name w:val="ff6"/>
    <w:basedOn w:val="DefaultParagraphFont"/>
    <w:autoRedefine/>
  </w:style>
  <w:style w:type="character" w:customStyle="1" w:styleId="lsa">
    <w:name w:val="lsa"/>
    <w:basedOn w:val="DefaultParagraphFont"/>
  </w:style>
  <w:style w:type="character" w:customStyle="1" w:styleId="ff8">
    <w:name w:val="ff8"/>
    <w:basedOn w:val="DefaultParagraphFont"/>
  </w:style>
  <w:style w:type="character" w:customStyle="1" w:styleId="ws37">
    <w:name w:val="ws37"/>
    <w:basedOn w:val="DefaultParagraphFont"/>
  </w:style>
  <w:style w:type="character" w:customStyle="1" w:styleId="ws3a">
    <w:name w:val="ws3a"/>
    <w:basedOn w:val="DefaultParagraphFont"/>
  </w:style>
  <w:style w:type="character" w:customStyle="1" w:styleId="ws15">
    <w:name w:val="ws15"/>
    <w:basedOn w:val="DefaultParagraphFont"/>
  </w:style>
  <w:style w:type="character" w:customStyle="1" w:styleId="a">
    <w:name w:val="_"/>
    <w:basedOn w:val="DefaultParagraphFont"/>
  </w:style>
  <w:style w:type="paragraph" w:styleId="NoSpacing">
    <w:name w:val="No Spacing"/>
    <w:link w:val="NoSpacingChar"/>
    <w:uiPriority w:val="1"/>
    <w:qFormat/>
    <w:pPr>
      <w:ind w:left="751" w:right="-14" w:hanging="10"/>
      <w:jc w:val="both"/>
    </w:pPr>
    <w:rPr>
      <w:rFonts w:ascii="Calibri" w:eastAsia="Calibri" w:hAnsi="Calibri" w:cs="Calibri"/>
      <w:color w:val="000000"/>
      <w:sz w:val="22"/>
      <w:szCs w:val="22"/>
    </w:rPr>
  </w:style>
  <w:style w:type="character" w:customStyle="1" w:styleId="NoSpacingChar">
    <w:name w:val="No Spacing Char"/>
    <w:link w:val="NoSpacing"/>
    <w:uiPriority w:val="1"/>
    <w:rPr>
      <w:rFonts w:ascii="Calibri" w:eastAsia="Calibri" w:hAnsi="Calibri" w:cs="Calibri"/>
      <w:color w:val="000000"/>
    </w:rPr>
  </w:style>
  <w:style w:type="character" w:customStyle="1" w:styleId="contribdegrees">
    <w:name w:val="contribdegrees"/>
    <w:basedOn w:val="DefaultParagraphFont"/>
  </w:style>
  <w:style w:type="paragraph" w:customStyle="1" w:styleId="inline">
    <w:name w:val="inlin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DefaultParagraphFont"/>
  </w:style>
  <w:style w:type="character" w:customStyle="1" w:styleId="personname">
    <w:name w:val="person_name"/>
    <w:basedOn w:val="DefaultParagraphFont"/>
  </w:style>
  <w:style w:type="character" w:customStyle="1" w:styleId="CharChar1">
    <w:name w:val="Char Char1"/>
    <w:locked/>
    <w:rPr>
      <w:rFonts w:ascii="Arial" w:hAnsi="Arial" w:cs="Arial"/>
      <w:b/>
      <w:bCs/>
      <w:i/>
      <w:iCs/>
      <w:sz w:val="28"/>
      <w:szCs w:val="28"/>
      <w:lang w:val="en-US" w:eastAsia="en-US" w:bidi="ar-SA"/>
    </w:rPr>
  </w:style>
  <w:style w:type="character" w:customStyle="1" w:styleId="comp">
    <w:name w:val="comp"/>
    <w:basedOn w:val="DefaultParagraphFont"/>
  </w:style>
  <w:style w:type="character" w:customStyle="1" w:styleId="hi-italic">
    <w:name w:val="hi-italic"/>
    <w:basedOn w:val="DefaultParagraphFont"/>
  </w:style>
  <w:style w:type="character" w:customStyle="1" w:styleId="ls5">
    <w:name w:val="ls5"/>
    <w:basedOn w:val="DefaultParagraphFont"/>
  </w:style>
  <w:style w:type="character" w:customStyle="1" w:styleId="ff1">
    <w:name w:val="ff1"/>
    <w:basedOn w:val="DefaultParagraphFont"/>
  </w:style>
  <w:style w:type="character" w:customStyle="1" w:styleId="ls4">
    <w:name w:val="ls4"/>
    <w:basedOn w:val="DefaultParagraphFont"/>
  </w:style>
  <w:style w:type="character" w:customStyle="1" w:styleId="lsb">
    <w:name w:val="lsb"/>
    <w:basedOn w:val="DefaultParagraphFont"/>
  </w:style>
  <w:style w:type="character" w:customStyle="1" w:styleId="ff9">
    <w:name w:val="ff9"/>
    <w:basedOn w:val="DefaultParagraphFont"/>
  </w:style>
  <w:style w:type="character" w:customStyle="1" w:styleId="ff4">
    <w:name w:val="ff4"/>
    <w:basedOn w:val="DefaultParagraphFont"/>
  </w:style>
  <w:style w:type="character" w:customStyle="1" w:styleId="info-text">
    <w:name w:val="info-text"/>
    <w:basedOn w:val="DefaultParagraphFont"/>
  </w:style>
  <w:style w:type="paragraph" w:customStyle="1" w:styleId="TOCHeading1">
    <w:name w:val="TOC Heading1"/>
    <w:basedOn w:val="Heading1"/>
    <w:next w:val="Normal"/>
    <w:uiPriority w:val="39"/>
    <w:unhideWhenUsed/>
    <w:qFormat/>
    <w:pPr>
      <w:outlineLvl w:val="9"/>
    </w:pPr>
  </w:style>
  <w:style w:type="table" w:customStyle="1" w:styleId="TableGrid0">
    <w:name w:val="TableGrid"/>
    <w:rPr>
      <w:rFonts w:eastAsiaTheme="minorEastAsia"/>
    </w:rPr>
    <w:tblPr>
      <w:tblCellMar>
        <w:top w:w="0" w:type="dxa"/>
        <w:left w:w="0" w:type="dxa"/>
        <w:bottom w:w="0" w:type="dxa"/>
        <w:right w:w="0" w:type="dxa"/>
      </w:tblCellMar>
    </w:tblPr>
  </w:style>
  <w:style w:type="paragraph" w:customStyle="1" w:styleId="msonormal0">
    <w:name w:val="msonormal"/>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s7">
    <w:name w:val="ls7"/>
    <w:basedOn w:val="DefaultParagraphFont"/>
  </w:style>
  <w:style w:type="character" w:customStyle="1" w:styleId="lsf">
    <w:name w:val="lsf"/>
    <w:basedOn w:val="DefaultParagraphFont"/>
  </w:style>
  <w:style w:type="character" w:customStyle="1" w:styleId="ls10">
    <w:name w:val="ls10"/>
    <w:basedOn w:val="DefaultParagraphFont"/>
  </w:style>
  <w:style w:type="character" w:customStyle="1" w:styleId="ffa">
    <w:name w:val="ffa"/>
    <w:basedOn w:val="DefaultParagraphFont"/>
  </w:style>
  <w:style w:type="character" w:customStyle="1" w:styleId="fs1">
    <w:name w:val="fs1"/>
    <w:basedOn w:val="DefaultParagraphFont"/>
  </w:style>
  <w:style w:type="character" w:customStyle="1" w:styleId="ws5">
    <w:name w:val="ws5"/>
    <w:basedOn w:val="DefaultParagraphFont"/>
  </w:style>
  <w:style w:type="character" w:customStyle="1" w:styleId="fs9">
    <w:name w:val="fs9"/>
    <w:basedOn w:val="DefaultParagraphFont"/>
  </w:style>
  <w:style w:type="character" w:customStyle="1" w:styleId="ls1c">
    <w:name w:val="ls1c"/>
    <w:basedOn w:val="DefaultParagraphFont"/>
  </w:style>
  <w:style w:type="character" w:customStyle="1" w:styleId="ls1d">
    <w:name w:val="ls1d"/>
    <w:basedOn w:val="DefaultParagraphFont"/>
  </w:style>
  <w:style w:type="character" w:customStyle="1" w:styleId="given-names">
    <w:name w:val="given-names"/>
    <w:basedOn w:val="DefaultParagraphFont"/>
  </w:style>
  <w:style w:type="character" w:customStyle="1" w:styleId="surname">
    <w:name w:val="surname"/>
    <w:basedOn w:val="DefaultParagraphFont"/>
  </w:style>
  <w:style w:type="character" w:customStyle="1" w:styleId="intentjournaltitle">
    <w:name w:val="intent_journal_title"/>
    <w:basedOn w:val="DefaultParagraphFont"/>
  </w:style>
  <w:style w:type="paragraph" w:customStyle="1" w:styleId="intentitem">
    <w:name w:val="intent_item"/>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
    <w:name w:val="referenc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mixed-citation">
    <w:name w:val="reference__mixed-citation"/>
    <w:basedOn w:val="DefaultParagraphFont"/>
  </w:style>
  <w:style w:type="character" w:customStyle="1" w:styleId="referenceperson-group">
    <w:name w:val="reference__person-group"/>
    <w:basedOn w:val="DefaultParagraphFont"/>
  </w:style>
  <w:style w:type="character" w:customStyle="1" w:styleId="referencestring-name">
    <w:name w:val="reference__string-name"/>
    <w:basedOn w:val="DefaultParagraphFont"/>
  </w:style>
  <w:style w:type="character" w:customStyle="1" w:styleId="referencesurname">
    <w:name w:val="reference__surname"/>
    <w:basedOn w:val="DefaultParagraphFont"/>
  </w:style>
  <w:style w:type="character" w:customStyle="1" w:styleId="referencegiven-names">
    <w:name w:val="reference__given-names"/>
    <w:basedOn w:val="DefaultParagraphFont"/>
  </w:style>
  <w:style w:type="character" w:customStyle="1" w:styleId="referenceyear">
    <w:name w:val="reference__year"/>
    <w:basedOn w:val="DefaultParagraphFont"/>
  </w:style>
  <w:style w:type="character" w:customStyle="1" w:styleId="referencearticle-title">
    <w:name w:val="reference__article-title"/>
    <w:basedOn w:val="DefaultParagraphFont"/>
  </w:style>
  <w:style w:type="character" w:customStyle="1" w:styleId="referencesource">
    <w:name w:val="reference__source"/>
    <w:basedOn w:val="DefaultParagraphFont"/>
  </w:style>
  <w:style w:type="character" w:customStyle="1" w:styleId="referencevolume">
    <w:name w:val="reference__volume"/>
    <w:basedOn w:val="DefaultParagraphFont"/>
  </w:style>
  <w:style w:type="character" w:customStyle="1" w:styleId="referenceissue">
    <w:name w:val="reference__issue"/>
    <w:basedOn w:val="DefaultParagraphFont"/>
  </w:style>
  <w:style w:type="character" w:customStyle="1" w:styleId="referencefpage">
    <w:name w:val="reference__fpage"/>
    <w:basedOn w:val="DefaultParagraphFont"/>
  </w:style>
  <w:style w:type="character" w:customStyle="1" w:styleId="referencelpage">
    <w:name w:val="reference__lpage"/>
    <w:basedOn w:val="DefaultParagraphFont"/>
  </w:style>
  <w:style w:type="paragraph" w:customStyle="1" w:styleId="MyFigures">
    <w:name w:val="My Figures"/>
    <w:basedOn w:val="Caption"/>
    <w:next w:val="Caption"/>
    <w:qFormat/>
    <w:rPr>
      <w:bCs w:val="0"/>
      <w:i w:val="0"/>
      <w:iCs/>
    </w:rPr>
  </w:style>
  <w:style w:type="character" w:customStyle="1" w:styleId="BalloonTextChar1">
    <w:name w:val="Balloon Text Char1"/>
    <w:basedOn w:val="DefaultParagraphFont"/>
    <w:uiPriority w:val="99"/>
    <w:semiHidden/>
    <w:rPr>
      <w:rFonts w:ascii="Tahoma" w:hAnsi="Tahoma" w:cs="Tahoma"/>
      <w:sz w:val="16"/>
      <w:szCs w:val="16"/>
    </w:rPr>
  </w:style>
  <w:style w:type="character" w:customStyle="1" w:styleId="CommentSubjectChar1">
    <w:name w:val="Comment Subject Char1"/>
    <w:basedOn w:val="CommentTextChar"/>
    <w:uiPriority w:val="99"/>
    <w:semiHidden/>
    <w:rPr>
      <w:rFonts w:ascii="Times New Roman" w:eastAsia="Times New Roman" w:hAnsi="Times New Roman" w:cs="Times New Roman"/>
      <w:b/>
      <w:bCs/>
      <w:color w:val="000000"/>
      <w:sz w:val="20"/>
      <w:szCs w:val="20"/>
    </w:rPr>
  </w:style>
  <w:style w:type="paragraph" w:customStyle="1" w:styleId="Revision1">
    <w:name w:val="Revision1"/>
    <w:hidden/>
    <w:uiPriority w:val="99"/>
    <w:semiHidden/>
    <w:rPr>
      <w:sz w:val="22"/>
      <w:szCs w:val="2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TOCHeading2">
    <w:name w:val="TOC Heading2"/>
    <w:basedOn w:val="Heading1"/>
    <w:next w:val="Normal"/>
    <w:uiPriority w:val="39"/>
    <w:unhideWhenUsed/>
    <w:qFormat/>
    <w:pPr>
      <w:spacing w:before="240" w:line="259" w:lineRule="auto"/>
      <w:jc w:val="left"/>
      <w:outlineLvl w:val="9"/>
    </w:pPr>
    <w:rPr>
      <w:rFonts w:asciiTheme="majorHAnsi" w:hAnsiTheme="majorHAnsi"/>
      <w:b w:val="0"/>
      <w:color w:val="365F91"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chart" Target="charts/chart2.xml"/><Relationship Id="rId39" Type="http://schemas.openxmlformats.org/officeDocument/2006/relationships/image" Target="media/image23.emf"/><Relationship Id="rId21" Type="http://schemas.openxmlformats.org/officeDocument/2006/relationships/header" Target="header2.xml"/><Relationship Id="rId34" Type="http://schemas.openxmlformats.org/officeDocument/2006/relationships/chart" Target="charts/chart5.xml"/><Relationship Id="rId42" Type="http://schemas.openxmlformats.org/officeDocument/2006/relationships/image" Target="media/image26.emf"/><Relationship Id="rId47" Type="http://schemas.openxmlformats.org/officeDocument/2006/relationships/diagramLayout" Target="diagrams/layout1.xml"/><Relationship Id="rId50" Type="http://schemas.microsoft.com/office/2007/relationships/diagramDrawing" Target="diagrams/drawing1.xml"/><Relationship Id="rId55" Type="http://schemas.openxmlformats.org/officeDocument/2006/relationships/hyperlink" Target="http://leeds.ac.uk/educol/documents/00001304.htm" TargetMode="External"/><Relationship Id="rId63" Type="http://schemas.openxmlformats.org/officeDocument/2006/relationships/image" Target="media/image33.png"/><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emf"/><Relationship Id="rId32" Type="http://schemas.openxmlformats.org/officeDocument/2006/relationships/image" Target="media/image18.emf"/><Relationship Id="rId37" Type="http://schemas.openxmlformats.org/officeDocument/2006/relationships/image" Target="media/image21.emf"/><Relationship Id="rId40" Type="http://schemas.openxmlformats.org/officeDocument/2006/relationships/image" Target="media/image24.emf"/><Relationship Id="rId45" Type="http://schemas.openxmlformats.org/officeDocument/2006/relationships/image" Target="media/image29.emf"/><Relationship Id="rId53" Type="http://schemas.openxmlformats.org/officeDocument/2006/relationships/hyperlink" Target="https://www.emerald.com/insight/publication/issn/2059-5816" TargetMode="External"/><Relationship Id="rId58" Type="http://schemas.openxmlformats.org/officeDocument/2006/relationships/hyperlink" Target="https://www.emerald.com/insight/publication/issn/0090-7324" TargetMode="External"/><Relationship Id="rId66"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3.emf"/><Relationship Id="rId28" Type="http://schemas.openxmlformats.org/officeDocument/2006/relationships/image" Target="media/image16.emf"/><Relationship Id="rId36" Type="http://schemas.openxmlformats.org/officeDocument/2006/relationships/chart" Target="charts/chart6.xml"/><Relationship Id="rId49" Type="http://schemas.openxmlformats.org/officeDocument/2006/relationships/diagramColors" Target="diagrams/colors1.xml"/><Relationship Id="rId57" Type="http://schemas.openxmlformats.org/officeDocument/2006/relationships/hyperlink" Target="https://www.emerald.com/insight/search?q=Lynn%20D.%20Lampert" TargetMode="External"/><Relationship Id="rId61" Type="http://schemas.openxmlformats.org/officeDocument/2006/relationships/image" Target="media/image31.pn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17.emf"/><Relationship Id="rId44" Type="http://schemas.openxmlformats.org/officeDocument/2006/relationships/image" Target="media/image28.emf"/><Relationship Id="rId52" Type="http://schemas.openxmlformats.org/officeDocument/2006/relationships/hyperlink" Target="https://www.emerald.com/insight/search?q=Arslan%20Sheikh" TargetMode="External"/><Relationship Id="rId60" Type="http://schemas.openxmlformats.org/officeDocument/2006/relationships/image" Target="media/image30.png"/><Relationship Id="rId65" Type="http://schemas.openxmlformats.org/officeDocument/2006/relationships/image" Target="media/image35.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image" Target="media/image15.emf"/><Relationship Id="rId30" Type="http://schemas.openxmlformats.org/officeDocument/2006/relationships/chart" Target="charts/chart4.xml"/><Relationship Id="rId35" Type="http://schemas.openxmlformats.org/officeDocument/2006/relationships/image" Target="media/image20.emf"/><Relationship Id="rId43" Type="http://schemas.openxmlformats.org/officeDocument/2006/relationships/image" Target="media/image27.emf"/><Relationship Id="rId48" Type="http://schemas.openxmlformats.org/officeDocument/2006/relationships/diagramQuickStyle" Target="diagrams/quickStyle1.xml"/><Relationship Id="rId56" Type="http://schemas.openxmlformats.org/officeDocument/2006/relationships/hyperlink" Target="http://www.vvenkatesh.com/it/organizations/%20Theoretical_Models.asp" TargetMode="External"/><Relationship Id="rId64" Type="http://schemas.openxmlformats.org/officeDocument/2006/relationships/image" Target="media/image34.png"/><Relationship Id="rId8" Type="http://schemas.openxmlformats.org/officeDocument/2006/relationships/endnotes" Target="endnotes.xml"/><Relationship Id="rId51" Type="http://schemas.openxmlformats.org/officeDocument/2006/relationships/hyperlink" Target="https://www.emerald.com/insight/search?q=Toqeer%20Ahmad" TargetMode="Externa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image" Target="media/image8.jpeg"/><Relationship Id="rId25" Type="http://schemas.openxmlformats.org/officeDocument/2006/relationships/chart" Target="charts/chart1.xml"/><Relationship Id="rId33" Type="http://schemas.openxmlformats.org/officeDocument/2006/relationships/image" Target="media/image19.emf"/><Relationship Id="rId38" Type="http://schemas.openxmlformats.org/officeDocument/2006/relationships/image" Target="media/image22.emf"/><Relationship Id="rId46" Type="http://schemas.openxmlformats.org/officeDocument/2006/relationships/diagramData" Target="diagrams/data1.xml"/><Relationship Id="rId59" Type="http://schemas.openxmlformats.org/officeDocument/2006/relationships/hyperlink" Target="https://doi.org/10.1108/00907320410569699" TargetMode="External"/><Relationship Id="rId67" Type="http://schemas.openxmlformats.org/officeDocument/2006/relationships/fontTable" Target="fontTable.xml"/><Relationship Id="rId20" Type="http://schemas.openxmlformats.org/officeDocument/2006/relationships/image" Target="media/image11.jpeg"/><Relationship Id="rId41" Type="http://schemas.openxmlformats.org/officeDocument/2006/relationships/image" Target="media/image25.emf"/><Relationship Id="rId54" Type="http://schemas.openxmlformats.org/officeDocument/2006/relationships/hyperlink" Target="https://doi.org/10.1108/DLP-03-2021-0027" TargetMode="External"/><Relationship Id="rId62" Type="http://schemas.openxmlformats.org/officeDocument/2006/relationships/image" Target="media/image32.png"/></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r>
              <a:rPr lang="en-US" sz="1000">
                <a:latin typeface="Times New Roman" panose="02020603050405020304" charset="0"/>
                <a:cs typeface="Times New Roman" panose="02020603050405020304" charset="0"/>
              </a:rPr>
              <a:t>Availability of ILS policy  in the two selected public universities</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16C-481A-8E86-53A65440739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16C-481A-8E86-53A65440739F}"/>
              </c:ext>
            </c:extLst>
          </c:dPt>
          <c:dLbls>
            <c:dLbl>
              <c:idx val="0"/>
              <c:tx>
                <c:rich>
                  <a:bodyPr rot="0" spcFirstLastPara="1" vertOverflow="ellipsis" vert="horz" wrap="square" lIns="38100" tIns="19050" rIns="38100" bIns="19050" anchor="ctr" anchorCtr="1">
                    <a:spAutoFit/>
                  </a:bodyPr>
                  <a:lstStyle/>
                  <a:p>
                    <a:pPr>
                      <a:defRPr lang="en-US" sz="1000" b="0" i="0" u="none" strike="noStrike" kern="1200" baseline="0">
                        <a:solidFill>
                          <a:schemeClr val="lt1"/>
                        </a:solidFill>
                        <a:latin typeface="Times New Roman" panose="02020603050405020304" charset="0"/>
                        <a:ea typeface="+mn-ea"/>
                        <a:cs typeface="Times New Roman" panose="02020603050405020304" charset="0"/>
                      </a:defRPr>
                    </a:pPr>
                    <a:r>
                      <a:rPr lang="en-US" b="0"/>
                      <a:t>YES, 198</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dLblPos val="ct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16C-481A-8E86-53A65440739F}"/>
                </c:ext>
              </c:extLst>
            </c:dLbl>
            <c:dLbl>
              <c:idx val="1"/>
              <c:tx>
                <c:rich>
                  <a:bodyPr rot="0" spcFirstLastPara="1" vertOverflow="ellipsis" vert="horz" wrap="square" lIns="38100" tIns="19050" rIns="38100" bIns="19050" anchor="ctr" anchorCtr="1">
                    <a:spAutoFit/>
                  </a:bodyPr>
                  <a:lstStyle/>
                  <a:p>
                    <a:pPr>
                      <a:defRPr lang="en-US" sz="1000" b="0" i="0" u="none" strike="noStrike" kern="1200" baseline="0">
                        <a:solidFill>
                          <a:schemeClr val="lt1"/>
                        </a:solidFill>
                        <a:latin typeface="Times New Roman" panose="02020603050405020304" charset="0"/>
                        <a:ea typeface="+mn-ea"/>
                        <a:cs typeface="Times New Roman" panose="02020603050405020304" charset="0"/>
                      </a:defRPr>
                    </a:pPr>
                    <a:r>
                      <a:rPr lang="en-US" b="0"/>
                      <a:t>NO, 57</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dLblPos val="ct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16C-481A-8E86-53A65440739F}"/>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Times New Roman" panose="02020603050405020304" charset="0"/>
                    <a:ea typeface="+mn-ea"/>
                    <a:cs typeface="Times New Roman" panose="02020603050405020304" charset="0"/>
                  </a:defRPr>
                </a:pPr>
                <a:endParaRPr lang="en-US"/>
              </a:p>
            </c:txPr>
            <c:dLblPos val="ctr"/>
            <c:showLegendKey val="0"/>
            <c:showVal val="0"/>
            <c:showCatName val="0"/>
            <c:showSerName val="0"/>
            <c:showPercent val="1"/>
            <c:showBubbleSize val="0"/>
            <c:showLeaderLines val="1"/>
            <c:leaderLines>
              <c:spPr>
                <a:ln w="9525" cap="flat" cmpd="sng" algn="ctr">
                  <a:solidFill>
                    <a:schemeClr val="dk1">
                      <a:lumMod val="50000"/>
                      <a:lumOff val="50000"/>
                    </a:schemeClr>
                  </a:solidFill>
                  <a:prstDash val="solid"/>
                  <a:round/>
                </a:ln>
                <a:effectLst/>
              </c:spPr>
            </c:leaderLines>
            <c:extLst>
              <c:ext xmlns:c15="http://schemas.microsoft.com/office/drawing/2012/chart" uri="{CE6537A1-D6FC-4f65-9D91-7224C49458BB}"/>
            </c:extLst>
          </c:dLbls>
          <c:cat>
            <c:strRef>
              <c:f>Sheet1!$D$3:$E$3</c:f>
              <c:strCache>
                <c:ptCount val="2"/>
                <c:pt idx="0">
                  <c:v>YES</c:v>
                </c:pt>
                <c:pt idx="1">
                  <c:v>NO</c:v>
                </c:pt>
              </c:strCache>
            </c:strRef>
          </c:cat>
          <c:val>
            <c:numRef>
              <c:f>Sheet1!$D$4:$E$4</c:f>
              <c:numCache>
                <c:formatCode>General</c:formatCode>
                <c:ptCount val="2"/>
                <c:pt idx="0">
                  <c:v>198</c:v>
                </c:pt>
                <c:pt idx="1">
                  <c:v>57</c:v>
                </c:pt>
              </c:numCache>
            </c:numRef>
          </c:val>
          <c:extLst>
            <c:ext xmlns:c16="http://schemas.microsoft.com/office/drawing/2014/chart" uri="{C3380CC4-5D6E-409C-BE32-E72D297353CC}">
              <c16:uniqueId val="{00000004-D16C-481A-8E86-53A65440739F}"/>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extLst>
      <c:ext uri="{0b15fc19-7d7d-44ad-8c2d-2c3a37ce22c3}">
        <chartProps xmlns="https://web.wps.cn/et/2018/main" chartId="{6e0c2b47-69da-43cf-b323-bd69d8dfc46b}"/>
      </c:ext>
    </c:extLst>
  </c:chart>
  <c:spPr>
    <a:gradFill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en-US"/>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1" i="0" u="none" strike="noStrike" kern="1200" cap="all" spc="150" baseline="0">
                <a:solidFill>
                  <a:schemeClr val="tx1">
                    <a:lumMod val="50000"/>
                    <a:lumOff val="50000"/>
                  </a:schemeClr>
                </a:solidFill>
                <a:latin typeface="+mn-lt"/>
                <a:ea typeface="+mn-ea"/>
                <a:cs typeface="+mn-cs"/>
              </a:defRPr>
            </a:pPr>
            <a:r>
              <a:rPr lang="en-US"/>
              <a:t>Availability of a formal ILS policy  </a:t>
            </a:r>
          </a:p>
        </c:rich>
      </c:tx>
      <c:overlay val="0"/>
      <c:spPr>
        <a:noFill/>
        <a:ln>
          <a:noFill/>
        </a:ln>
        <a:effectLst/>
      </c:spPr>
    </c:title>
    <c:autoTitleDeleted val="0"/>
    <c:plotArea>
      <c:layout/>
      <c:barChart>
        <c:barDir val="col"/>
        <c:grouping val="clustered"/>
        <c:varyColors val="0"/>
        <c:ser>
          <c:idx val="0"/>
          <c:order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invertIfNegative val="0"/>
          <c:dLbls>
            <c:dLbl>
              <c:idx val="0"/>
              <c:tx>
                <c:rich>
                  <a:bodyPr/>
                  <a:lstStyle/>
                  <a:p>
                    <a:r>
                      <a:rPr lang="en-US"/>
                      <a:t>NO, 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6BE-4EF0-9DE1-1D87CE5E6697}"/>
                </c:ext>
              </c:extLst>
            </c:dLbl>
            <c:dLbl>
              <c:idx val="1"/>
              <c:tx>
                <c:rich>
                  <a:bodyPr/>
                  <a:lstStyle/>
                  <a:p>
                    <a:r>
                      <a:rPr lang="en-US"/>
                      <a:t>YES,</a:t>
                    </a:r>
                    <a:r>
                      <a:rPr lang="en-US" baseline="0"/>
                      <a:t> 56</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BE-4EF0-9DE1-1D87CE5E6697}"/>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Sheet1!$D$4:$E$5</c:f>
              <c:strCache>
                <c:ptCount val="2"/>
                <c:pt idx="0">
                  <c:v>YES</c:v>
                </c:pt>
                <c:pt idx="1">
                  <c:v>NO</c:v>
                </c:pt>
              </c:strCache>
            </c:strRef>
          </c:cat>
          <c:val>
            <c:numRef>
              <c:f>Sheet1!$D$6:$E$6</c:f>
              <c:numCache>
                <c:formatCode>General</c:formatCode>
                <c:ptCount val="2"/>
                <c:pt idx="0">
                  <c:v>13</c:v>
                </c:pt>
                <c:pt idx="1">
                  <c:v>115</c:v>
                </c:pt>
              </c:numCache>
            </c:numRef>
          </c:val>
          <c:extLst>
            <c:ext xmlns:c16="http://schemas.microsoft.com/office/drawing/2014/chart" uri="{C3380CC4-5D6E-409C-BE32-E72D297353CC}">
              <c16:uniqueId val="{00000002-F6BE-4EF0-9DE1-1D87CE5E6697}"/>
            </c:ext>
          </c:extLst>
        </c:ser>
        <c:dLbls>
          <c:showLegendKey val="0"/>
          <c:showVal val="0"/>
          <c:showCatName val="0"/>
          <c:showSerName val="0"/>
          <c:showPercent val="0"/>
          <c:showBubbleSize val="0"/>
        </c:dLbls>
        <c:gapWidth val="100"/>
        <c:axId val="453024992"/>
        <c:axId val="453019896"/>
      </c:barChart>
      <c:catAx>
        <c:axId val="453024992"/>
        <c:scaling>
          <c:orientation val="minMax"/>
        </c:scaling>
        <c:delete val="1"/>
        <c:axPos val="b"/>
        <c:numFmt formatCode="General" sourceLinked="1"/>
        <c:majorTickMark val="out"/>
        <c:minorTickMark val="none"/>
        <c:tickLblPos val="none"/>
        <c:crossAx val="453019896"/>
        <c:crosses val="autoZero"/>
        <c:auto val="1"/>
        <c:lblAlgn val="ctr"/>
        <c:lblOffset val="100"/>
        <c:noMultiLvlLbl val="0"/>
      </c:catAx>
      <c:valAx>
        <c:axId val="4530198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out"/>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53024992"/>
        <c:crosses val="autoZero"/>
        <c:crossBetween val="between"/>
      </c:valAx>
      <c:spPr>
        <a:noFill/>
        <a:ln>
          <a:noFill/>
        </a:ln>
        <a:effectLst/>
      </c:spPr>
    </c:plotArea>
    <c:plotVisOnly val="1"/>
    <c:dispBlanksAs val="gap"/>
    <c:showDLblsOverMax val="0"/>
    <c:extLst>
      <c:ext uri="{0b15fc19-7d7d-44ad-8c2d-2c3a37ce22c3}">
        <chartProps xmlns="https://web.wps.cn/et/2018/main" chartId="{a866a03c-4547-491b-ba47-f829d3dc17ff}"/>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Adequacy of ILS policy</a:t>
            </a:r>
          </a:p>
        </c:rich>
      </c:tx>
      <c:overlay val="0"/>
      <c:spPr>
        <a:noFill/>
        <a:ln>
          <a:noFill/>
        </a:ln>
        <a:effectLst/>
      </c:spPr>
    </c:title>
    <c:autoTitleDeleted val="0"/>
    <c:plotArea>
      <c:layout/>
      <c:pieChart>
        <c:varyColors val="1"/>
        <c:ser>
          <c:idx val="0"/>
          <c:order val="0"/>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0DB4-46CB-80A9-57CF0B488A78}"/>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0DB4-46CB-80A9-57CF0B488A78}"/>
              </c:ext>
            </c:extLst>
          </c:dPt>
          <c:dPt>
            <c:idx val="2"/>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0DB4-46CB-80A9-57CF0B488A78}"/>
              </c:ext>
            </c:extLst>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lt1">
                        <a:lumMod val="85000"/>
                      </a:schemeClr>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lt1">
                      <a:lumMod val="95000"/>
                      <a:alpha val="54000"/>
                    </a:schemeClr>
                  </a:solidFill>
                  <a:prstDash val="solid"/>
                  <a:round/>
                </a:ln>
                <a:effectLst/>
              </c:spPr>
            </c:leaderLines>
            <c:extLst>
              <c:ext xmlns:c15="http://schemas.microsoft.com/office/drawing/2012/chart" uri="{CE6537A1-D6FC-4f65-9D91-7224C49458BB}"/>
            </c:extLst>
          </c:dLbls>
          <c:cat>
            <c:strRef>
              <c:f>Sheet1!$D$5:$F$5</c:f>
              <c:strCache>
                <c:ptCount val="2"/>
                <c:pt idx="0">
                  <c:v>ADEQUATE</c:v>
                </c:pt>
                <c:pt idx="1">
                  <c:v>NOT ADEQUATE</c:v>
                </c:pt>
              </c:strCache>
            </c:strRef>
          </c:cat>
          <c:val>
            <c:numRef>
              <c:f>Sheet1!$D$6:$F$6</c:f>
              <c:numCache>
                <c:formatCode>General</c:formatCode>
                <c:ptCount val="3"/>
                <c:pt idx="0">
                  <c:v>8</c:v>
                </c:pt>
                <c:pt idx="1">
                  <c:v>2</c:v>
                </c:pt>
              </c:numCache>
            </c:numRef>
          </c:val>
          <c:extLst>
            <c:ext xmlns:c16="http://schemas.microsoft.com/office/drawing/2014/chart" uri="{C3380CC4-5D6E-409C-BE32-E72D297353CC}">
              <c16:uniqueId val="{00000006-0DB4-46CB-80A9-57CF0B488A78}"/>
            </c:ext>
          </c:extLst>
        </c:ser>
        <c:dLbls>
          <c:showLegendKey val="0"/>
          <c:showVal val="0"/>
          <c:showCatName val="0"/>
          <c:showSerName val="0"/>
          <c:showPercent val="1"/>
          <c:showBubbleSize val="0"/>
          <c:showLeaderLines val="1"/>
        </c:dLbls>
        <c:firstSliceAng val="0"/>
      </c:pieChart>
      <c:spPr>
        <a:noFill/>
        <a:ln>
          <a:noFill/>
        </a:ln>
        <a:effectLst/>
      </c:spPr>
    </c:plotArea>
    <c:plotVisOnly val="1"/>
    <c:dispBlanksAs val="zero"/>
    <c:showDLblsOverMax val="0"/>
    <c:extLst>
      <c:ext uri="{0b15fc19-7d7d-44ad-8c2d-2c3a37ce22c3}">
        <chartProps xmlns="https://web.wps.cn/et/2018/main" chartId="{b13c1f6f-8299-43e8-afdd-700f054541a3}"/>
      </c:ext>
    </c:extLst>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w="6350" cap="flat" cmpd="sng" algn="ctr">
      <a:noFill/>
      <a:prstDash val="solid"/>
      <a:round/>
    </a:ln>
    <a:effectLst/>
  </c:spPr>
  <c:txPr>
    <a:bodyPr/>
    <a:lstStyle/>
    <a:p>
      <a:pPr>
        <a:defRPr lang="en-US"/>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lumMod val="20000"/>
                <a:lumOff val="80000"/>
              </a:schemeClr>
            </a:solidFill>
            <a:ln>
              <a:noFill/>
            </a:ln>
            <a:effectLst/>
            <a:sp3d/>
          </c:spPr>
          <c:invertIfNegative val="0"/>
          <c:dLbls>
            <c:spPr>
              <a:solidFill>
                <a:schemeClr val="accent1">
                  <a:alpha val="70000"/>
                </a:schemeClr>
              </a:solid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lt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accent1">
                          <a:lumMod val="60000"/>
                          <a:lumOff val="40000"/>
                        </a:schemeClr>
                      </a:solidFill>
                      <a:prstDash val="solid"/>
                      <a:round/>
                    </a:ln>
                    <a:effectLst/>
                  </c:spPr>
                </c15:leaderLines>
              </c:ext>
            </c:extLst>
          </c:dLbls>
          <c:cat>
            <c:strRef>
              <c:f>Sheet1!$G$5:$H$5</c:f>
              <c:strCache>
                <c:ptCount val="2"/>
                <c:pt idx="0">
                  <c:v>YES</c:v>
                </c:pt>
                <c:pt idx="1">
                  <c:v>NO</c:v>
                </c:pt>
              </c:strCache>
            </c:strRef>
          </c:cat>
          <c:val>
            <c:numRef>
              <c:f>Sheet1!$G$6:$H$6</c:f>
              <c:numCache>
                <c:formatCode>General</c:formatCode>
                <c:ptCount val="2"/>
                <c:pt idx="0">
                  <c:v>186</c:v>
                </c:pt>
                <c:pt idx="1">
                  <c:v>69</c:v>
                </c:pt>
              </c:numCache>
            </c:numRef>
          </c:val>
          <c:extLst>
            <c:ext xmlns:c16="http://schemas.microsoft.com/office/drawing/2014/chart" uri="{C3380CC4-5D6E-409C-BE32-E72D297353CC}">
              <c16:uniqueId val="{00000000-22BD-4CDC-A7BE-7805DCC66577}"/>
            </c:ext>
          </c:extLst>
        </c:ser>
        <c:dLbls>
          <c:showLegendKey val="0"/>
          <c:showVal val="1"/>
          <c:showCatName val="0"/>
          <c:showSerName val="0"/>
          <c:showPercent val="0"/>
          <c:showBubbleSize val="0"/>
        </c:dLbls>
        <c:gapWidth val="154"/>
        <c:axId val="711228384"/>
        <c:axId val="711232304"/>
      </c:barChart>
      <c:catAx>
        <c:axId val="711228384"/>
        <c:scaling>
          <c:orientation val="minMax"/>
        </c:scaling>
        <c:delete val="0"/>
        <c:axPos val="b"/>
        <c:majorGridlines>
          <c:spPr>
            <a:ln w="9525" cap="flat" cmpd="sng" algn="ctr">
              <a:solidFill>
                <a:schemeClr val="lt1">
                  <a:lumMod val="60000"/>
                  <a:lumOff val="40000"/>
                </a:schemeClr>
              </a:solidFill>
              <a:prstDash val="solid"/>
              <a:round/>
            </a:ln>
            <a:effectLst/>
          </c:spPr>
        </c:majorGridlines>
        <c:title>
          <c:tx>
            <c:rich>
              <a:bodyPr rot="0" spcFirstLastPara="1" vertOverflow="ellipsis" vert="horz" wrap="square" anchor="ctr" anchorCtr="1"/>
              <a:lstStyle/>
              <a:p>
                <a:pPr>
                  <a:defRPr lang="en-US" sz="900" b="1" i="0" u="none" strike="noStrike" kern="1200" baseline="0">
                    <a:solidFill>
                      <a:schemeClr val="lt1"/>
                    </a:solidFill>
                    <a:latin typeface="+mn-lt"/>
                    <a:ea typeface="+mn-ea"/>
                    <a:cs typeface="+mn-cs"/>
                  </a:defRPr>
                </a:pPr>
                <a:r>
                  <a:rPr lang="en-US"/>
                  <a:t>Existence of ILS curriculum</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cap="all" spc="150" normalizeH="0" baseline="0">
                <a:solidFill>
                  <a:schemeClr val="lt1"/>
                </a:solidFill>
                <a:latin typeface="+mn-lt"/>
                <a:ea typeface="+mn-ea"/>
                <a:cs typeface="+mn-cs"/>
              </a:defRPr>
            </a:pPr>
            <a:endParaRPr lang="en-US"/>
          </a:p>
        </c:txPr>
        <c:crossAx val="711232304"/>
        <c:crosses val="autoZero"/>
        <c:auto val="1"/>
        <c:lblAlgn val="ctr"/>
        <c:lblOffset val="100"/>
        <c:noMultiLvlLbl val="0"/>
      </c:catAx>
      <c:valAx>
        <c:axId val="711232304"/>
        <c:scaling>
          <c:orientation val="minMax"/>
        </c:scaling>
        <c:delete val="0"/>
        <c:axPos val="l"/>
        <c:title>
          <c:tx>
            <c:rich>
              <a:bodyPr rot="-5400000" spcFirstLastPara="1" vertOverflow="ellipsis" vert="horz" wrap="square" anchor="ctr" anchorCtr="1"/>
              <a:lstStyle/>
              <a:p>
                <a:pPr>
                  <a:defRPr lang="en-US" sz="900" b="1" i="0" u="none" strike="noStrike" kern="1200" baseline="0">
                    <a:solidFill>
                      <a:schemeClr val="lt1"/>
                    </a:solidFill>
                    <a:latin typeface="+mn-lt"/>
                    <a:ea typeface="+mn-ea"/>
                    <a:cs typeface="+mn-cs"/>
                  </a:defRPr>
                </a:pPr>
                <a:r>
                  <a:rPr lang="en-US"/>
                  <a:t>Frequency </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lt1"/>
                </a:solidFill>
                <a:latin typeface="+mn-lt"/>
                <a:ea typeface="+mn-ea"/>
                <a:cs typeface="+mn-cs"/>
              </a:defRPr>
            </a:pPr>
            <a:endParaRPr lang="en-US"/>
          </a:p>
        </c:txPr>
        <c:crossAx val="711228384"/>
        <c:crosses val="autoZero"/>
        <c:crossBetween val="between"/>
      </c:valAx>
      <c:spPr>
        <a:noFill/>
        <a:ln>
          <a:noFill/>
        </a:ln>
        <a:effectLst/>
      </c:spPr>
    </c:plotArea>
    <c:plotVisOnly val="1"/>
    <c:dispBlanksAs val="gap"/>
    <c:showDLblsOverMax val="0"/>
    <c:extLst>
      <c:ext uri="{0b15fc19-7d7d-44ad-8c2d-2c3a37ce22c3}">
        <chartProps xmlns="https://web.wps.cn/et/2018/main" chartId="{8205a555-9a0e-49bd-8788-bfc305b62211}"/>
      </c:ext>
    </c:extLst>
  </c:chart>
  <c:spPr>
    <a:solidFill>
      <a:schemeClr val="accent1"/>
    </a:solidFill>
    <a:ln w="9525" cap="flat" cmpd="sng" algn="ctr">
      <a:solidFill>
        <a:schemeClr val="accent1"/>
      </a:solidFill>
      <a:prstDash val="solid"/>
      <a:round/>
    </a:ln>
    <a:effectLst/>
  </c:spPr>
  <c:txPr>
    <a:bodyPr/>
    <a:lstStyle/>
    <a:p>
      <a:pPr>
        <a:defRPr lang="en-US"/>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SD</c:v>
                </c:pt>
              </c:strCache>
            </c:strRef>
          </c:tx>
          <c:spPr>
            <a:solidFill>
              <a:schemeClr val="accent1"/>
            </a:solidFill>
            <a:ln>
              <a:noFill/>
            </a:ln>
            <a:effectLst/>
          </c:spPr>
          <c:invertIfNegative val="0"/>
          <c:cat>
            <c:strRef>
              <c:f>Sheet1!$A$2:$A$7</c:f>
              <c:strCache>
                <c:ptCount val="6"/>
                <c:pt idx="0">
                  <c:v>Knowledge and information skills</c:v>
                </c:pt>
                <c:pt idx="1">
                  <c:v>Problem-solving and critical thinking skills</c:v>
                </c:pt>
                <c:pt idx="2">
                  <c:v>Communication skills</c:v>
                </c:pt>
                <c:pt idx="3">
                  <c:v>Information technology skills</c:v>
                </c:pt>
                <c:pt idx="4">
                  <c:v>Social responsibility skills</c:v>
                </c:pt>
                <c:pt idx="5">
                  <c:v>Referencing and legal issues  skills</c:v>
                </c:pt>
              </c:strCache>
            </c:strRef>
          </c:cat>
          <c:val>
            <c:numRef>
              <c:f>Sheet1!$B$2:$B$7</c:f>
              <c:numCache>
                <c:formatCode>General</c:formatCode>
                <c:ptCount val="6"/>
                <c:pt idx="0">
                  <c:v>5.09</c:v>
                </c:pt>
                <c:pt idx="1">
                  <c:v>5.88</c:v>
                </c:pt>
                <c:pt idx="2">
                  <c:v>3.14</c:v>
                </c:pt>
                <c:pt idx="3">
                  <c:v>4.3099999999999996</c:v>
                </c:pt>
                <c:pt idx="4">
                  <c:v>5.49</c:v>
                </c:pt>
                <c:pt idx="5">
                  <c:v>3.52</c:v>
                </c:pt>
              </c:numCache>
            </c:numRef>
          </c:val>
          <c:extLst>
            <c:ext xmlns:c16="http://schemas.microsoft.com/office/drawing/2014/chart" uri="{C3380CC4-5D6E-409C-BE32-E72D297353CC}">
              <c16:uniqueId val="{00000000-8F2A-4F98-91D5-69C72FFE6EE9}"/>
            </c:ext>
          </c:extLst>
        </c:ser>
        <c:ser>
          <c:idx val="1"/>
          <c:order val="1"/>
          <c:tx>
            <c:strRef>
              <c:f>Sheet1!$C$1</c:f>
              <c:strCache>
                <c:ptCount val="1"/>
                <c:pt idx="0">
                  <c:v>D</c:v>
                </c:pt>
              </c:strCache>
            </c:strRef>
          </c:tx>
          <c:spPr>
            <a:solidFill>
              <a:schemeClr val="accent2"/>
            </a:solidFill>
            <a:ln>
              <a:noFill/>
            </a:ln>
            <a:effectLst/>
          </c:spPr>
          <c:invertIfNegative val="0"/>
          <c:cat>
            <c:strRef>
              <c:f>Sheet1!$A$2:$A$7</c:f>
              <c:strCache>
                <c:ptCount val="6"/>
                <c:pt idx="0">
                  <c:v>Knowledge and information skills</c:v>
                </c:pt>
                <c:pt idx="1">
                  <c:v>Problem-solving and critical thinking skills</c:v>
                </c:pt>
                <c:pt idx="2">
                  <c:v>Communication skills</c:v>
                </c:pt>
                <c:pt idx="3">
                  <c:v>Information technology skills</c:v>
                </c:pt>
                <c:pt idx="4">
                  <c:v>Social responsibility skills</c:v>
                </c:pt>
                <c:pt idx="5">
                  <c:v>Referencing and legal issues  skills</c:v>
                </c:pt>
              </c:strCache>
            </c:strRef>
          </c:cat>
          <c:val>
            <c:numRef>
              <c:f>Sheet1!$C$2:$C$7</c:f>
              <c:numCache>
                <c:formatCode>General</c:formatCode>
                <c:ptCount val="6"/>
                <c:pt idx="0">
                  <c:v>9.42</c:v>
                </c:pt>
                <c:pt idx="1">
                  <c:v>11.37</c:v>
                </c:pt>
                <c:pt idx="2">
                  <c:v>4.7</c:v>
                </c:pt>
                <c:pt idx="3">
                  <c:v>5.09</c:v>
                </c:pt>
                <c:pt idx="4">
                  <c:v>9.01</c:v>
                </c:pt>
                <c:pt idx="5">
                  <c:v>6.67</c:v>
                </c:pt>
              </c:numCache>
            </c:numRef>
          </c:val>
          <c:extLst>
            <c:ext xmlns:c16="http://schemas.microsoft.com/office/drawing/2014/chart" uri="{C3380CC4-5D6E-409C-BE32-E72D297353CC}">
              <c16:uniqueId val="{00000001-8F2A-4F98-91D5-69C72FFE6EE9}"/>
            </c:ext>
          </c:extLst>
        </c:ser>
        <c:ser>
          <c:idx val="2"/>
          <c:order val="2"/>
          <c:tx>
            <c:strRef>
              <c:f>Sheet1!$D$1</c:f>
              <c:strCache>
                <c:ptCount val="1"/>
                <c:pt idx="0">
                  <c:v>N</c:v>
                </c:pt>
              </c:strCache>
            </c:strRef>
          </c:tx>
          <c:spPr>
            <a:solidFill>
              <a:schemeClr val="accent3"/>
            </a:solidFill>
            <a:ln>
              <a:noFill/>
            </a:ln>
            <a:effectLst/>
          </c:spPr>
          <c:invertIfNegative val="0"/>
          <c:cat>
            <c:strRef>
              <c:f>Sheet1!$A$2:$A$7</c:f>
              <c:strCache>
                <c:ptCount val="6"/>
                <c:pt idx="0">
                  <c:v>Knowledge and information skills</c:v>
                </c:pt>
                <c:pt idx="1">
                  <c:v>Problem-solving and critical thinking skills</c:v>
                </c:pt>
                <c:pt idx="2">
                  <c:v>Communication skills</c:v>
                </c:pt>
                <c:pt idx="3">
                  <c:v>Information technology skills</c:v>
                </c:pt>
                <c:pt idx="4">
                  <c:v>Social responsibility skills</c:v>
                </c:pt>
                <c:pt idx="5">
                  <c:v>Referencing and legal issues  skills</c:v>
                </c:pt>
              </c:strCache>
            </c:strRef>
          </c:cat>
          <c:val>
            <c:numRef>
              <c:f>Sheet1!$D$2:$D$7</c:f>
              <c:numCache>
                <c:formatCode>General</c:formatCode>
                <c:ptCount val="6"/>
                <c:pt idx="0">
                  <c:v>7.05</c:v>
                </c:pt>
                <c:pt idx="1">
                  <c:v>5.0999999999999996</c:v>
                </c:pt>
                <c:pt idx="2">
                  <c:v>3.92</c:v>
                </c:pt>
                <c:pt idx="3">
                  <c:v>6.27</c:v>
                </c:pt>
                <c:pt idx="4">
                  <c:v>7.45</c:v>
                </c:pt>
                <c:pt idx="5">
                  <c:v>12.55</c:v>
                </c:pt>
              </c:numCache>
            </c:numRef>
          </c:val>
          <c:extLst>
            <c:ext xmlns:c16="http://schemas.microsoft.com/office/drawing/2014/chart" uri="{C3380CC4-5D6E-409C-BE32-E72D297353CC}">
              <c16:uniqueId val="{00000002-8F2A-4F98-91D5-69C72FFE6EE9}"/>
            </c:ext>
          </c:extLst>
        </c:ser>
        <c:ser>
          <c:idx val="3"/>
          <c:order val="3"/>
          <c:tx>
            <c:strRef>
              <c:f>Sheet1!$E$1</c:f>
              <c:strCache>
                <c:ptCount val="1"/>
                <c:pt idx="0">
                  <c:v>A</c:v>
                </c:pt>
              </c:strCache>
            </c:strRef>
          </c:tx>
          <c:spPr>
            <a:solidFill>
              <a:schemeClr val="accent4"/>
            </a:solidFill>
            <a:ln>
              <a:noFill/>
            </a:ln>
            <a:effectLst/>
          </c:spPr>
          <c:invertIfNegative val="0"/>
          <c:cat>
            <c:strRef>
              <c:f>Sheet1!$A$2:$A$7</c:f>
              <c:strCache>
                <c:ptCount val="6"/>
                <c:pt idx="0">
                  <c:v>Knowledge and information skills</c:v>
                </c:pt>
                <c:pt idx="1">
                  <c:v>Problem-solving and critical thinking skills</c:v>
                </c:pt>
                <c:pt idx="2">
                  <c:v>Communication skills</c:v>
                </c:pt>
                <c:pt idx="3">
                  <c:v>Information technology skills</c:v>
                </c:pt>
                <c:pt idx="4">
                  <c:v>Social responsibility skills</c:v>
                </c:pt>
                <c:pt idx="5">
                  <c:v>Referencing and legal issues  skills</c:v>
                </c:pt>
              </c:strCache>
            </c:strRef>
          </c:cat>
          <c:val>
            <c:numRef>
              <c:f>Sheet1!$E$2:$E$7</c:f>
              <c:numCache>
                <c:formatCode>General</c:formatCode>
                <c:ptCount val="6"/>
                <c:pt idx="0">
                  <c:v>51.76</c:v>
                </c:pt>
                <c:pt idx="1">
                  <c:v>58.04</c:v>
                </c:pt>
                <c:pt idx="2">
                  <c:v>48.62</c:v>
                </c:pt>
                <c:pt idx="3">
                  <c:v>65.489999999999995</c:v>
                </c:pt>
                <c:pt idx="4">
                  <c:v>66.27</c:v>
                </c:pt>
                <c:pt idx="5">
                  <c:v>55.68</c:v>
                </c:pt>
              </c:numCache>
            </c:numRef>
          </c:val>
          <c:extLst>
            <c:ext xmlns:c16="http://schemas.microsoft.com/office/drawing/2014/chart" uri="{C3380CC4-5D6E-409C-BE32-E72D297353CC}">
              <c16:uniqueId val="{00000003-8F2A-4F98-91D5-69C72FFE6EE9}"/>
            </c:ext>
          </c:extLst>
        </c:ser>
        <c:ser>
          <c:idx val="4"/>
          <c:order val="4"/>
          <c:tx>
            <c:strRef>
              <c:f>Sheet1!$F$1</c:f>
              <c:strCache>
                <c:ptCount val="1"/>
                <c:pt idx="0">
                  <c:v>SA</c:v>
                </c:pt>
              </c:strCache>
            </c:strRef>
          </c:tx>
          <c:spPr>
            <a:solidFill>
              <a:schemeClr val="accent5"/>
            </a:solidFill>
            <a:ln>
              <a:noFill/>
            </a:ln>
            <a:effectLst/>
          </c:spPr>
          <c:invertIfNegative val="0"/>
          <c:cat>
            <c:strRef>
              <c:f>Sheet1!$A$2:$A$7</c:f>
              <c:strCache>
                <c:ptCount val="6"/>
                <c:pt idx="0">
                  <c:v>Knowledge and information skills</c:v>
                </c:pt>
                <c:pt idx="1">
                  <c:v>Problem-solving and critical thinking skills</c:v>
                </c:pt>
                <c:pt idx="2">
                  <c:v>Communication skills</c:v>
                </c:pt>
                <c:pt idx="3">
                  <c:v>Information technology skills</c:v>
                </c:pt>
                <c:pt idx="4">
                  <c:v>Social responsibility skills</c:v>
                </c:pt>
                <c:pt idx="5">
                  <c:v>Referencing and legal issues  skills</c:v>
                </c:pt>
              </c:strCache>
            </c:strRef>
          </c:cat>
          <c:val>
            <c:numRef>
              <c:f>Sheet1!$F$2:$F$7</c:f>
              <c:numCache>
                <c:formatCode>General</c:formatCode>
                <c:ptCount val="6"/>
                <c:pt idx="0">
                  <c:v>26.67</c:v>
                </c:pt>
                <c:pt idx="1">
                  <c:v>19.61</c:v>
                </c:pt>
                <c:pt idx="2">
                  <c:v>39.61</c:v>
                </c:pt>
                <c:pt idx="3">
                  <c:v>19.21</c:v>
                </c:pt>
                <c:pt idx="4">
                  <c:v>11.76</c:v>
                </c:pt>
                <c:pt idx="5">
                  <c:v>21.56</c:v>
                </c:pt>
              </c:numCache>
            </c:numRef>
          </c:val>
          <c:extLst>
            <c:ext xmlns:c16="http://schemas.microsoft.com/office/drawing/2014/chart" uri="{C3380CC4-5D6E-409C-BE32-E72D297353CC}">
              <c16:uniqueId val="{00000004-8F2A-4F98-91D5-69C72FFE6EE9}"/>
            </c:ext>
          </c:extLst>
        </c:ser>
        <c:dLbls>
          <c:showLegendKey val="0"/>
          <c:showVal val="0"/>
          <c:showCatName val="0"/>
          <c:showSerName val="0"/>
          <c:showPercent val="0"/>
          <c:showBubbleSize val="0"/>
        </c:dLbls>
        <c:gapWidth val="150"/>
        <c:axId val="620912840"/>
        <c:axId val="620912448"/>
      </c:barChart>
      <c:catAx>
        <c:axId val="620912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0912448"/>
        <c:crosses val="autoZero"/>
        <c:auto val="1"/>
        <c:lblAlgn val="ctr"/>
        <c:lblOffset val="100"/>
        <c:noMultiLvlLbl val="0"/>
      </c:catAx>
      <c:valAx>
        <c:axId val="620912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09128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a:t>Students’ responses on their attitude toward ILS </a:t>
            </a:r>
          </a:p>
          <a:p>
            <a:pPr>
              <a:defRPr lang="en-US" sz="1400" b="0" i="0" u="none" strike="noStrike" kern="1200" spc="0" baseline="0">
                <a:solidFill>
                  <a:schemeClr val="tx1">
                    <a:lumMod val="65000"/>
                    <a:lumOff val="35000"/>
                  </a:schemeClr>
                </a:solidFill>
                <a:latin typeface="+mn-lt"/>
                <a:ea typeface="+mn-ea"/>
                <a:cs typeface="+mn-cs"/>
              </a:defRPr>
            </a:pP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Positive</c:v>
                </c:pt>
              </c:strCache>
            </c:strRef>
          </c:tx>
          <c:spPr>
            <a:solidFill>
              <a:schemeClr val="accent1"/>
            </a:solidFill>
            <a:ln>
              <a:noFill/>
            </a:ln>
            <a:effectLst/>
          </c:spPr>
          <c:invertIfNegative val="0"/>
          <c:dLbls>
            <c:dLbl>
              <c:idx val="0"/>
              <c:tx>
                <c:rich>
                  <a:bodyPr/>
                  <a:lstStyle/>
                  <a:p>
                    <a:r>
                      <a:rPr lang="en-US"/>
                      <a:t>82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B1C-4C28-A4F3-3A18257479B6}"/>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1"/>
                <c:pt idx="0">
                  <c:v>Students Attitude Towards ILS Training and Learning</c:v>
                </c:pt>
              </c:strCache>
            </c:strRef>
          </c:cat>
          <c:val>
            <c:numRef>
              <c:f>Sheet1!$B$2:$B$5</c:f>
              <c:numCache>
                <c:formatCode>General</c:formatCode>
                <c:ptCount val="4"/>
                <c:pt idx="0">
                  <c:v>82</c:v>
                </c:pt>
              </c:numCache>
            </c:numRef>
          </c:val>
          <c:extLst>
            <c:ext xmlns:c16="http://schemas.microsoft.com/office/drawing/2014/chart" uri="{C3380CC4-5D6E-409C-BE32-E72D297353CC}">
              <c16:uniqueId val="{00000001-6B1C-4C28-A4F3-3A18257479B6}"/>
            </c:ext>
          </c:extLst>
        </c:ser>
        <c:ser>
          <c:idx val="1"/>
          <c:order val="1"/>
          <c:tx>
            <c:strRef>
              <c:f>Sheet1!$C$1</c:f>
              <c:strCache>
                <c:ptCount val="1"/>
                <c:pt idx="0">
                  <c:v>Negative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1"/>
                <c:pt idx="0">
                  <c:v>Students Attitude Towards ILS Training and Learning</c:v>
                </c:pt>
              </c:strCache>
            </c:strRef>
          </c:cat>
          <c:val>
            <c:numRef>
              <c:f>Sheet1!$C$2:$C$5</c:f>
              <c:numCache>
                <c:formatCode>General</c:formatCode>
                <c:ptCount val="4"/>
                <c:pt idx="0">
                  <c:v>143</c:v>
                </c:pt>
              </c:numCache>
            </c:numRef>
          </c:val>
          <c:extLst>
            <c:ext xmlns:c16="http://schemas.microsoft.com/office/drawing/2014/chart" uri="{C3380CC4-5D6E-409C-BE32-E72D297353CC}">
              <c16:uniqueId val="{00000002-6B1C-4C28-A4F3-3A18257479B6}"/>
            </c:ext>
          </c:extLst>
        </c:ser>
        <c:ser>
          <c:idx val="2"/>
          <c:order val="2"/>
          <c:tx>
            <c:strRef>
              <c:f>Sheet1!$D$1</c:f>
              <c:strCache>
                <c:ptCount val="1"/>
                <c:pt idx="0">
                  <c:v>Column1</c:v>
                </c:pt>
              </c:strCache>
            </c:strRef>
          </c:tx>
          <c:spPr>
            <a:solidFill>
              <a:schemeClr val="accent3"/>
            </a:solidFill>
            <a:ln>
              <a:noFill/>
            </a:ln>
            <a:effectLst/>
          </c:spPr>
          <c:invertIfNegative val="0"/>
          <c:cat>
            <c:strRef>
              <c:f>Sheet1!$A$2:$A$5</c:f>
              <c:strCache>
                <c:ptCount val="1"/>
                <c:pt idx="0">
                  <c:v>Students Attitude Towards ILS Training and Learning</c:v>
                </c:pt>
              </c:strCache>
            </c:strRef>
          </c:cat>
          <c:val>
            <c:numRef>
              <c:f>Sheet1!$D$2:$D$5</c:f>
              <c:numCache>
                <c:formatCode>General</c:formatCode>
                <c:ptCount val="4"/>
              </c:numCache>
            </c:numRef>
          </c:val>
          <c:extLst>
            <c:ext xmlns:c16="http://schemas.microsoft.com/office/drawing/2014/chart" uri="{C3380CC4-5D6E-409C-BE32-E72D297353CC}">
              <c16:uniqueId val="{00000003-6B1C-4C28-A4F3-3A18257479B6}"/>
            </c:ext>
          </c:extLst>
        </c:ser>
        <c:dLbls>
          <c:showLegendKey val="0"/>
          <c:showVal val="0"/>
          <c:showCatName val="0"/>
          <c:showSerName val="0"/>
          <c:showPercent val="0"/>
          <c:showBubbleSize val="0"/>
        </c:dLbls>
        <c:gapWidth val="219"/>
        <c:overlap val="-27"/>
        <c:axId val="453023032"/>
        <c:axId val="453014016"/>
      </c:barChart>
      <c:catAx>
        <c:axId val="453023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53014016"/>
        <c:crosses val="autoZero"/>
        <c:auto val="1"/>
        <c:lblAlgn val="ctr"/>
        <c:lblOffset val="100"/>
        <c:noMultiLvlLbl val="0"/>
      </c:catAx>
      <c:valAx>
        <c:axId val="453014016"/>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Number of Students </a:t>
                </a:r>
              </a:p>
            </c:rich>
          </c:tx>
          <c:overlay val="0"/>
          <c:spPr>
            <a:noFill/>
            <a:ln>
              <a:noFill/>
            </a:ln>
            <a:effectLst/>
          </c:spPr>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53023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e8be82ad-f04f-455d-aaac-aee670591d88}"/>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6B732903-9632-4DC3-83BC-32F46F6A8360}" type="doc">
      <dgm:prSet loTypeId="urn:microsoft.com/office/officeart/2005/8/layout/radial6#1" loCatId="relationship" qsTypeId="urn:microsoft.com/office/officeart/2005/8/quickstyle/simple1#1" qsCatId="simple" csTypeId="urn:microsoft.com/office/officeart/2005/8/colors/colorful1#2" csCatId="colorful" phldr="1"/>
      <dgm:spPr/>
      <dgm:t>
        <a:bodyPr/>
        <a:lstStyle/>
        <a:p>
          <a:endParaRPr lang="en-US"/>
        </a:p>
      </dgm:t>
    </dgm:pt>
    <dgm:pt modelId="{F27BAAD7-C15F-4DF1-93AE-2A152B8A8988}">
      <dgm:prSet phldrT="[Text]"/>
      <dgm:spPr>
        <a:xfrm>
          <a:off x="1147092" y="1187715"/>
          <a:ext cx="836376" cy="836376"/>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dirty="0">
              <a:solidFill>
                <a:sysClr val="window" lastClr="FFFFFF"/>
              </a:solidFill>
              <a:latin typeface="Calibri" panose="020F0502020204030204"/>
              <a:ea typeface="+mn-ea"/>
              <a:cs typeface="+mn-cs"/>
            </a:rPr>
            <a:t>Adequate Information literacy Skills</a:t>
          </a:r>
        </a:p>
      </dgm:t>
    </dgm:pt>
    <dgm:pt modelId="{24B98F2A-34C7-4A3D-AF20-1C7F7EA5CC85}" type="parTrans" cxnId="{CCF4A74C-5614-4228-BAAD-AEBC24E9664F}">
      <dgm:prSet/>
      <dgm:spPr/>
      <dgm:t>
        <a:bodyPr/>
        <a:lstStyle/>
        <a:p>
          <a:pPr algn="ctr"/>
          <a:endParaRPr lang="en-US"/>
        </a:p>
      </dgm:t>
    </dgm:pt>
    <dgm:pt modelId="{FDC04F6C-2014-45FD-A3F4-DA2FF98A26E0}" type="sibTrans" cxnId="{CCF4A74C-5614-4228-BAAD-AEBC24E9664F}">
      <dgm:prSet/>
      <dgm:spPr/>
      <dgm:t>
        <a:bodyPr/>
        <a:lstStyle/>
        <a:p>
          <a:pPr algn="ctr"/>
          <a:endParaRPr lang="en-US"/>
        </a:p>
      </dgm:t>
    </dgm:pt>
    <dgm:pt modelId="{6FEDCB31-ABEA-4B8C-A498-4D10CC9DE26C}">
      <dgm:prSet phldrT="[Text]"/>
      <dgm:spPr>
        <a:xfrm>
          <a:off x="1312898" y="8561"/>
          <a:ext cx="585463" cy="585463"/>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b="1" dirty="0">
              <a:solidFill>
                <a:sysClr val="window" lastClr="FFFFFF"/>
              </a:solidFill>
              <a:effectLst/>
              <a:latin typeface="Calibri" panose="020F0502020204030204"/>
              <a:ea typeface="+mn-ea"/>
              <a:cs typeface="Times New Roman" panose="02020603050405020304" charset="0"/>
            </a:rPr>
            <a:t>Step one: participant engagement</a:t>
          </a:r>
          <a:r>
            <a:rPr lang="en-US" dirty="0">
              <a:solidFill>
                <a:sysClr val="window" lastClr="FFFFFF"/>
              </a:solidFill>
              <a:effectLst/>
              <a:latin typeface="Calibri" panose="020F0502020204030204"/>
              <a:ea typeface="+mn-ea"/>
              <a:cs typeface="Times New Roman" panose="02020603050405020304" charset="0"/>
            </a:rPr>
            <a:t>: </a:t>
          </a:r>
          <a:endParaRPr lang="en-US" dirty="0">
            <a:solidFill>
              <a:sysClr val="window" lastClr="FFFFFF"/>
            </a:solidFill>
            <a:latin typeface="Calibri" panose="020F0502020204030204"/>
            <a:ea typeface="+mn-ea"/>
            <a:cs typeface="+mn-cs"/>
          </a:endParaRPr>
        </a:p>
      </dgm:t>
    </dgm:pt>
    <dgm:pt modelId="{783C4CA7-86C5-4467-8FC9-7EF928F064A7}" type="parTrans" cxnId="{DF38A4D1-BC39-412D-8B1D-3A8FF42B9CB7}">
      <dgm:prSet/>
      <dgm:spPr/>
      <dgm:t>
        <a:bodyPr/>
        <a:lstStyle/>
        <a:p>
          <a:pPr algn="ctr"/>
          <a:endParaRPr lang="en-US"/>
        </a:p>
      </dgm:t>
    </dgm:pt>
    <dgm:pt modelId="{A13DB3D0-8F45-4CCC-8A26-17AED3494138}" type="sibTrans" cxnId="{DF38A4D1-BC39-412D-8B1D-3A8FF42B9CB7}">
      <dgm:prSet/>
      <dgm:spPr>
        <a:xfrm>
          <a:off x="382425" y="280129"/>
          <a:ext cx="2475443" cy="2475443"/>
        </a:xfrm>
        <a:solidFill>
          <a:srgbClr val="ED7D31">
            <a:hueOff val="0"/>
            <a:satOff val="0"/>
            <a:lumOff val="0"/>
            <a:alphaOff val="0"/>
          </a:srgbClr>
        </a:solidFill>
        <a:ln>
          <a:noFill/>
        </a:ln>
        <a:effectLst/>
      </dgm:spPr>
      <dgm:t>
        <a:bodyPr/>
        <a:lstStyle/>
        <a:p>
          <a:pPr algn="ctr"/>
          <a:endParaRPr lang="en-US"/>
        </a:p>
      </dgm:t>
    </dgm:pt>
    <dgm:pt modelId="{AFD59B8F-8895-44DA-B8AB-94AA4D708F91}">
      <dgm:prSet phldrT="[Text]"/>
      <dgm:spPr>
        <a:xfrm>
          <a:off x="2180466" y="357635"/>
          <a:ext cx="585463" cy="585463"/>
        </a:xfr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b="1" dirty="0">
              <a:solidFill>
                <a:sysClr val="window" lastClr="FFFFFF"/>
              </a:solidFill>
              <a:effectLst/>
              <a:latin typeface="Calibri" panose="020F0502020204030204"/>
              <a:ea typeface="+mn-ea"/>
              <a:cs typeface="Times New Roman" panose="02020603050405020304" charset="0"/>
            </a:rPr>
            <a:t>Step two:</a:t>
          </a:r>
          <a:r>
            <a:rPr lang="en-US" dirty="0">
              <a:solidFill>
                <a:sysClr val="window" lastClr="FFFFFF"/>
              </a:solidFill>
              <a:effectLst/>
              <a:latin typeface="Calibri" panose="020F0502020204030204"/>
              <a:ea typeface="+mn-ea"/>
              <a:cs typeface="Times New Roman" panose="02020603050405020304" charset="0"/>
            </a:rPr>
            <a:t> </a:t>
          </a:r>
          <a:r>
            <a:rPr lang="en-US">
              <a:solidFill>
                <a:sysClr val="window" lastClr="FFFFFF"/>
              </a:solidFill>
              <a:latin typeface="Calibri" panose="020F0502020204030204"/>
              <a:ea typeface="+mn-ea"/>
              <a:cs typeface="+mn-cs"/>
            </a:rPr>
            <a:t>Come up with a policy and curricula and design an implementation and a continuous update procedures</a:t>
          </a:r>
          <a:endParaRPr lang="en-US" dirty="0">
            <a:solidFill>
              <a:sysClr val="window" lastClr="FFFFFF"/>
            </a:solidFill>
            <a:latin typeface="Calibri" panose="020F0502020204030204"/>
            <a:ea typeface="+mn-ea"/>
            <a:cs typeface="+mn-cs"/>
          </a:endParaRPr>
        </a:p>
      </dgm:t>
    </dgm:pt>
    <dgm:pt modelId="{ED47D69D-7F21-43C0-8020-5CE7895735BD}" type="parTrans" cxnId="{D9176AA1-042F-49BA-983F-A2ED10B960FE}">
      <dgm:prSet/>
      <dgm:spPr/>
      <dgm:t>
        <a:bodyPr/>
        <a:lstStyle/>
        <a:p>
          <a:pPr algn="ctr"/>
          <a:endParaRPr lang="en-US"/>
        </a:p>
      </dgm:t>
    </dgm:pt>
    <dgm:pt modelId="{C4F313C1-88CF-413F-B2BB-411BF764D5FE}" type="sibTrans" cxnId="{D9176AA1-042F-49BA-983F-A2ED10B960FE}">
      <dgm:prSet/>
      <dgm:spPr>
        <a:xfrm>
          <a:off x="375178" y="272943"/>
          <a:ext cx="2475443" cy="2475443"/>
        </a:xfrm>
        <a:solidFill>
          <a:srgbClr val="A5A5A5">
            <a:hueOff val="0"/>
            <a:satOff val="0"/>
            <a:lumOff val="0"/>
            <a:alphaOff val="0"/>
          </a:srgbClr>
        </a:solidFill>
        <a:ln>
          <a:noFill/>
        </a:ln>
        <a:effectLst/>
      </dgm:spPr>
      <dgm:t>
        <a:bodyPr/>
        <a:lstStyle/>
        <a:p>
          <a:pPr algn="ctr"/>
          <a:endParaRPr lang="en-US"/>
        </a:p>
      </dgm:t>
    </dgm:pt>
    <dgm:pt modelId="{5C905094-34D3-44ED-9195-23F51C72B5EB}">
      <dgm:prSet phldrT="[Text]"/>
      <dgm:spPr>
        <a:xfrm>
          <a:off x="103523" y="1217933"/>
          <a:ext cx="585463" cy="585463"/>
        </a:xfr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b="1" dirty="0">
              <a:solidFill>
                <a:sysClr val="window" lastClr="FFFFFF"/>
              </a:solidFill>
              <a:effectLst/>
              <a:latin typeface="Calibri" panose="020F0502020204030204"/>
              <a:ea typeface="+mn-ea"/>
              <a:cs typeface="Times New Roman" panose="02020603050405020304" charset="0"/>
            </a:rPr>
            <a:t>Step Seven:</a:t>
          </a:r>
          <a:r>
            <a:rPr lang="en-US" dirty="0">
              <a:solidFill>
                <a:sysClr val="window" lastClr="FFFFFF"/>
              </a:solidFill>
              <a:effectLst/>
              <a:latin typeface="Calibri" panose="020F0502020204030204"/>
              <a:ea typeface="+mn-ea"/>
              <a:cs typeface="Times New Roman" panose="02020603050405020304" charset="0"/>
            </a:rPr>
            <a:t> </a:t>
          </a:r>
          <a:r>
            <a:rPr lang="en-US">
              <a:solidFill>
                <a:sysClr val="window" lastClr="FFFFFF"/>
              </a:solidFill>
              <a:latin typeface="Calibri" panose="020F0502020204030204"/>
              <a:ea typeface="+mn-ea"/>
              <a:cs typeface="+mn-cs"/>
            </a:rPr>
            <a:t>Design a tool to continuously assess ILS among students(measuring ILS )</a:t>
          </a:r>
          <a:endParaRPr lang="en-US" dirty="0">
            <a:solidFill>
              <a:sysClr val="window" lastClr="FFFFFF"/>
            </a:solidFill>
            <a:latin typeface="Calibri" panose="020F0502020204030204"/>
            <a:ea typeface="+mn-ea"/>
            <a:cs typeface="+mn-cs"/>
          </a:endParaRPr>
        </a:p>
      </dgm:t>
    </dgm:pt>
    <dgm:pt modelId="{033F0EB9-EF9C-4346-9E07-330BEE57816F}" type="parTrans" cxnId="{29418601-C9B1-4BB0-B93D-FC59351E11B5}">
      <dgm:prSet/>
      <dgm:spPr/>
      <dgm:t>
        <a:bodyPr/>
        <a:lstStyle/>
        <a:p>
          <a:pPr algn="ctr"/>
          <a:endParaRPr lang="en-US"/>
        </a:p>
      </dgm:t>
    </dgm:pt>
    <dgm:pt modelId="{29838435-DEEA-4414-8C5D-EF86CBB4D4AC}" type="sibTrans" cxnId="{29418601-C9B1-4BB0-B93D-FC59351E11B5}">
      <dgm:prSet/>
      <dgm:spPr>
        <a:xfrm>
          <a:off x="375178" y="272943"/>
          <a:ext cx="2475443" cy="2475443"/>
        </a:xfrm>
        <a:solidFill>
          <a:srgbClr val="A5A5A5">
            <a:hueOff val="0"/>
            <a:satOff val="0"/>
            <a:lumOff val="0"/>
            <a:alphaOff val="0"/>
          </a:srgbClr>
        </a:solidFill>
        <a:ln>
          <a:noFill/>
        </a:ln>
        <a:effectLst/>
      </dgm:spPr>
      <dgm:t>
        <a:bodyPr/>
        <a:lstStyle/>
        <a:p>
          <a:pPr algn="ctr"/>
          <a:endParaRPr lang="en-US"/>
        </a:p>
      </dgm:t>
    </dgm:pt>
    <dgm:pt modelId="{07A3EBB2-2254-4F60-846E-78F20B5E5EFC}">
      <dgm:prSet phldrT="[Text]"/>
      <dgm:spPr>
        <a:xfrm>
          <a:off x="459870" y="357635"/>
          <a:ext cx="585463" cy="585463"/>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b="1" dirty="0">
              <a:solidFill>
                <a:sysClr val="window" lastClr="FFFFFF"/>
              </a:solidFill>
              <a:effectLst/>
              <a:latin typeface="Calibri" panose="020F0502020204030204"/>
              <a:ea typeface="+mn-ea"/>
              <a:cs typeface="Times New Roman" panose="02020603050405020304" charset="0"/>
            </a:rPr>
            <a:t>Step Eight: </a:t>
          </a:r>
          <a:r>
            <a:rPr lang="en-US">
              <a:solidFill>
                <a:sysClr val="window" lastClr="FFFFFF"/>
              </a:solidFill>
              <a:latin typeface="Calibri" panose="020F0502020204030204"/>
              <a:ea typeface="+mn-ea"/>
              <a:cs typeface="+mn-cs"/>
            </a:rPr>
            <a:t>Remedy procedures to enhance the ILS</a:t>
          </a:r>
          <a:endParaRPr lang="en-US" dirty="0">
            <a:solidFill>
              <a:sysClr val="window" lastClr="FFFFFF"/>
            </a:solidFill>
            <a:latin typeface="Calibri" panose="020F0502020204030204"/>
            <a:ea typeface="+mn-ea"/>
            <a:cs typeface="+mn-cs"/>
          </a:endParaRPr>
        </a:p>
      </dgm:t>
    </dgm:pt>
    <dgm:pt modelId="{2E34E7FA-6FB7-4134-AEC8-2C30DE92172E}" type="parTrans" cxnId="{D462634D-21B2-4AF2-B05E-4E5AA5BB294C}">
      <dgm:prSet/>
      <dgm:spPr/>
      <dgm:t>
        <a:bodyPr/>
        <a:lstStyle/>
        <a:p>
          <a:pPr algn="ctr"/>
          <a:endParaRPr lang="en-US"/>
        </a:p>
      </dgm:t>
    </dgm:pt>
    <dgm:pt modelId="{722D16AA-3AB7-4AD3-9BF8-393A23CFE2B2}" type="sibTrans" cxnId="{D462634D-21B2-4AF2-B05E-4E5AA5BB294C}">
      <dgm:prSet/>
      <dgm:spPr>
        <a:xfrm>
          <a:off x="367843" y="280216"/>
          <a:ext cx="2475443" cy="2475443"/>
        </a:xfrm>
        <a:solidFill>
          <a:srgbClr val="FFC000">
            <a:hueOff val="0"/>
            <a:satOff val="0"/>
            <a:lumOff val="0"/>
            <a:alphaOff val="0"/>
          </a:srgbClr>
        </a:solidFill>
        <a:ln>
          <a:noFill/>
        </a:ln>
        <a:effectLst/>
      </dgm:spPr>
      <dgm:t>
        <a:bodyPr/>
        <a:lstStyle/>
        <a:p>
          <a:pPr algn="ctr"/>
          <a:endParaRPr lang="en-US"/>
        </a:p>
      </dgm:t>
    </dgm:pt>
    <dgm:pt modelId="{93DBF13F-85ED-49D9-B7D9-9411F8F49289}">
      <dgm:prSet phldrT="[Text]"/>
      <dgm:spPr>
        <a:xfrm>
          <a:off x="2536813" y="1217933"/>
          <a:ext cx="585463" cy="585463"/>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b="1" dirty="0">
              <a:solidFill>
                <a:sysClr val="window" lastClr="FFFFFF"/>
              </a:solidFill>
              <a:effectLst/>
              <a:latin typeface="Calibri" panose="020F0502020204030204"/>
              <a:ea typeface="+mn-ea"/>
              <a:cs typeface="Times New Roman" panose="02020603050405020304" charset="0"/>
            </a:rPr>
            <a:t>Step three:</a:t>
          </a:r>
          <a:r>
            <a:rPr lang="en-US" dirty="0">
              <a:solidFill>
                <a:sysClr val="window" lastClr="FFFFFF"/>
              </a:solidFill>
              <a:effectLst/>
              <a:latin typeface="Calibri" panose="020F0502020204030204"/>
              <a:ea typeface="+mn-ea"/>
              <a:cs typeface="Times New Roman" panose="02020603050405020304" charset="0"/>
            </a:rPr>
            <a:t> draft an ILS policy and curricula </a:t>
          </a:r>
          <a:endParaRPr lang="en-US" dirty="0">
            <a:solidFill>
              <a:sysClr val="window" lastClr="FFFFFF"/>
            </a:solidFill>
            <a:latin typeface="Calibri" panose="020F0502020204030204"/>
            <a:ea typeface="+mn-ea"/>
            <a:cs typeface="+mn-cs"/>
          </a:endParaRPr>
        </a:p>
      </dgm:t>
    </dgm:pt>
    <dgm:pt modelId="{A7E6B97B-620D-442E-8295-6FDE89D1BDEC}" type="parTrans" cxnId="{2C776140-2F23-4BA2-9868-B9BC76CAEDCB}">
      <dgm:prSet/>
      <dgm:spPr/>
      <dgm:t>
        <a:bodyPr/>
        <a:lstStyle/>
        <a:p>
          <a:pPr algn="ctr"/>
          <a:endParaRPr lang="en-US"/>
        </a:p>
      </dgm:t>
    </dgm:pt>
    <dgm:pt modelId="{B355C240-A20E-479F-9601-AF2B06B3D2CF}" type="sibTrans" cxnId="{2C776140-2F23-4BA2-9868-B9BC76CAEDCB}">
      <dgm:prSet/>
      <dgm:spPr>
        <a:xfrm>
          <a:off x="375178" y="272943"/>
          <a:ext cx="2475443" cy="2475443"/>
        </a:xfrm>
        <a:solidFill>
          <a:srgbClr val="FFC000">
            <a:hueOff val="0"/>
            <a:satOff val="0"/>
            <a:lumOff val="0"/>
            <a:alphaOff val="0"/>
          </a:srgbClr>
        </a:solidFill>
        <a:ln>
          <a:noFill/>
        </a:ln>
        <a:effectLst/>
      </dgm:spPr>
      <dgm:t>
        <a:bodyPr/>
        <a:lstStyle/>
        <a:p>
          <a:pPr algn="ctr"/>
          <a:endParaRPr lang="en-US"/>
        </a:p>
      </dgm:t>
    </dgm:pt>
    <dgm:pt modelId="{7CB0D972-2AEF-4C32-B63B-F18D3A8E7863}">
      <dgm:prSet phldrT="[Text]"/>
      <dgm:spPr>
        <a:xfrm>
          <a:off x="2180466" y="2078231"/>
          <a:ext cx="585463" cy="585463"/>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b="1" dirty="0">
              <a:solidFill>
                <a:sysClr val="window" lastClr="FFFFFF"/>
              </a:solidFill>
              <a:effectLst/>
              <a:latin typeface="Calibri" panose="020F0502020204030204"/>
              <a:ea typeface="+mn-ea"/>
              <a:cs typeface="Times New Roman" panose="02020603050405020304" charset="0"/>
            </a:rPr>
            <a:t>Step four:</a:t>
          </a:r>
          <a:r>
            <a:rPr lang="en-US" dirty="0">
              <a:solidFill>
                <a:sysClr val="window" lastClr="FFFFFF"/>
              </a:solidFill>
              <a:effectLst/>
              <a:latin typeface="Calibri" panose="020F0502020204030204"/>
              <a:ea typeface="+mn-ea"/>
              <a:cs typeface="Times New Roman" panose="02020603050405020304" charset="0"/>
            </a:rPr>
            <a:t> </a:t>
          </a:r>
          <a:r>
            <a:rPr lang="en-US">
              <a:solidFill>
                <a:sysClr val="window" lastClr="FFFFFF"/>
              </a:solidFill>
              <a:latin typeface="Calibri" panose="020F0502020204030204"/>
              <a:ea typeface="+mn-ea"/>
              <a:cs typeface="+mn-cs"/>
            </a:rPr>
            <a:t>Develop an ILS manual</a:t>
          </a:r>
          <a:endParaRPr lang="en-US" dirty="0">
            <a:solidFill>
              <a:sysClr val="window" lastClr="FFFFFF"/>
            </a:solidFill>
            <a:latin typeface="Calibri" panose="020F0502020204030204"/>
            <a:ea typeface="+mn-ea"/>
            <a:cs typeface="+mn-cs"/>
          </a:endParaRPr>
        </a:p>
      </dgm:t>
    </dgm:pt>
    <dgm:pt modelId="{823F061C-D5EB-4127-811B-7874A140C041}" type="parTrans" cxnId="{F80B27EE-12E9-4116-8826-3B85C9CC59E0}">
      <dgm:prSet/>
      <dgm:spPr/>
      <dgm:t>
        <a:bodyPr/>
        <a:lstStyle/>
        <a:p>
          <a:pPr algn="ctr"/>
          <a:endParaRPr lang="en-US"/>
        </a:p>
      </dgm:t>
    </dgm:pt>
    <dgm:pt modelId="{F64A6D6C-49C0-4A28-A340-C4660BAC7C79}" type="sibTrans" cxnId="{F80B27EE-12E9-4116-8826-3B85C9CC59E0}">
      <dgm:prSet/>
      <dgm:spPr>
        <a:xfrm>
          <a:off x="375178" y="272943"/>
          <a:ext cx="2475443" cy="2475443"/>
        </a:xfrm>
        <a:solidFill>
          <a:srgbClr val="5B9BD5">
            <a:hueOff val="0"/>
            <a:satOff val="0"/>
            <a:lumOff val="0"/>
            <a:alphaOff val="0"/>
          </a:srgbClr>
        </a:solidFill>
        <a:ln>
          <a:noFill/>
        </a:ln>
        <a:effectLst/>
      </dgm:spPr>
      <dgm:t>
        <a:bodyPr/>
        <a:lstStyle/>
        <a:p>
          <a:pPr algn="ctr"/>
          <a:endParaRPr lang="en-US"/>
        </a:p>
      </dgm:t>
    </dgm:pt>
    <dgm:pt modelId="{767F1006-3DC4-487F-A140-9328E037EC1F}">
      <dgm:prSet phldrT="[Text]"/>
      <dgm:spPr>
        <a:xfrm>
          <a:off x="1320168" y="2434578"/>
          <a:ext cx="585463" cy="585463"/>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b="1" dirty="0">
              <a:solidFill>
                <a:sysClr val="window" lastClr="FFFFFF"/>
              </a:solidFill>
              <a:effectLst/>
              <a:latin typeface="Calibri" panose="020F0502020204030204"/>
              <a:ea typeface="+mn-ea"/>
              <a:cs typeface="Times New Roman" panose="02020603050405020304" charset="0"/>
            </a:rPr>
            <a:t>Step five</a:t>
          </a:r>
          <a:r>
            <a:rPr lang="en-US" dirty="0">
              <a:solidFill>
                <a:sysClr val="window" lastClr="FFFFFF"/>
              </a:solidFill>
              <a:effectLst/>
              <a:latin typeface="Calibri" panose="020F0502020204030204"/>
              <a:ea typeface="+mn-ea"/>
              <a:cs typeface="Times New Roman" panose="02020603050405020304" charset="0"/>
            </a:rPr>
            <a:t>: </a:t>
          </a:r>
          <a:r>
            <a:rPr lang="en-US">
              <a:solidFill>
                <a:sysClr val="window" lastClr="FFFFFF"/>
              </a:solidFill>
              <a:latin typeface="Calibri" panose="020F0502020204030204"/>
              <a:ea typeface="+mn-ea"/>
              <a:cs typeface="+mn-cs"/>
            </a:rPr>
            <a:t>Avail ICTs for access, locate and manipulate information. to train students </a:t>
          </a:r>
          <a:endParaRPr lang="en-US" dirty="0">
            <a:solidFill>
              <a:sysClr val="window" lastClr="FFFFFF"/>
            </a:solidFill>
            <a:latin typeface="Calibri" panose="020F0502020204030204"/>
            <a:ea typeface="+mn-ea"/>
            <a:cs typeface="+mn-cs"/>
          </a:endParaRPr>
        </a:p>
      </dgm:t>
    </dgm:pt>
    <dgm:pt modelId="{D12DBC06-6EAA-47B4-9720-8AE393DD25D2}" type="parTrans" cxnId="{99059CF3-906B-4A79-8B23-21015270BF5B}">
      <dgm:prSet/>
      <dgm:spPr/>
      <dgm:t>
        <a:bodyPr/>
        <a:lstStyle/>
        <a:p>
          <a:pPr algn="ctr"/>
          <a:endParaRPr lang="en-US"/>
        </a:p>
      </dgm:t>
    </dgm:pt>
    <dgm:pt modelId="{2B22232A-32BD-4C69-BC27-39D4232B238C}" type="sibTrans" cxnId="{99059CF3-906B-4A79-8B23-21015270BF5B}">
      <dgm:prSet/>
      <dgm:spPr>
        <a:xfrm>
          <a:off x="375178" y="272943"/>
          <a:ext cx="2475443" cy="2475443"/>
        </a:xfrm>
        <a:solidFill>
          <a:srgbClr val="70AD47">
            <a:hueOff val="0"/>
            <a:satOff val="0"/>
            <a:lumOff val="0"/>
            <a:alphaOff val="0"/>
          </a:srgbClr>
        </a:solidFill>
        <a:ln>
          <a:noFill/>
        </a:ln>
        <a:effectLst/>
      </dgm:spPr>
      <dgm:t>
        <a:bodyPr/>
        <a:lstStyle/>
        <a:p>
          <a:pPr algn="ctr"/>
          <a:endParaRPr lang="en-US"/>
        </a:p>
      </dgm:t>
    </dgm:pt>
    <dgm:pt modelId="{1744B8ED-9277-4463-B7E3-FDB37BC3C03C}">
      <dgm:prSet phldrT="[Text]"/>
      <dgm:spPr>
        <a:xfrm>
          <a:off x="459870" y="2078231"/>
          <a:ext cx="585463" cy="585463"/>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b="1" dirty="0">
              <a:solidFill>
                <a:sysClr val="window" lastClr="FFFFFF"/>
              </a:solidFill>
              <a:effectLst/>
              <a:latin typeface="Calibri" panose="020F0502020204030204"/>
              <a:ea typeface="+mn-ea"/>
              <a:cs typeface="Times New Roman" panose="02020603050405020304" charset="0"/>
            </a:rPr>
            <a:t>Step six- </a:t>
          </a:r>
          <a:r>
            <a:rPr lang="en-US">
              <a:solidFill>
                <a:sysClr val="window" lastClr="FFFFFF"/>
              </a:solidFill>
              <a:latin typeface="Calibri" panose="020F0502020204030204"/>
              <a:ea typeface="+mn-ea"/>
              <a:cs typeface="+mn-cs"/>
            </a:rPr>
            <a:t>Train and reskill staff ie customer service, pedagogy</a:t>
          </a:r>
          <a:endParaRPr lang="en-US" dirty="0">
            <a:solidFill>
              <a:sysClr val="window" lastClr="FFFFFF"/>
            </a:solidFill>
            <a:latin typeface="Calibri" panose="020F0502020204030204"/>
            <a:ea typeface="+mn-ea"/>
            <a:cs typeface="+mn-cs"/>
          </a:endParaRPr>
        </a:p>
      </dgm:t>
    </dgm:pt>
    <dgm:pt modelId="{97123647-E8B7-4AC4-9D3F-1C1F683C8E2F}" type="parTrans" cxnId="{A6930BFB-5CF1-4FCE-93FF-53506E85BA7D}">
      <dgm:prSet/>
      <dgm:spPr/>
      <dgm:t>
        <a:bodyPr/>
        <a:lstStyle/>
        <a:p>
          <a:pPr algn="ctr"/>
          <a:endParaRPr lang="en-US"/>
        </a:p>
      </dgm:t>
    </dgm:pt>
    <dgm:pt modelId="{E3AADDF3-8E14-4BF7-8E25-21146BBFD3A4}" type="sibTrans" cxnId="{A6930BFB-5CF1-4FCE-93FF-53506E85BA7D}">
      <dgm:prSet/>
      <dgm:spPr>
        <a:xfrm>
          <a:off x="375178" y="272943"/>
          <a:ext cx="2475443" cy="2475443"/>
        </a:xfrm>
        <a:solidFill>
          <a:srgbClr val="ED7D31">
            <a:hueOff val="0"/>
            <a:satOff val="0"/>
            <a:lumOff val="0"/>
            <a:alphaOff val="0"/>
          </a:srgbClr>
        </a:solidFill>
        <a:ln>
          <a:noFill/>
        </a:ln>
        <a:effectLst/>
      </dgm:spPr>
      <dgm:t>
        <a:bodyPr/>
        <a:lstStyle/>
        <a:p>
          <a:pPr algn="ctr"/>
          <a:endParaRPr lang="en-US"/>
        </a:p>
      </dgm:t>
    </dgm:pt>
    <dgm:pt modelId="{94228F9D-A9E8-43B6-8640-82FBFC84DA5E}">
      <dgm:prSet/>
      <dgm:spPr/>
      <dgm:t>
        <a:bodyPr/>
        <a:lstStyle/>
        <a:p>
          <a:pPr algn="ctr"/>
          <a:endParaRPr lang="en-US"/>
        </a:p>
      </dgm:t>
    </dgm:pt>
    <dgm:pt modelId="{92F0E644-2860-487B-B4EA-27A3DD315916}" type="parTrans" cxnId="{A00490DF-C64C-450A-863B-2DA2A6A7239A}">
      <dgm:prSet/>
      <dgm:spPr/>
      <dgm:t>
        <a:bodyPr/>
        <a:lstStyle/>
        <a:p>
          <a:pPr algn="ctr"/>
          <a:endParaRPr lang="en-US"/>
        </a:p>
      </dgm:t>
    </dgm:pt>
    <dgm:pt modelId="{71C2D61E-E3FB-4B46-A489-4B9F2E3F79AC}" type="sibTrans" cxnId="{A00490DF-C64C-450A-863B-2DA2A6A7239A}">
      <dgm:prSet/>
      <dgm:spPr/>
      <dgm:t>
        <a:bodyPr/>
        <a:lstStyle/>
        <a:p>
          <a:pPr algn="ctr"/>
          <a:endParaRPr lang="en-US"/>
        </a:p>
      </dgm:t>
    </dgm:pt>
    <dgm:pt modelId="{314482F4-EC80-4133-ABA2-756E9E8C3691}" type="pres">
      <dgm:prSet presAssocID="{6B732903-9632-4DC3-83BC-32F46F6A8360}" presName="Name0" presStyleCnt="0">
        <dgm:presLayoutVars>
          <dgm:chMax val="1"/>
          <dgm:dir/>
          <dgm:animLvl val="ctr"/>
          <dgm:resizeHandles val="exact"/>
        </dgm:presLayoutVars>
      </dgm:prSet>
      <dgm:spPr/>
      <dgm:t>
        <a:bodyPr/>
        <a:lstStyle/>
        <a:p>
          <a:endParaRPr lang="en-US"/>
        </a:p>
      </dgm:t>
    </dgm:pt>
    <dgm:pt modelId="{7FA8C981-2DA9-4559-A6A4-81E86CD59D19}" type="pres">
      <dgm:prSet presAssocID="{F27BAAD7-C15F-4DF1-93AE-2A152B8A8988}" presName="centerShape" presStyleLbl="node0" presStyleIdx="0" presStyleCnt="1" custLinFactNeighborX="-1957" custLinFactNeighborY="3914"/>
      <dgm:spPr>
        <a:prstGeom prst="ellipse">
          <a:avLst/>
        </a:prstGeom>
      </dgm:spPr>
      <dgm:t>
        <a:bodyPr/>
        <a:lstStyle/>
        <a:p>
          <a:endParaRPr lang="en-US"/>
        </a:p>
      </dgm:t>
    </dgm:pt>
    <dgm:pt modelId="{514643AA-BEDA-471B-A5E2-92539D2BF4C7}" type="pres">
      <dgm:prSet presAssocID="{6FEDCB31-ABEA-4B8C-A498-4D10CC9DE26C}" presName="node" presStyleLbl="node1" presStyleIdx="0" presStyleCnt="8" custRadScaleRad="99404" custRadScaleInc="-2296">
        <dgm:presLayoutVars>
          <dgm:bulletEnabled val="1"/>
        </dgm:presLayoutVars>
      </dgm:prSet>
      <dgm:spPr>
        <a:prstGeom prst="ellipse">
          <a:avLst/>
        </a:prstGeom>
      </dgm:spPr>
      <dgm:t>
        <a:bodyPr/>
        <a:lstStyle/>
        <a:p>
          <a:endParaRPr lang="en-US"/>
        </a:p>
      </dgm:t>
    </dgm:pt>
    <dgm:pt modelId="{C7CE2B1D-289E-453D-ABB7-D559168413F2}" type="pres">
      <dgm:prSet presAssocID="{6FEDCB31-ABEA-4B8C-A498-4D10CC9DE26C}" presName="dummy" presStyleCnt="0"/>
      <dgm:spPr/>
    </dgm:pt>
    <dgm:pt modelId="{779643BA-A751-4E48-B451-C901CFD0CCF4}" type="pres">
      <dgm:prSet presAssocID="{A13DB3D0-8F45-4CCC-8A26-17AED3494138}" presName="sibTrans" presStyleLbl="sibTrans2D1" presStyleIdx="0" presStyleCnt="8"/>
      <dgm:spPr>
        <a:prstGeom prst="blockArc">
          <a:avLst>
            <a:gd name="adj1" fmla="val 16158981"/>
            <a:gd name="adj2" fmla="val 18871162"/>
            <a:gd name="adj3" fmla="val 3406"/>
          </a:avLst>
        </a:prstGeom>
      </dgm:spPr>
      <dgm:t>
        <a:bodyPr/>
        <a:lstStyle/>
        <a:p>
          <a:endParaRPr lang="en-US"/>
        </a:p>
      </dgm:t>
    </dgm:pt>
    <dgm:pt modelId="{D25996A1-6D0F-4B0F-A5CB-6A65CF2EACE5}" type="pres">
      <dgm:prSet presAssocID="{AFD59B8F-8895-44DA-B8AB-94AA4D708F91}" presName="node" presStyleLbl="node1" presStyleIdx="1" presStyleCnt="8">
        <dgm:presLayoutVars>
          <dgm:bulletEnabled val="1"/>
        </dgm:presLayoutVars>
      </dgm:prSet>
      <dgm:spPr>
        <a:prstGeom prst="ellipse">
          <a:avLst/>
        </a:prstGeom>
      </dgm:spPr>
      <dgm:t>
        <a:bodyPr/>
        <a:lstStyle/>
        <a:p>
          <a:endParaRPr lang="en-US"/>
        </a:p>
      </dgm:t>
    </dgm:pt>
    <dgm:pt modelId="{2F264D8B-DE82-47E7-84D8-2BE62379399B}" type="pres">
      <dgm:prSet presAssocID="{AFD59B8F-8895-44DA-B8AB-94AA4D708F91}" presName="dummy" presStyleCnt="0"/>
      <dgm:spPr/>
    </dgm:pt>
    <dgm:pt modelId="{6167252B-C00C-4C30-AA2D-55E2813FA702}" type="pres">
      <dgm:prSet presAssocID="{C4F313C1-88CF-413F-B2BB-411BF764D5FE}" presName="sibTrans" presStyleLbl="sibTrans2D1" presStyleIdx="1" presStyleCnt="8"/>
      <dgm:spPr>
        <a:prstGeom prst="blockArc">
          <a:avLst>
            <a:gd name="adj1" fmla="val 18900000"/>
            <a:gd name="adj2" fmla="val 0"/>
            <a:gd name="adj3" fmla="val 3406"/>
          </a:avLst>
        </a:prstGeom>
      </dgm:spPr>
      <dgm:t>
        <a:bodyPr/>
        <a:lstStyle/>
        <a:p>
          <a:endParaRPr lang="en-US"/>
        </a:p>
      </dgm:t>
    </dgm:pt>
    <dgm:pt modelId="{F1D70387-2971-4859-8B5E-7D3F848BF1D0}" type="pres">
      <dgm:prSet presAssocID="{93DBF13F-85ED-49D9-B7D9-9411F8F49289}" presName="node" presStyleLbl="node1" presStyleIdx="2" presStyleCnt="8">
        <dgm:presLayoutVars>
          <dgm:bulletEnabled val="1"/>
        </dgm:presLayoutVars>
      </dgm:prSet>
      <dgm:spPr>
        <a:prstGeom prst="ellipse">
          <a:avLst/>
        </a:prstGeom>
      </dgm:spPr>
      <dgm:t>
        <a:bodyPr/>
        <a:lstStyle/>
        <a:p>
          <a:endParaRPr lang="en-US"/>
        </a:p>
      </dgm:t>
    </dgm:pt>
    <dgm:pt modelId="{2D06C85E-D1AE-4020-B5A8-DCD64C736FBC}" type="pres">
      <dgm:prSet presAssocID="{93DBF13F-85ED-49D9-B7D9-9411F8F49289}" presName="dummy" presStyleCnt="0"/>
      <dgm:spPr/>
    </dgm:pt>
    <dgm:pt modelId="{56C1F15F-EF5C-4A31-9CAC-E875DB6D0A7B}" type="pres">
      <dgm:prSet presAssocID="{B355C240-A20E-479F-9601-AF2B06B3D2CF}" presName="sibTrans" presStyleLbl="sibTrans2D1" presStyleIdx="2" presStyleCnt="8"/>
      <dgm:spPr>
        <a:prstGeom prst="blockArc">
          <a:avLst>
            <a:gd name="adj1" fmla="val 0"/>
            <a:gd name="adj2" fmla="val 2700000"/>
            <a:gd name="adj3" fmla="val 3406"/>
          </a:avLst>
        </a:prstGeom>
      </dgm:spPr>
      <dgm:t>
        <a:bodyPr/>
        <a:lstStyle/>
        <a:p>
          <a:endParaRPr lang="en-US"/>
        </a:p>
      </dgm:t>
    </dgm:pt>
    <dgm:pt modelId="{8589C33A-552D-49CB-9CC4-F2CB6D0F3FDA}" type="pres">
      <dgm:prSet presAssocID="{7CB0D972-2AEF-4C32-B63B-F18D3A8E7863}" presName="node" presStyleLbl="node1" presStyleIdx="3" presStyleCnt="8">
        <dgm:presLayoutVars>
          <dgm:bulletEnabled val="1"/>
        </dgm:presLayoutVars>
      </dgm:prSet>
      <dgm:spPr>
        <a:prstGeom prst="ellipse">
          <a:avLst/>
        </a:prstGeom>
      </dgm:spPr>
      <dgm:t>
        <a:bodyPr/>
        <a:lstStyle/>
        <a:p>
          <a:endParaRPr lang="en-US"/>
        </a:p>
      </dgm:t>
    </dgm:pt>
    <dgm:pt modelId="{4608436F-E2B2-40E7-B99A-96BC0EE90D2F}" type="pres">
      <dgm:prSet presAssocID="{7CB0D972-2AEF-4C32-B63B-F18D3A8E7863}" presName="dummy" presStyleCnt="0"/>
      <dgm:spPr/>
    </dgm:pt>
    <dgm:pt modelId="{D6147F1F-912F-4B0B-A55C-04A1110E7168}" type="pres">
      <dgm:prSet presAssocID="{F64A6D6C-49C0-4A28-A340-C4660BAC7C79}" presName="sibTrans" presStyleLbl="sibTrans2D1" presStyleIdx="3" presStyleCnt="8"/>
      <dgm:spPr>
        <a:prstGeom prst="blockArc">
          <a:avLst>
            <a:gd name="adj1" fmla="val 2700000"/>
            <a:gd name="adj2" fmla="val 5400000"/>
            <a:gd name="adj3" fmla="val 3406"/>
          </a:avLst>
        </a:prstGeom>
      </dgm:spPr>
      <dgm:t>
        <a:bodyPr/>
        <a:lstStyle/>
        <a:p>
          <a:endParaRPr lang="en-US"/>
        </a:p>
      </dgm:t>
    </dgm:pt>
    <dgm:pt modelId="{614BF351-7C3A-4F33-8873-05388B2D5B2F}" type="pres">
      <dgm:prSet presAssocID="{767F1006-3DC4-487F-A140-9328E037EC1F}" presName="node" presStyleLbl="node1" presStyleIdx="4" presStyleCnt="8">
        <dgm:presLayoutVars>
          <dgm:bulletEnabled val="1"/>
        </dgm:presLayoutVars>
      </dgm:prSet>
      <dgm:spPr>
        <a:prstGeom prst="ellipse">
          <a:avLst/>
        </a:prstGeom>
      </dgm:spPr>
      <dgm:t>
        <a:bodyPr/>
        <a:lstStyle/>
        <a:p>
          <a:endParaRPr lang="en-US"/>
        </a:p>
      </dgm:t>
    </dgm:pt>
    <dgm:pt modelId="{56A36A30-F229-4CDC-8C51-EAF2FD347947}" type="pres">
      <dgm:prSet presAssocID="{767F1006-3DC4-487F-A140-9328E037EC1F}" presName="dummy" presStyleCnt="0"/>
      <dgm:spPr/>
    </dgm:pt>
    <dgm:pt modelId="{7D5EE462-A1CB-4FA8-82E1-EF4D03EFB404}" type="pres">
      <dgm:prSet presAssocID="{2B22232A-32BD-4C69-BC27-39D4232B238C}" presName="sibTrans" presStyleLbl="sibTrans2D1" presStyleIdx="4" presStyleCnt="8"/>
      <dgm:spPr>
        <a:prstGeom prst="blockArc">
          <a:avLst>
            <a:gd name="adj1" fmla="val 5400000"/>
            <a:gd name="adj2" fmla="val 8100000"/>
            <a:gd name="adj3" fmla="val 3406"/>
          </a:avLst>
        </a:prstGeom>
      </dgm:spPr>
      <dgm:t>
        <a:bodyPr/>
        <a:lstStyle/>
        <a:p>
          <a:endParaRPr lang="en-US"/>
        </a:p>
      </dgm:t>
    </dgm:pt>
    <dgm:pt modelId="{42696FA6-4310-41F7-ACCB-D2C8DA3184A7}" type="pres">
      <dgm:prSet presAssocID="{1744B8ED-9277-4463-B7E3-FDB37BC3C03C}" presName="node" presStyleLbl="node1" presStyleIdx="5" presStyleCnt="8">
        <dgm:presLayoutVars>
          <dgm:bulletEnabled val="1"/>
        </dgm:presLayoutVars>
      </dgm:prSet>
      <dgm:spPr>
        <a:prstGeom prst="ellipse">
          <a:avLst/>
        </a:prstGeom>
      </dgm:spPr>
      <dgm:t>
        <a:bodyPr/>
        <a:lstStyle/>
        <a:p>
          <a:endParaRPr lang="en-US"/>
        </a:p>
      </dgm:t>
    </dgm:pt>
    <dgm:pt modelId="{18D4BF5F-882E-4FD8-BDFF-4134EB24E120}" type="pres">
      <dgm:prSet presAssocID="{1744B8ED-9277-4463-B7E3-FDB37BC3C03C}" presName="dummy" presStyleCnt="0"/>
      <dgm:spPr/>
    </dgm:pt>
    <dgm:pt modelId="{7288E0CF-6A1E-4E5D-A198-702B9199466F}" type="pres">
      <dgm:prSet presAssocID="{E3AADDF3-8E14-4BF7-8E25-21146BBFD3A4}" presName="sibTrans" presStyleLbl="sibTrans2D1" presStyleIdx="5" presStyleCnt="8"/>
      <dgm:spPr>
        <a:prstGeom prst="blockArc">
          <a:avLst>
            <a:gd name="adj1" fmla="val 8100000"/>
            <a:gd name="adj2" fmla="val 10800000"/>
            <a:gd name="adj3" fmla="val 3406"/>
          </a:avLst>
        </a:prstGeom>
      </dgm:spPr>
      <dgm:t>
        <a:bodyPr/>
        <a:lstStyle/>
        <a:p>
          <a:endParaRPr lang="en-US"/>
        </a:p>
      </dgm:t>
    </dgm:pt>
    <dgm:pt modelId="{C5529367-58F0-4BFA-9C12-524B8B4933B4}" type="pres">
      <dgm:prSet presAssocID="{5C905094-34D3-44ED-9195-23F51C72B5EB}" presName="node" presStyleLbl="node1" presStyleIdx="6" presStyleCnt="8">
        <dgm:presLayoutVars>
          <dgm:bulletEnabled val="1"/>
        </dgm:presLayoutVars>
      </dgm:prSet>
      <dgm:spPr>
        <a:prstGeom prst="ellipse">
          <a:avLst/>
        </a:prstGeom>
      </dgm:spPr>
      <dgm:t>
        <a:bodyPr/>
        <a:lstStyle/>
        <a:p>
          <a:endParaRPr lang="en-US"/>
        </a:p>
      </dgm:t>
    </dgm:pt>
    <dgm:pt modelId="{59EDF136-64C1-4C64-84F2-5235017D0ED6}" type="pres">
      <dgm:prSet presAssocID="{5C905094-34D3-44ED-9195-23F51C72B5EB}" presName="dummy" presStyleCnt="0"/>
      <dgm:spPr/>
    </dgm:pt>
    <dgm:pt modelId="{1BA70F60-5F9B-4164-BD29-8D1037432F99}" type="pres">
      <dgm:prSet presAssocID="{29838435-DEEA-4414-8C5D-EF86CBB4D4AC}" presName="sibTrans" presStyleLbl="sibTrans2D1" presStyleIdx="6" presStyleCnt="8"/>
      <dgm:spPr>
        <a:prstGeom prst="blockArc">
          <a:avLst>
            <a:gd name="adj1" fmla="val 10800000"/>
            <a:gd name="adj2" fmla="val 13500000"/>
            <a:gd name="adj3" fmla="val 3406"/>
          </a:avLst>
        </a:prstGeom>
      </dgm:spPr>
      <dgm:t>
        <a:bodyPr/>
        <a:lstStyle/>
        <a:p>
          <a:endParaRPr lang="en-US"/>
        </a:p>
      </dgm:t>
    </dgm:pt>
    <dgm:pt modelId="{F87F2108-ACB8-4DAB-B2B5-E7EFFE5F43F8}" type="pres">
      <dgm:prSet presAssocID="{07A3EBB2-2254-4F60-846E-78F20B5E5EFC}" presName="node" presStyleLbl="node1" presStyleIdx="7" presStyleCnt="8">
        <dgm:presLayoutVars>
          <dgm:bulletEnabled val="1"/>
        </dgm:presLayoutVars>
      </dgm:prSet>
      <dgm:spPr>
        <a:prstGeom prst="ellipse">
          <a:avLst/>
        </a:prstGeom>
      </dgm:spPr>
      <dgm:t>
        <a:bodyPr/>
        <a:lstStyle/>
        <a:p>
          <a:endParaRPr lang="en-US"/>
        </a:p>
      </dgm:t>
    </dgm:pt>
    <dgm:pt modelId="{C2635C13-DB24-4A4E-B27A-81878A8BD2B3}" type="pres">
      <dgm:prSet presAssocID="{07A3EBB2-2254-4F60-846E-78F20B5E5EFC}" presName="dummy" presStyleCnt="0"/>
      <dgm:spPr/>
    </dgm:pt>
    <dgm:pt modelId="{3A6B6180-6454-4CB6-AD0E-6432283104C2}" type="pres">
      <dgm:prSet presAssocID="{722D16AA-3AB7-4AD3-9BF8-393A23CFE2B2}" presName="sibTrans" presStyleLbl="sibTrans2D1" presStyleIdx="7" presStyleCnt="8"/>
      <dgm:spPr>
        <a:prstGeom prst="blockArc">
          <a:avLst>
            <a:gd name="adj1" fmla="val 13529187"/>
            <a:gd name="adj2" fmla="val 16200185"/>
            <a:gd name="adj3" fmla="val 3406"/>
          </a:avLst>
        </a:prstGeom>
      </dgm:spPr>
      <dgm:t>
        <a:bodyPr/>
        <a:lstStyle/>
        <a:p>
          <a:endParaRPr lang="en-US"/>
        </a:p>
      </dgm:t>
    </dgm:pt>
  </dgm:ptLst>
  <dgm:cxnLst>
    <dgm:cxn modelId="{A6930BFB-5CF1-4FCE-93FF-53506E85BA7D}" srcId="{F27BAAD7-C15F-4DF1-93AE-2A152B8A8988}" destId="{1744B8ED-9277-4463-B7E3-FDB37BC3C03C}" srcOrd="5" destOrd="0" parTransId="{97123647-E8B7-4AC4-9D3F-1C1F683C8E2F}" sibTransId="{E3AADDF3-8E14-4BF7-8E25-21146BBFD3A4}"/>
    <dgm:cxn modelId="{F80B27EE-12E9-4116-8826-3B85C9CC59E0}" srcId="{F27BAAD7-C15F-4DF1-93AE-2A152B8A8988}" destId="{7CB0D972-2AEF-4C32-B63B-F18D3A8E7863}" srcOrd="3" destOrd="0" parTransId="{823F061C-D5EB-4127-811B-7874A140C041}" sibTransId="{F64A6D6C-49C0-4A28-A340-C4660BAC7C79}"/>
    <dgm:cxn modelId="{9E3DC3A4-EF88-40D8-A0B3-EE8DCC2E839A}" type="presOf" srcId="{722D16AA-3AB7-4AD3-9BF8-393A23CFE2B2}" destId="{3A6B6180-6454-4CB6-AD0E-6432283104C2}" srcOrd="0" destOrd="0" presId="urn:microsoft.com/office/officeart/2005/8/layout/radial6#1"/>
    <dgm:cxn modelId="{D61FAD0E-332D-4A42-946D-C864C66F98A0}" type="presOf" srcId="{6B732903-9632-4DC3-83BC-32F46F6A8360}" destId="{314482F4-EC80-4133-ABA2-756E9E8C3691}" srcOrd="0" destOrd="0" presId="urn:microsoft.com/office/officeart/2005/8/layout/radial6#1"/>
    <dgm:cxn modelId="{99059CF3-906B-4A79-8B23-21015270BF5B}" srcId="{F27BAAD7-C15F-4DF1-93AE-2A152B8A8988}" destId="{767F1006-3DC4-487F-A140-9328E037EC1F}" srcOrd="4" destOrd="0" parTransId="{D12DBC06-6EAA-47B4-9720-8AE393DD25D2}" sibTransId="{2B22232A-32BD-4C69-BC27-39D4232B238C}"/>
    <dgm:cxn modelId="{F4472255-A19E-4A15-8E5D-E0EC902B2C2E}" type="presOf" srcId="{A13DB3D0-8F45-4CCC-8A26-17AED3494138}" destId="{779643BA-A751-4E48-B451-C901CFD0CCF4}" srcOrd="0" destOrd="0" presId="urn:microsoft.com/office/officeart/2005/8/layout/radial6#1"/>
    <dgm:cxn modelId="{CCF4A74C-5614-4228-BAAD-AEBC24E9664F}" srcId="{6B732903-9632-4DC3-83BC-32F46F6A8360}" destId="{F27BAAD7-C15F-4DF1-93AE-2A152B8A8988}" srcOrd="0" destOrd="0" parTransId="{24B98F2A-34C7-4A3D-AF20-1C7F7EA5CC85}" sibTransId="{FDC04F6C-2014-45FD-A3F4-DA2FF98A26E0}"/>
    <dgm:cxn modelId="{780088C5-7FC6-4197-A8B2-54F6AD38F8A2}" type="presOf" srcId="{93DBF13F-85ED-49D9-B7D9-9411F8F49289}" destId="{F1D70387-2971-4859-8B5E-7D3F848BF1D0}" srcOrd="0" destOrd="0" presId="urn:microsoft.com/office/officeart/2005/8/layout/radial6#1"/>
    <dgm:cxn modelId="{A00490DF-C64C-450A-863B-2DA2A6A7239A}" srcId="{6B732903-9632-4DC3-83BC-32F46F6A8360}" destId="{94228F9D-A9E8-43B6-8640-82FBFC84DA5E}" srcOrd="1" destOrd="0" parTransId="{92F0E644-2860-487B-B4EA-27A3DD315916}" sibTransId="{71C2D61E-E3FB-4B46-A489-4B9F2E3F79AC}"/>
    <dgm:cxn modelId="{FA3914B2-B62D-4986-AACA-9025CBE75A5B}" type="presOf" srcId="{7CB0D972-2AEF-4C32-B63B-F18D3A8E7863}" destId="{8589C33A-552D-49CB-9CC4-F2CB6D0F3FDA}" srcOrd="0" destOrd="0" presId="urn:microsoft.com/office/officeart/2005/8/layout/radial6#1"/>
    <dgm:cxn modelId="{6000C9DF-D0F8-455E-A3C3-8C196E456642}" type="presOf" srcId="{5C905094-34D3-44ED-9195-23F51C72B5EB}" destId="{C5529367-58F0-4BFA-9C12-524B8B4933B4}" srcOrd="0" destOrd="0" presId="urn:microsoft.com/office/officeart/2005/8/layout/radial6#1"/>
    <dgm:cxn modelId="{1A81E119-BEF7-41EE-B1C0-FADCA3208EB3}" type="presOf" srcId="{AFD59B8F-8895-44DA-B8AB-94AA4D708F91}" destId="{D25996A1-6D0F-4B0F-A5CB-6A65CF2EACE5}" srcOrd="0" destOrd="0" presId="urn:microsoft.com/office/officeart/2005/8/layout/radial6#1"/>
    <dgm:cxn modelId="{E41232D9-5DDE-47B0-B141-473CA5651E3A}" type="presOf" srcId="{07A3EBB2-2254-4F60-846E-78F20B5E5EFC}" destId="{F87F2108-ACB8-4DAB-B2B5-E7EFFE5F43F8}" srcOrd="0" destOrd="0" presId="urn:microsoft.com/office/officeart/2005/8/layout/radial6#1"/>
    <dgm:cxn modelId="{D462634D-21B2-4AF2-B05E-4E5AA5BB294C}" srcId="{F27BAAD7-C15F-4DF1-93AE-2A152B8A8988}" destId="{07A3EBB2-2254-4F60-846E-78F20B5E5EFC}" srcOrd="7" destOrd="0" parTransId="{2E34E7FA-6FB7-4134-AEC8-2C30DE92172E}" sibTransId="{722D16AA-3AB7-4AD3-9BF8-393A23CFE2B2}"/>
    <dgm:cxn modelId="{9EFF8CC4-3675-4BE1-8C8A-1CB7CDD18D9F}" type="presOf" srcId="{B355C240-A20E-479F-9601-AF2B06B3D2CF}" destId="{56C1F15F-EF5C-4A31-9CAC-E875DB6D0A7B}" srcOrd="0" destOrd="0" presId="urn:microsoft.com/office/officeart/2005/8/layout/radial6#1"/>
    <dgm:cxn modelId="{29418601-C9B1-4BB0-B93D-FC59351E11B5}" srcId="{F27BAAD7-C15F-4DF1-93AE-2A152B8A8988}" destId="{5C905094-34D3-44ED-9195-23F51C72B5EB}" srcOrd="6" destOrd="0" parTransId="{033F0EB9-EF9C-4346-9E07-330BEE57816F}" sibTransId="{29838435-DEEA-4414-8C5D-EF86CBB4D4AC}"/>
    <dgm:cxn modelId="{B8FCBB10-AC64-41F6-B573-5F553F1E9CC4}" type="presOf" srcId="{2B22232A-32BD-4C69-BC27-39D4232B238C}" destId="{7D5EE462-A1CB-4FA8-82E1-EF4D03EFB404}" srcOrd="0" destOrd="0" presId="urn:microsoft.com/office/officeart/2005/8/layout/radial6#1"/>
    <dgm:cxn modelId="{4D2DD078-6463-450B-8814-2806584A5FA9}" type="presOf" srcId="{E3AADDF3-8E14-4BF7-8E25-21146BBFD3A4}" destId="{7288E0CF-6A1E-4E5D-A198-702B9199466F}" srcOrd="0" destOrd="0" presId="urn:microsoft.com/office/officeart/2005/8/layout/radial6#1"/>
    <dgm:cxn modelId="{190C5A04-A211-44BA-A54F-7185CE5D4EEB}" type="presOf" srcId="{29838435-DEEA-4414-8C5D-EF86CBB4D4AC}" destId="{1BA70F60-5F9B-4164-BD29-8D1037432F99}" srcOrd="0" destOrd="0" presId="urn:microsoft.com/office/officeart/2005/8/layout/radial6#1"/>
    <dgm:cxn modelId="{E7CB300F-CF66-48BE-AD4A-DFB6A02B1FB9}" type="presOf" srcId="{767F1006-3DC4-487F-A140-9328E037EC1F}" destId="{614BF351-7C3A-4F33-8873-05388B2D5B2F}" srcOrd="0" destOrd="0" presId="urn:microsoft.com/office/officeart/2005/8/layout/radial6#1"/>
    <dgm:cxn modelId="{B0DB38BB-FBA2-463E-813C-2C54AC7D8BAD}" type="presOf" srcId="{1744B8ED-9277-4463-B7E3-FDB37BC3C03C}" destId="{42696FA6-4310-41F7-ACCB-D2C8DA3184A7}" srcOrd="0" destOrd="0" presId="urn:microsoft.com/office/officeart/2005/8/layout/radial6#1"/>
    <dgm:cxn modelId="{7688E2B6-7808-4C81-92FE-7D7631538F17}" type="presOf" srcId="{F27BAAD7-C15F-4DF1-93AE-2A152B8A8988}" destId="{7FA8C981-2DA9-4559-A6A4-81E86CD59D19}" srcOrd="0" destOrd="0" presId="urn:microsoft.com/office/officeart/2005/8/layout/radial6#1"/>
    <dgm:cxn modelId="{2C776140-2F23-4BA2-9868-B9BC76CAEDCB}" srcId="{F27BAAD7-C15F-4DF1-93AE-2A152B8A8988}" destId="{93DBF13F-85ED-49D9-B7D9-9411F8F49289}" srcOrd="2" destOrd="0" parTransId="{A7E6B97B-620D-442E-8295-6FDE89D1BDEC}" sibTransId="{B355C240-A20E-479F-9601-AF2B06B3D2CF}"/>
    <dgm:cxn modelId="{1223D1D0-DCF4-46A6-AD64-8D2D704C20DF}" type="presOf" srcId="{C4F313C1-88CF-413F-B2BB-411BF764D5FE}" destId="{6167252B-C00C-4C30-AA2D-55E2813FA702}" srcOrd="0" destOrd="0" presId="urn:microsoft.com/office/officeart/2005/8/layout/radial6#1"/>
    <dgm:cxn modelId="{D9176AA1-042F-49BA-983F-A2ED10B960FE}" srcId="{F27BAAD7-C15F-4DF1-93AE-2A152B8A8988}" destId="{AFD59B8F-8895-44DA-B8AB-94AA4D708F91}" srcOrd="1" destOrd="0" parTransId="{ED47D69D-7F21-43C0-8020-5CE7895735BD}" sibTransId="{C4F313C1-88CF-413F-B2BB-411BF764D5FE}"/>
    <dgm:cxn modelId="{D07C20E3-9054-4444-B068-6E0B8FD24DC3}" type="presOf" srcId="{6FEDCB31-ABEA-4B8C-A498-4D10CC9DE26C}" destId="{514643AA-BEDA-471B-A5E2-92539D2BF4C7}" srcOrd="0" destOrd="0" presId="urn:microsoft.com/office/officeart/2005/8/layout/radial6#1"/>
    <dgm:cxn modelId="{DF38A4D1-BC39-412D-8B1D-3A8FF42B9CB7}" srcId="{F27BAAD7-C15F-4DF1-93AE-2A152B8A8988}" destId="{6FEDCB31-ABEA-4B8C-A498-4D10CC9DE26C}" srcOrd="0" destOrd="0" parTransId="{783C4CA7-86C5-4467-8FC9-7EF928F064A7}" sibTransId="{A13DB3D0-8F45-4CCC-8A26-17AED3494138}"/>
    <dgm:cxn modelId="{06315688-9313-43DE-8C64-2E380A617F87}" type="presOf" srcId="{F64A6D6C-49C0-4A28-A340-C4660BAC7C79}" destId="{D6147F1F-912F-4B0B-A55C-04A1110E7168}" srcOrd="0" destOrd="0" presId="urn:microsoft.com/office/officeart/2005/8/layout/radial6#1"/>
    <dgm:cxn modelId="{6E99F485-63A6-4C90-B48E-82CAF8310525}" type="presParOf" srcId="{314482F4-EC80-4133-ABA2-756E9E8C3691}" destId="{7FA8C981-2DA9-4559-A6A4-81E86CD59D19}" srcOrd="0" destOrd="0" presId="urn:microsoft.com/office/officeart/2005/8/layout/radial6#1"/>
    <dgm:cxn modelId="{3082F8CD-2EBE-4C01-8DA4-5E4475670D3B}" type="presParOf" srcId="{314482F4-EC80-4133-ABA2-756E9E8C3691}" destId="{514643AA-BEDA-471B-A5E2-92539D2BF4C7}" srcOrd="1" destOrd="0" presId="urn:microsoft.com/office/officeart/2005/8/layout/radial6#1"/>
    <dgm:cxn modelId="{659DE1DF-C655-4961-A5E9-CACA98A658CD}" type="presParOf" srcId="{314482F4-EC80-4133-ABA2-756E9E8C3691}" destId="{C7CE2B1D-289E-453D-ABB7-D559168413F2}" srcOrd="2" destOrd="0" presId="urn:microsoft.com/office/officeart/2005/8/layout/radial6#1"/>
    <dgm:cxn modelId="{7199FB03-E092-49B9-B2EF-294A478A07D4}" type="presParOf" srcId="{314482F4-EC80-4133-ABA2-756E9E8C3691}" destId="{779643BA-A751-4E48-B451-C901CFD0CCF4}" srcOrd="3" destOrd="0" presId="urn:microsoft.com/office/officeart/2005/8/layout/radial6#1"/>
    <dgm:cxn modelId="{B0C96D22-D912-469F-8B63-91A7432D8315}" type="presParOf" srcId="{314482F4-EC80-4133-ABA2-756E9E8C3691}" destId="{D25996A1-6D0F-4B0F-A5CB-6A65CF2EACE5}" srcOrd="4" destOrd="0" presId="urn:microsoft.com/office/officeart/2005/8/layout/radial6#1"/>
    <dgm:cxn modelId="{FA359B39-1F91-4395-95E4-2F50162F1A84}" type="presParOf" srcId="{314482F4-EC80-4133-ABA2-756E9E8C3691}" destId="{2F264D8B-DE82-47E7-84D8-2BE62379399B}" srcOrd="5" destOrd="0" presId="urn:microsoft.com/office/officeart/2005/8/layout/radial6#1"/>
    <dgm:cxn modelId="{E4ACCB96-3741-4D70-86A1-4312EDD86CF2}" type="presParOf" srcId="{314482F4-EC80-4133-ABA2-756E9E8C3691}" destId="{6167252B-C00C-4C30-AA2D-55E2813FA702}" srcOrd="6" destOrd="0" presId="urn:microsoft.com/office/officeart/2005/8/layout/radial6#1"/>
    <dgm:cxn modelId="{56D9FC30-F828-45BF-9EB0-CA64F638EFD3}" type="presParOf" srcId="{314482F4-EC80-4133-ABA2-756E9E8C3691}" destId="{F1D70387-2971-4859-8B5E-7D3F848BF1D0}" srcOrd="7" destOrd="0" presId="urn:microsoft.com/office/officeart/2005/8/layout/radial6#1"/>
    <dgm:cxn modelId="{92D5E174-0756-42B3-A6DA-D7AD56D89981}" type="presParOf" srcId="{314482F4-EC80-4133-ABA2-756E9E8C3691}" destId="{2D06C85E-D1AE-4020-B5A8-DCD64C736FBC}" srcOrd="8" destOrd="0" presId="urn:microsoft.com/office/officeart/2005/8/layout/radial6#1"/>
    <dgm:cxn modelId="{C0DE72F8-79D6-4B63-B59C-72908104F2DC}" type="presParOf" srcId="{314482F4-EC80-4133-ABA2-756E9E8C3691}" destId="{56C1F15F-EF5C-4A31-9CAC-E875DB6D0A7B}" srcOrd="9" destOrd="0" presId="urn:microsoft.com/office/officeart/2005/8/layout/radial6#1"/>
    <dgm:cxn modelId="{FAA5D4A4-3BB1-4EF2-B9A8-67D017075A21}" type="presParOf" srcId="{314482F4-EC80-4133-ABA2-756E9E8C3691}" destId="{8589C33A-552D-49CB-9CC4-F2CB6D0F3FDA}" srcOrd="10" destOrd="0" presId="urn:microsoft.com/office/officeart/2005/8/layout/radial6#1"/>
    <dgm:cxn modelId="{06D3A877-BEA7-4BE8-A49C-ACD215D47EEB}" type="presParOf" srcId="{314482F4-EC80-4133-ABA2-756E9E8C3691}" destId="{4608436F-E2B2-40E7-B99A-96BC0EE90D2F}" srcOrd="11" destOrd="0" presId="urn:microsoft.com/office/officeart/2005/8/layout/radial6#1"/>
    <dgm:cxn modelId="{A200A398-86AA-481F-A4C0-7AB6EBAE5E17}" type="presParOf" srcId="{314482F4-EC80-4133-ABA2-756E9E8C3691}" destId="{D6147F1F-912F-4B0B-A55C-04A1110E7168}" srcOrd="12" destOrd="0" presId="urn:microsoft.com/office/officeart/2005/8/layout/radial6#1"/>
    <dgm:cxn modelId="{1837A80B-FB43-4974-AC05-AAC0DE805792}" type="presParOf" srcId="{314482F4-EC80-4133-ABA2-756E9E8C3691}" destId="{614BF351-7C3A-4F33-8873-05388B2D5B2F}" srcOrd="13" destOrd="0" presId="urn:microsoft.com/office/officeart/2005/8/layout/radial6#1"/>
    <dgm:cxn modelId="{B1774285-D858-48C6-9F93-15BAACE42D9D}" type="presParOf" srcId="{314482F4-EC80-4133-ABA2-756E9E8C3691}" destId="{56A36A30-F229-4CDC-8C51-EAF2FD347947}" srcOrd="14" destOrd="0" presId="urn:microsoft.com/office/officeart/2005/8/layout/radial6#1"/>
    <dgm:cxn modelId="{B57165F6-F5F8-4100-B979-1C66C2A84076}" type="presParOf" srcId="{314482F4-EC80-4133-ABA2-756E9E8C3691}" destId="{7D5EE462-A1CB-4FA8-82E1-EF4D03EFB404}" srcOrd="15" destOrd="0" presId="urn:microsoft.com/office/officeart/2005/8/layout/radial6#1"/>
    <dgm:cxn modelId="{8EBE4080-F2D4-4512-810B-85F1CD34D8B0}" type="presParOf" srcId="{314482F4-EC80-4133-ABA2-756E9E8C3691}" destId="{42696FA6-4310-41F7-ACCB-D2C8DA3184A7}" srcOrd="16" destOrd="0" presId="urn:microsoft.com/office/officeart/2005/8/layout/radial6#1"/>
    <dgm:cxn modelId="{E262B0EC-7157-410D-B6E9-D52736C35501}" type="presParOf" srcId="{314482F4-EC80-4133-ABA2-756E9E8C3691}" destId="{18D4BF5F-882E-4FD8-BDFF-4134EB24E120}" srcOrd="17" destOrd="0" presId="urn:microsoft.com/office/officeart/2005/8/layout/radial6#1"/>
    <dgm:cxn modelId="{A3A949E5-39B8-4AAB-9467-F6EAC4BB7E4D}" type="presParOf" srcId="{314482F4-EC80-4133-ABA2-756E9E8C3691}" destId="{7288E0CF-6A1E-4E5D-A198-702B9199466F}" srcOrd="18" destOrd="0" presId="urn:microsoft.com/office/officeart/2005/8/layout/radial6#1"/>
    <dgm:cxn modelId="{73D23C3F-9B9A-4DA8-8063-DE0BC79A15A5}" type="presParOf" srcId="{314482F4-EC80-4133-ABA2-756E9E8C3691}" destId="{C5529367-58F0-4BFA-9C12-524B8B4933B4}" srcOrd="19" destOrd="0" presId="urn:microsoft.com/office/officeart/2005/8/layout/radial6#1"/>
    <dgm:cxn modelId="{5E257E6C-DC98-4E8F-AFF3-76CA1416C7F4}" type="presParOf" srcId="{314482F4-EC80-4133-ABA2-756E9E8C3691}" destId="{59EDF136-64C1-4C64-84F2-5235017D0ED6}" srcOrd="20" destOrd="0" presId="urn:microsoft.com/office/officeart/2005/8/layout/radial6#1"/>
    <dgm:cxn modelId="{08616FC3-9A4A-411A-A6F2-66F600C064C8}" type="presParOf" srcId="{314482F4-EC80-4133-ABA2-756E9E8C3691}" destId="{1BA70F60-5F9B-4164-BD29-8D1037432F99}" srcOrd="21" destOrd="0" presId="urn:microsoft.com/office/officeart/2005/8/layout/radial6#1"/>
    <dgm:cxn modelId="{85D89AEC-811C-42BA-A652-B0A6F474B8AF}" type="presParOf" srcId="{314482F4-EC80-4133-ABA2-756E9E8C3691}" destId="{F87F2108-ACB8-4DAB-B2B5-E7EFFE5F43F8}" srcOrd="22" destOrd="0" presId="urn:microsoft.com/office/officeart/2005/8/layout/radial6#1"/>
    <dgm:cxn modelId="{034D84C1-BF13-4398-8A1C-5006CC13EFD6}" type="presParOf" srcId="{314482F4-EC80-4133-ABA2-756E9E8C3691}" destId="{C2635C13-DB24-4A4E-B27A-81878A8BD2B3}" srcOrd="23" destOrd="0" presId="urn:microsoft.com/office/officeart/2005/8/layout/radial6#1"/>
    <dgm:cxn modelId="{4D4A2234-77FC-4179-8959-C48399B06CB4}" type="presParOf" srcId="{314482F4-EC80-4133-ABA2-756E9E8C3691}" destId="{3A6B6180-6454-4CB6-AD0E-6432283104C2}" srcOrd="24" destOrd="0" presId="urn:microsoft.com/office/officeart/2005/8/layout/radial6#1"/>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6B6180-6454-4CB6-AD0E-6432283104C2}">
      <dsp:nvSpPr>
        <dsp:cNvPr id="0" name=""/>
        <dsp:cNvSpPr/>
      </dsp:nvSpPr>
      <dsp:spPr>
        <a:xfrm>
          <a:off x="390304" y="271093"/>
          <a:ext cx="2396066" cy="2396066"/>
        </a:xfrm>
        <a:prstGeom prst="blockArc">
          <a:avLst>
            <a:gd name="adj1" fmla="val 13529187"/>
            <a:gd name="adj2" fmla="val 16200185"/>
            <a:gd name="adj3" fmla="val 3406"/>
          </a:avLst>
        </a:prstGeom>
        <a:solidFill>
          <a:srgbClr val="FFC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BA70F60-5F9B-4164-BD29-8D1037432F99}">
      <dsp:nvSpPr>
        <dsp:cNvPr id="0" name=""/>
        <dsp:cNvSpPr/>
      </dsp:nvSpPr>
      <dsp:spPr>
        <a:xfrm>
          <a:off x="397404" y="264054"/>
          <a:ext cx="2396066" cy="2396066"/>
        </a:xfrm>
        <a:prstGeom prst="blockArc">
          <a:avLst>
            <a:gd name="adj1" fmla="val 10800000"/>
            <a:gd name="adj2" fmla="val 13500000"/>
            <a:gd name="adj3" fmla="val 3406"/>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7288E0CF-6A1E-4E5D-A198-702B9199466F}">
      <dsp:nvSpPr>
        <dsp:cNvPr id="0" name=""/>
        <dsp:cNvSpPr/>
      </dsp:nvSpPr>
      <dsp:spPr>
        <a:xfrm>
          <a:off x="397404" y="264054"/>
          <a:ext cx="2396066" cy="2396066"/>
        </a:xfrm>
        <a:prstGeom prst="blockArc">
          <a:avLst>
            <a:gd name="adj1" fmla="val 8100000"/>
            <a:gd name="adj2" fmla="val 10800000"/>
            <a:gd name="adj3" fmla="val 3406"/>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7D5EE462-A1CB-4FA8-82E1-EF4D03EFB404}">
      <dsp:nvSpPr>
        <dsp:cNvPr id="0" name=""/>
        <dsp:cNvSpPr/>
      </dsp:nvSpPr>
      <dsp:spPr>
        <a:xfrm>
          <a:off x="397404" y="264054"/>
          <a:ext cx="2396066" cy="2396066"/>
        </a:xfrm>
        <a:prstGeom prst="blockArc">
          <a:avLst>
            <a:gd name="adj1" fmla="val 5400000"/>
            <a:gd name="adj2" fmla="val 8100000"/>
            <a:gd name="adj3" fmla="val 3406"/>
          </a:avLst>
        </a:prstGeom>
        <a:solidFill>
          <a:srgbClr val="70AD47">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6147F1F-912F-4B0B-A55C-04A1110E7168}">
      <dsp:nvSpPr>
        <dsp:cNvPr id="0" name=""/>
        <dsp:cNvSpPr/>
      </dsp:nvSpPr>
      <dsp:spPr>
        <a:xfrm>
          <a:off x="397404" y="264054"/>
          <a:ext cx="2396066" cy="2396066"/>
        </a:xfrm>
        <a:prstGeom prst="blockArc">
          <a:avLst>
            <a:gd name="adj1" fmla="val 2700000"/>
            <a:gd name="adj2" fmla="val 5400000"/>
            <a:gd name="adj3" fmla="val 3406"/>
          </a:avLst>
        </a:prstGeom>
        <a:solidFill>
          <a:srgbClr val="5B9BD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56C1F15F-EF5C-4A31-9CAC-E875DB6D0A7B}">
      <dsp:nvSpPr>
        <dsp:cNvPr id="0" name=""/>
        <dsp:cNvSpPr/>
      </dsp:nvSpPr>
      <dsp:spPr>
        <a:xfrm>
          <a:off x="397404" y="264054"/>
          <a:ext cx="2396066" cy="2396066"/>
        </a:xfrm>
        <a:prstGeom prst="blockArc">
          <a:avLst>
            <a:gd name="adj1" fmla="val 0"/>
            <a:gd name="adj2" fmla="val 2700000"/>
            <a:gd name="adj3" fmla="val 3406"/>
          </a:avLst>
        </a:prstGeom>
        <a:solidFill>
          <a:srgbClr val="FFC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167252B-C00C-4C30-AA2D-55E2813FA702}">
      <dsp:nvSpPr>
        <dsp:cNvPr id="0" name=""/>
        <dsp:cNvSpPr/>
      </dsp:nvSpPr>
      <dsp:spPr>
        <a:xfrm>
          <a:off x="397404" y="264054"/>
          <a:ext cx="2396066" cy="2396066"/>
        </a:xfrm>
        <a:prstGeom prst="blockArc">
          <a:avLst>
            <a:gd name="adj1" fmla="val 18900000"/>
            <a:gd name="adj2" fmla="val 0"/>
            <a:gd name="adj3" fmla="val 3406"/>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779643BA-A751-4E48-B451-C901CFD0CCF4}">
      <dsp:nvSpPr>
        <dsp:cNvPr id="0" name=""/>
        <dsp:cNvSpPr/>
      </dsp:nvSpPr>
      <dsp:spPr>
        <a:xfrm>
          <a:off x="404418" y="271010"/>
          <a:ext cx="2396066" cy="2396066"/>
        </a:xfrm>
        <a:prstGeom prst="blockArc">
          <a:avLst>
            <a:gd name="adj1" fmla="val 16158981"/>
            <a:gd name="adj2" fmla="val 18871162"/>
            <a:gd name="adj3" fmla="val 3406"/>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7FA8C981-2DA9-4559-A6A4-81E86CD59D19}">
      <dsp:nvSpPr>
        <dsp:cNvPr id="0" name=""/>
        <dsp:cNvSpPr/>
      </dsp:nvSpPr>
      <dsp:spPr>
        <a:xfrm>
          <a:off x="1144254" y="1149179"/>
          <a:ext cx="810183" cy="810183"/>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buNone/>
          </a:pPr>
          <a:r>
            <a:rPr lang="en-US" sz="800" kern="1200" dirty="0">
              <a:solidFill>
                <a:sysClr val="window" lastClr="FFFFFF"/>
              </a:solidFill>
              <a:latin typeface="Calibri" panose="020F0502020204030204"/>
              <a:ea typeface="+mn-ea"/>
              <a:cs typeface="+mn-cs"/>
            </a:rPr>
            <a:t>Adequate Information literacy Skills</a:t>
          </a:r>
        </a:p>
      </dsp:txBody>
      <dsp:txXfrm>
        <a:off x="1262903" y="1267828"/>
        <a:ext cx="572885" cy="572885"/>
      </dsp:txXfrm>
    </dsp:sp>
    <dsp:sp modelId="{514643AA-BEDA-471B-A5E2-92539D2BF4C7}">
      <dsp:nvSpPr>
        <dsp:cNvPr id="0" name=""/>
        <dsp:cNvSpPr/>
      </dsp:nvSpPr>
      <dsp:spPr>
        <a:xfrm>
          <a:off x="1304837" y="7946"/>
          <a:ext cx="567128" cy="567128"/>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buNone/>
          </a:pPr>
          <a:r>
            <a:rPr lang="en-US" sz="500" b="1" kern="1200" dirty="0">
              <a:solidFill>
                <a:sysClr val="window" lastClr="FFFFFF"/>
              </a:solidFill>
              <a:effectLst/>
              <a:latin typeface="Calibri" panose="020F0502020204030204"/>
              <a:ea typeface="+mn-ea"/>
              <a:cs typeface="Times New Roman" panose="02020603050405020304" charset="0"/>
            </a:rPr>
            <a:t>Step one: participant engagement</a:t>
          </a:r>
          <a:r>
            <a:rPr lang="en-US" sz="500" kern="1200" dirty="0">
              <a:solidFill>
                <a:sysClr val="window" lastClr="FFFFFF"/>
              </a:solidFill>
              <a:effectLst/>
              <a:latin typeface="Calibri" panose="020F0502020204030204"/>
              <a:ea typeface="+mn-ea"/>
              <a:cs typeface="Times New Roman" panose="02020603050405020304" charset="0"/>
            </a:rPr>
            <a:t>: </a:t>
          </a:r>
          <a:endParaRPr lang="en-US" sz="500" kern="1200" dirty="0">
            <a:solidFill>
              <a:sysClr val="window" lastClr="FFFFFF"/>
            </a:solidFill>
            <a:latin typeface="Calibri" panose="020F0502020204030204"/>
            <a:ea typeface="+mn-ea"/>
            <a:cs typeface="+mn-cs"/>
          </a:endParaRPr>
        </a:p>
      </dsp:txBody>
      <dsp:txXfrm>
        <a:off x="1387891" y="91000"/>
        <a:ext cx="401020" cy="401020"/>
      </dsp:txXfrm>
    </dsp:sp>
    <dsp:sp modelId="{D25996A1-6D0F-4B0F-A5CB-6A65CF2EACE5}">
      <dsp:nvSpPr>
        <dsp:cNvPr id="0" name=""/>
        <dsp:cNvSpPr/>
      </dsp:nvSpPr>
      <dsp:spPr>
        <a:xfrm>
          <a:off x="2144574" y="345822"/>
          <a:ext cx="567128" cy="567128"/>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buNone/>
          </a:pPr>
          <a:r>
            <a:rPr lang="en-US" sz="500" b="1" kern="1200" dirty="0">
              <a:solidFill>
                <a:sysClr val="window" lastClr="FFFFFF"/>
              </a:solidFill>
              <a:effectLst/>
              <a:latin typeface="Calibri" panose="020F0502020204030204"/>
              <a:ea typeface="+mn-ea"/>
              <a:cs typeface="Times New Roman" panose="02020603050405020304" charset="0"/>
            </a:rPr>
            <a:t>Step two:</a:t>
          </a:r>
          <a:r>
            <a:rPr lang="en-US" sz="500" kern="1200" dirty="0">
              <a:solidFill>
                <a:sysClr val="window" lastClr="FFFFFF"/>
              </a:solidFill>
              <a:effectLst/>
              <a:latin typeface="Calibri" panose="020F0502020204030204"/>
              <a:ea typeface="+mn-ea"/>
              <a:cs typeface="Times New Roman" panose="02020603050405020304" charset="0"/>
            </a:rPr>
            <a:t> </a:t>
          </a:r>
          <a:r>
            <a:rPr lang="en-US" sz="500" kern="1200">
              <a:solidFill>
                <a:sysClr val="window" lastClr="FFFFFF"/>
              </a:solidFill>
              <a:latin typeface="Calibri" panose="020F0502020204030204"/>
              <a:ea typeface="+mn-ea"/>
              <a:cs typeface="+mn-cs"/>
            </a:rPr>
            <a:t>Come up with a policy and curricula and design an implementation and a continuous update procedures</a:t>
          </a:r>
          <a:endParaRPr lang="en-US" sz="500" kern="1200" dirty="0">
            <a:solidFill>
              <a:sysClr val="window" lastClr="FFFFFF"/>
            </a:solidFill>
            <a:latin typeface="Calibri" panose="020F0502020204030204"/>
            <a:ea typeface="+mn-ea"/>
            <a:cs typeface="+mn-cs"/>
          </a:endParaRPr>
        </a:p>
      </dsp:txBody>
      <dsp:txXfrm>
        <a:off x="2227628" y="428876"/>
        <a:ext cx="401020" cy="401020"/>
      </dsp:txXfrm>
    </dsp:sp>
    <dsp:sp modelId="{F1D70387-2971-4859-8B5E-7D3F848BF1D0}">
      <dsp:nvSpPr>
        <dsp:cNvPr id="0" name=""/>
        <dsp:cNvSpPr/>
      </dsp:nvSpPr>
      <dsp:spPr>
        <a:xfrm>
          <a:off x="2489490" y="1178523"/>
          <a:ext cx="567128" cy="567128"/>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buNone/>
          </a:pPr>
          <a:r>
            <a:rPr lang="en-US" sz="500" b="1" kern="1200" dirty="0">
              <a:solidFill>
                <a:sysClr val="window" lastClr="FFFFFF"/>
              </a:solidFill>
              <a:effectLst/>
              <a:latin typeface="Calibri" panose="020F0502020204030204"/>
              <a:ea typeface="+mn-ea"/>
              <a:cs typeface="Times New Roman" panose="02020603050405020304" charset="0"/>
            </a:rPr>
            <a:t>Step three:</a:t>
          </a:r>
          <a:r>
            <a:rPr lang="en-US" sz="500" kern="1200" dirty="0">
              <a:solidFill>
                <a:sysClr val="window" lastClr="FFFFFF"/>
              </a:solidFill>
              <a:effectLst/>
              <a:latin typeface="Calibri" panose="020F0502020204030204"/>
              <a:ea typeface="+mn-ea"/>
              <a:cs typeface="Times New Roman" panose="02020603050405020304" charset="0"/>
            </a:rPr>
            <a:t> draft an ILS policy and curricula </a:t>
          </a:r>
          <a:endParaRPr lang="en-US" sz="500" kern="1200" dirty="0">
            <a:solidFill>
              <a:sysClr val="window" lastClr="FFFFFF"/>
            </a:solidFill>
            <a:latin typeface="Calibri" panose="020F0502020204030204"/>
            <a:ea typeface="+mn-ea"/>
            <a:cs typeface="+mn-cs"/>
          </a:endParaRPr>
        </a:p>
      </dsp:txBody>
      <dsp:txXfrm>
        <a:off x="2572544" y="1261577"/>
        <a:ext cx="401020" cy="401020"/>
      </dsp:txXfrm>
    </dsp:sp>
    <dsp:sp modelId="{8589C33A-552D-49CB-9CC4-F2CB6D0F3FDA}">
      <dsp:nvSpPr>
        <dsp:cNvPr id="0" name=""/>
        <dsp:cNvSpPr/>
      </dsp:nvSpPr>
      <dsp:spPr>
        <a:xfrm>
          <a:off x="2144574" y="2011224"/>
          <a:ext cx="567128" cy="567128"/>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buNone/>
          </a:pPr>
          <a:r>
            <a:rPr lang="en-US" sz="500" b="1" kern="1200" dirty="0">
              <a:solidFill>
                <a:sysClr val="window" lastClr="FFFFFF"/>
              </a:solidFill>
              <a:effectLst/>
              <a:latin typeface="Calibri" panose="020F0502020204030204"/>
              <a:ea typeface="+mn-ea"/>
              <a:cs typeface="Times New Roman" panose="02020603050405020304" charset="0"/>
            </a:rPr>
            <a:t>Step four:</a:t>
          </a:r>
          <a:r>
            <a:rPr lang="en-US" sz="500" kern="1200" dirty="0">
              <a:solidFill>
                <a:sysClr val="window" lastClr="FFFFFF"/>
              </a:solidFill>
              <a:effectLst/>
              <a:latin typeface="Calibri" panose="020F0502020204030204"/>
              <a:ea typeface="+mn-ea"/>
              <a:cs typeface="Times New Roman" panose="02020603050405020304" charset="0"/>
            </a:rPr>
            <a:t> </a:t>
          </a:r>
          <a:r>
            <a:rPr lang="en-US" sz="500" kern="1200">
              <a:solidFill>
                <a:sysClr val="window" lastClr="FFFFFF"/>
              </a:solidFill>
              <a:latin typeface="Calibri" panose="020F0502020204030204"/>
              <a:ea typeface="+mn-ea"/>
              <a:cs typeface="+mn-cs"/>
            </a:rPr>
            <a:t>Develop an ILS manual</a:t>
          </a:r>
          <a:endParaRPr lang="en-US" sz="500" kern="1200" dirty="0">
            <a:solidFill>
              <a:sysClr val="window" lastClr="FFFFFF"/>
            </a:solidFill>
            <a:latin typeface="Calibri" panose="020F0502020204030204"/>
            <a:ea typeface="+mn-ea"/>
            <a:cs typeface="+mn-cs"/>
          </a:endParaRPr>
        </a:p>
      </dsp:txBody>
      <dsp:txXfrm>
        <a:off x="2227628" y="2094278"/>
        <a:ext cx="401020" cy="401020"/>
      </dsp:txXfrm>
    </dsp:sp>
    <dsp:sp modelId="{614BF351-7C3A-4F33-8873-05388B2D5B2F}">
      <dsp:nvSpPr>
        <dsp:cNvPr id="0" name=""/>
        <dsp:cNvSpPr/>
      </dsp:nvSpPr>
      <dsp:spPr>
        <a:xfrm>
          <a:off x="1311873" y="2356140"/>
          <a:ext cx="567128" cy="567128"/>
        </a:xfrm>
        <a:prstGeom prst="ellipse">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buNone/>
          </a:pPr>
          <a:r>
            <a:rPr lang="en-US" sz="500" b="1" kern="1200" dirty="0">
              <a:solidFill>
                <a:sysClr val="window" lastClr="FFFFFF"/>
              </a:solidFill>
              <a:effectLst/>
              <a:latin typeface="Calibri" panose="020F0502020204030204"/>
              <a:ea typeface="+mn-ea"/>
              <a:cs typeface="Times New Roman" panose="02020603050405020304" charset="0"/>
            </a:rPr>
            <a:t>Step five</a:t>
          </a:r>
          <a:r>
            <a:rPr lang="en-US" sz="500" kern="1200" dirty="0">
              <a:solidFill>
                <a:sysClr val="window" lastClr="FFFFFF"/>
              </a:solidFill>
              <a:effectLst/>
              <a:latin typeface="Calibri" panose="020F0502020204030204"/>
              <a:ea typeface="+mn-ea"/>
              <a:cs typeface="Times New Roman" panose="02020603050405020304" charset="0"/>
            </a:rPr>
            <a:t>: </a:t>
          </a:r>
          <a:r>
            <a:rPr lang="en-US" sz="500" kern="1200">
              <a:solidFill>
                <a:sysClr val="window" lastClr="FFFFFF"/>
              </a:solidFill>
              <a:latin typeface="Calibri" panose="020F0502020204030204"/>
              <a:ea typeface="+mn-ea"/>
              <a:cs typeface="+mn-cs"/>
            </a:rPr>
            <a:t>Avail ICTs for access, locate and manipulate information. to train students </a:t>
          </a:r>
          <a:endParaRPr lang="en-US" sz="500" kern="1200" dirty="0">
            <a:solidFill>
              <a:sysClr val="window" lastClr="FFFFFF"/>
            </a:solidFill>
            <a:latin typeface="Calibri" panose="020F0502020204030204"/>
            <a:ea typeface="+mn-ea"/>
            <a:cs typeface="+mn-cs"/>
          </a:endParaRPr>
        </a:p>
      </dsp:txBody>
      <dsp:txXfrm>
        <a:off x="1394927" y="2439194"/>
        <a:ext cx="401020" cy="401020"/>
      </dsp:txXfrm>
    </dsp:sp>
    <dsp:sp modelId="{42696FA6-4310-41F7-ACCB-D2C8DA3184A7}">
      <dsp:nvSpPr>
        <dsp:cNvPr id="0" name=""/>
        <dsp:cNvSpPr/>
      </dsp:nvSpPr>
      <dsp:spPr>
        <a:xfrm>
          <a:off x="479172" y="2011224"/>
          <a:ext cx="567128" cy="567128"/>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buNone/>
          </a:pPr>
          <a:r>
            <a:rPr lang="en-US" sz="500" b="1" kern="1200" dirty="0">
              <a:solidFill>
                <a:sysClr val="window" lastClr="FFFFFF"/>
              </a:solidFill>
              <a:effectLst/>
              <a:latin typeface="Calibri" panose="020F0502020204030204"/>
              <a:ea typeface="+mn-ea"/>
              <a:cs typeface="Times New Roman" panose="02020603050405020304" charset="0"/>
            </a:rPr>
            <a:t>Step six- </a:t>
          </a:r>
          <a:r>
            <a:rPr lang="en-US" sz="500" kern="1200">
              <a:solidFill>
                <a:sysClr val="window" lastClr="FFFFFF"/>
              </a:solidFill>
              <a:latin typeface="Calibri" panose="020F0502020204030204"/>
              <a:ea typeface="+mn-ea"/>
              <a:cs typeface="+mn-cs"/>
            </a:rPr>
            <a:t>Train and reskill staff ie customer service, pedagogy</a:t>
          </a:r>
          <a:endParaRPr lang="en-US" sz="500" kern="1200" dirty="0">
            <a:solidFill>
              <a:sysClr val="window" lastClr="FFFFFF"/>
            </a:solidFill>
            <a:latin typeface="Calibri" panose="020F0502020204030204"/>
            <a:ea typeface="+mn-ea"/>
            <a:cs typeface="+mn-cs"/>
          </a:endParaRPr>
        </a:p>
      </dsp:txBody>
      <dsp:txXfrm>
        <a:off x="562226" y="2094278"/>
        <a:ext cx="401020" cy="401020"/>
      </dsp:txXfrm>
    </dsp:sp>
    <dsp:sp modelId="{C5529367-58F0-4BFA-9C12-524B8B4933B4}">
      <dsp:nvSpPr>
        <dsp:cNvPr id="0" name=""/>
        <dsp:cNvSpPr/>
      </dsp:nvSpPr>
      <dsp:spPr>
        <a:xfrm>
          <a:off x="134256" y="1178523"/>
          <a:ext cx="567128" cy="567128"/>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buNone/>
          </a:pPr>
          <a:r>
            <a:rPr lang="en-US" sz="500" b="1" kern="1200" dirty="0">
              <a:solidFill>
                <a:sysClr val="window" lastClr="FFFFFF"/>
              </a:solidFill>
              <a:effectLst/>
              <a:latin typeface="Calibri" panose="020F0502020204030204"/>
              <a:ea typeface="+mn-ea"/>
              <a:cs typeface="Times New Roman" panose="02020603050405020304" charset="0"/>
            </a:rPr>
            <a:t>Step Seven:</a:t>
          </a:r>
          <a:r>
            <a:rPr lang="en-US" sz="500" kern="1200" dirty="0">
              <a:solidFill>
                <a:sysClr val="window" lastClr="FFFFFF"/>
              </a:solidFill>
              <a:effectLst/>
              <a:latin typeface="Calibri" panose="020F0502020204030204"/>
              <a:ea typeface="+mn-ea"/>
              <a:cs typeface="Times New Roman" panose="02020603050405020304" charset="0"/>
            </a:rPr>
            <a:t> </a:t>
          </a:r>
          <a:r>
            <a:rPr lang="en-US" sz="500" kern="1200">
              <a:solidFill>
                <a:sysClr val="window" lastClr="FFFFFF"/>
              </a:solidFill>
              <a:latin typeface="Calibri" panose="020F0502020204030204"/>
              <a:ea typeface="+mn-ea"/>
              <a:cs typeface="+mn-cs"/>
            </a:rPr>
            <a:t>Design a tool to continuously assess ILS among students(measuring ILS )</a:t>
          </a:r>
          <a:endParaRPr lang="en-US" sz="500" kern="1200" dirty="0">
            <a:solidFill>
              <a:sysClr val="window" lastClr="FFFFFF"/>
            </a:solidFill>
            <a:latin typeface="Calibri" panose="020F0502020204030204"/>
            <a:ea typeface="+mn-ea"/>
            <a:cs typeface="+mn-cs"/>
          </a:endParaRPr>
        </a:p>
      </dsp:txBody>
      <dsp:txXfrm>
        <a:off x="217310" y="1261577"/>
        <a:ext cx="401020" cy="401020"/>
      </dsp:txXfrm>
    </dsp:sp>
    <dsp:sp modelId="{F87F2108-ACB8-4DAB-B2B5-E7EFFE5F43F8}">
      <dsp:nvSpPr>
        <dsp:cNvPr id="0" name=""/>
        <dsp:cNvSpPr/>
      </dsp:nvSpPr>
      <dsp:spPr>
        <a:xfrm>
          <a:off x="479172" y="345822"/>
          <a:ext cx="567128" cy="567128"/>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buNone/>
          </a:pPr>
          <a:r>
            <a:rPr lang="en-US" sz="500" b="1" kern="1200" dirty="0">
              <a:solidFill>
                <a:sysClr val="window" lastClr="FFFFFF"/>
              </a:solidFill>
              <a:effectLst/>
              <a:latin typeface="Calibri" panose="020F0502020204030204"/>
              <a:ea typeface="+mn-ea"/>
              <a:cs typeface="Times New Roman" panose="02020603050405020304" charset="0"/>
            </a:rPr>
            <a:t>Step Eight: </a:t>
          </a:r>
          <a:r>
            <a:rPr lang="en-US" sz="500" kern="1200">
              <a:solidFill>
                <a:sysClr val="window" lastClr="FFFFFF"/>
              </a:solidFill>
              <a:latin typeface="Calibri" panose="020F0502020204030204"/>
              <a:ea typeface="+mn-ea"/>
              <a:cs typeface="+mn-cs"/>
            </a:rPr>
            <a:t>Remedy procedures to enhance the ILS</a:t>
          </a:r>
          <a:endParaRPr lang="en-US" sz="500" kern="1200" dirty="0">
            <a:solidFill>
              <a:sysClr val="window" lastClr="FFFFFF"/>
            </a:solidFill>
            <a:latin typeface="Calibri" panose="020F0502020204030204"/>
            <a:ea typeface="+mn-ea"/>
            <a:cs typeface="+mn-cs"/>
          </a:endParaRPr>
        </a:p>
      </dsp:txBody>
      <dsp:txXfrm>
        <a:off x="562226" y="428876"/>
        <a:ext cx="401020" cy="401020"/>
      </dsp:txXfrm>
    </dsp:sp>
  </dsp:spTree>
</dsp:drawing>
</file>

<file path=word/diagrams/layout1.xml><?xml version="1.0" encoding="utf-8"?>
<dgm:layoutDef xmlns:dgm="http://schemas.openxmlformats.org/drawingml/2006/diagram" xmlns:a="http://schemas.openxmlformats.org/drawingml/2006/main" uniqueId="urn:microsoft.com/office/officeart/2005/8/layout/radial6#1">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dstNode" val="node"/>
                    <dgm:param type="begSty" val="noArr"/>
                    <dgm:param type="endSty" val="noArr"/>
                    <dgm:param type="connRout" val="curve"/>
                    <dgm:param type="begPts" val="ctr"/>
                    <dgm:param type="endPts" val="ctr"/>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srcNode" val="dummyConnPt"/>
                    <dgm:param type="dstNode" val="dummyConnPt"/>
                    <dgm:param type="begSty" val="noArr"/>
                    <dgm:param type="endSty" val="noArr"/>
                    <dgm:param type="connRout" val="longCurve"/>
                    <dgm:param type="begPts" val="bCtr"/>
                    <dgm:param type="endPts" val="tCtr"/>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215AAD-4B7B-40EB-9A05-A2F32BFC6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348</Pages>
  <Words>89069</Words>
  <Characters>507695</Characters>
  <Application>Microsoft Office Word</Application>
  <DocSecurity>0</DocSecurity>
  <Lines>4230</Lines>
  <Paragraphs>1191</Paragraphs>
  <ScaleCrop>false</ScaleCrop>
  <HeadingPairs>
    <vt:vector size="2" baseType="variant">
      <vt:variant>
        <vt:lpstr>Title</vt:lpstr>
      </vt:variant>
      <vt:variant>
        <vt:i4>1</vt:i4>
      </vt:variant>
    </vt:vector>
  </HeadingPairs>
  <TitlesOfParts>
    <vt:vector size="1" baseType="lpstr">
      <vt:lpstr>ASSESSMENT OF INFORMATION LITERACY SKILLS OF MEDICAL UNDERGRADUATE STUDENTS OF MOI UNIVERSITY AND UNIVERSITY OF NAIROBI</vt:lpstr>
    </vt:vector>
  </TitlesOfParts>
  <Company/>
  <LinksUpToDate>false</LinksUpToDate>
  <CharactersWithSpaces>595573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INFORMATION LITERACY SKILLS OF MEDICAL UNDERGRADUATE STUDENTS OF MOI UNIVERSITY AND UNIVERSITY OF NAIROBI</dc:title>
  <dc:creator>Evans Motari M</dc:creator>
  <cp:lastModifiedBy>Windows User</cp:lastModifiedBy>
  <cp:revision>2</cp:revision>
  <cp:lastPrinted>2024-12-05T11:15:00Z</cp:lastPrinted>
  <dcterms:created xsi:type="dcterms:W3CDTF">2025-02-12T06:10:00Z</dcterms:created>
  <dcterms:modified xsi:type="dcterms:W3CDTF">2025-02-12T06:10:00Z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D8ACDB34016E47AF8C40A22CD4BE4DBA_13</vt:lpwstr>
  </property>
</Properties>
</file>