
<file path=[Content_Types].xml><?xml version="1.0" encoding="utf-8"?>
<Types xmlns="http://schemas.openxmlformats.org/package/2006/content-types">
  <Default Extension="xlsm" ContentType="application/vnd.ms-excel.sheet.macroEnabled.12"/>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595" w:rsidRDefault="006E57B7" w:rsidP="00CA753E">
      <w:pPr>
        <w:pStyle w:val="Heading1"/>
      </w:pPr>
      <w:r>
        <w:t xml:space="preserve">Trend, </w:t>
      </w:r>
      <w:r w:rsidR="000F6BEE">
        <w:t xml:space="preserve">Business </w:t>
      </w:r>
      <w:r>
        <w:t xml:space="preserve">Cycles and </w:t>
      </w:r>
      <w:r w:rsidR="007A6595">
        <w:t>Fibo</w:t>
      </w:r>
      <w:r w:rsidR="00F4479A">
        <w:t xml:space="preserve">nacci </w:t>
      </w:r>
      <w:r w:rsidR="00CA753E">
        <w:t>retracements</w:t>
      </w:r>
      <w:r>
        <w:t xml:space="preserve"> in</w:t>
      </w:r>
      <w:r w:rsidR="00F4479A">
        <w:t xml:space="preserve"> the </w:t>
      </w:r>
      <w:r w:rsidR="00CA753E">
        <w:t xml:space="preserve">Kenya </w:t>
      </w:r>
      <w:r w:rsidR="00F4479A">
        <w:t>GDP data 2000</w:t>
      </w:r>
      <w:r w:rsidR="007A6595">
        <w:t xml:space="preserve"> to 201</w:t>
      </w:r>
      <w:r w:rsidR="00F4479A">
        <w:t>1</w:t>
      </w:r>
    </w:p>
    <w:p w:rsidR="007A6595" w:rsidRDefault="007A6595" w:rsidP="007A6595">
      <w:pPr>
        <w:pStyle w:val="Heading2"/>
        <w:spacing w:line="360" w:lineRule="auto"/>
        <w:jc w:val="both"/>
      </w:pPr>
      <w:r>
        <w:t>Introduction</w:t>
      </w:r>
    </w:p>
    <w:p w:rsidR="00295741" w:rsidRDefault="00030657" w:rsidP="003C4BCD">
      <w:pPr>
        <w:spacing w:line="360" w:lineRule="auto"/>
        <w:jc w:val="both"/>
      </w:pPr>
      <w:r>
        <w:t>GDP</w:t>
      </w:r>
      <w:r w:rsidR="0040315A">
        <w:t xml:space="preserve"> is one of the major measures of economic growth of a country</w:t>
      </w:r>
      <w:r w:rsidR="004158BD">
        <w:t xml:space="preserve"> </w:t>
      </w:r>
      <w:r w:rsidR="004000C5">
        <w:fldChar w:fldCharType="begin" w:fldLock="1"/>
      </w:r>
      <w:r w:rsidR="004000C5">
        <w:instrText>ADDIN CSL_CITATION { "citationItems" : [ { "id" : "ITEM-1", "itemData" : { "author" : [ { "dropping-particle" : "", "family" : "Kira", "given" : "Alex Reuben", "non-dropping-particle" : "", "parse-names" : false, "suffix" : "" } ], "container-title" : "European Journal of Business and Management", "id" : "ITEM-1", "issue" : "4", "issued" : { "date-parts" : [ [ "2013" ] ] }, "page" : "148-158", "title" : "The Factors Affecting Gross Domestic Product ( GDP ) in Developing Countries : The Case of Tanzania", "type" : "article-journal", "volume" : "5" }, "uris" : [ "http://www.mendeley.com/documents/?uuid=bf8d0473-4308-4ccc-bba2-6055bf64f575" ] } ], "mendeley" : { "formattedCitation" : "(Kira, 2013)", "plainTextFormattedCitation" : "(Kira, 2013)", "previouslyFormattedCitation" : "(Kira, 2013)" }, "properties" : { "noteIndex" : 0 }, "schema" : "https://github.com/citation-style-language/schema/raw/master/csl-citation.json" }</w:instrText>
      </w:r>
      <w:r w:rsidR="004000C5">
        <w:fldChar w:fldCharType="separate"/>
      </w:r>
      <w:r w:rsidR="004000C5" w:rsidRPr="004000C5">
        <w:rPr>
          <w:noProof/>
        </w:rPr>
        <w:t>(Kira, 2013)</w:t>
      </w:r>
      <w:r w:rsidR="004000C5">
        <w:fldChar w:fldCharType="end"/>
      </w:r>
      <w:r w:rsidR="0040315A">
        <w:t>. The Kenyan GDP 2000 to 2011 seems to indicate a general trend of growth, a further movement with the business cycles</w:t>
      </w:r>
      <w:r w:rsidR="004000C5">
        <w:t xml:space="preserve"> </w:t>
      </w:r>
      <w:r w:rsidR="004000C5">
        <w:fldChar w:fldCharType="begin" w:fldLock="1"/>
      </w:r>
      <w:r w:rsidR="004000C5">
        <w:instrText>ADDIN CSL_CITATION { "citationItems" : [ { "id" : "ITEM-1", "itemData" : { "author" : [ { "dropping-particle" : "", "family" : "World Bank", "given" : "", "non-dropping-particle" : "", "parse-names" : false, "suffix" : "" } ], "id" : "ITEM-1", "issue" : "September", "issued" : { "date-parts" : [ [ "2011" ] ] }, "title" : "The State of Kenya \u2019 s Economy", "type" : "article" }, "uris" : [ "http://www.mendeley.com/documents/?uuid=fc503ce0-2266-44de-b7e3-bfc3ca156c65" ] } ], "mendeley" : { "formattedCitation" : "(World Bank, 2011)", "plainTextFormattedCitation" : "(World Bank, 2011)" }, "properties" : { "noteIndex" : 0 }, "schema" : "https://github.com/citation-style-language/schema/raw/master/csl-citation.json" }</w:instrText>
      </w:r>
      <w:r w:rsidR="004000C5">
        <w:fldChar w:fldCharType="separate"/>
      </w:r>
      <w:r w:rsidR="004000C5" w:rsidRPr="004000C5">
        <w:rPr>
          <w:noProof/>
        </w:rPr>
        <w:t>(World Bank, 2011)</w:t>
      </w:r>
      <w:r w:rsidR="004000C5">
        <w:fldChar w:fldCharType="end"/>
      </w:r>
      <w:r w:rsidR="004000C5">
        <w:t xml:space="preserve">. Moreover, the short ups and downs may seem a random stochastic movement. </w:t>
      </w:r>
    </w:p>
    <w:p w:rsidR="004000C5" w:rsidRDefault="004000C5" w:rsidP="003C4BCD">
      <w:pPr>
        <w:spacing w:line="360" w:lineRule="auto"/>
        <w:jc w:val="both"/>
      </w:pPr>
      <w:r>
        <w:t xml:space="preserve">The question </w:t>
      </w:r>
      <w:r w:rsidR="00295741">
        <w:t>was</w:t>
      </w:r>
      <w:r>
        <w:t>: how could the seemingly random movement, in the GDP data, be explained so as to enhance better decision making in future?</w:t>
      </w:r>
    </w:p>
    <w:p w:rsidR="0040315A" w:rsidRDefault="0040315A" w:rsidP="003C4BCD">
      <w:pPr>
        <w:spacing w:line="360" w:lineRule="auto"/>
        <w:jc w:val="both"/>
      </w:pPr>
      <w:r>
        <w:t>This paper sought to dissect the GDP data into trend, business cycles and to examine the relevance of the Fibonacci sequence and its derivative ratios, in particular, to the GDP data for 2000 to 2011 period. It sought to find out whether Fibonacci analysis; if it were used in the GDP data would give the decision makers a better per view of the trend in the economy.</w:t>
      </w:r>
    </w:p>
    <w:p w:rsidR="00F978B8" w:rsidRDefault="007A6595" w:rsidP="003C4BCD">
      <w:pPr>
        <w:spacing w:line="360" w:lineRule="auto"/>
        <w:jc w:val="both"/>
      </w:pPr>
      <w:r>
        <w:t xml:space="preserve">When the French monk Leonardo of Pisa, AKA Fibonacci, introduced the Arabic numerals to Europe, it was little known to him that his contributions to mathematics could intrigue </w:t>
      </w:r>
      <w:r w:rsidR="00F978B8">
        <w:t xml:space="preserve">even the </w:t>
      </w:r>
      <w:r w:rsidR="00F000A8">
        <w:t>analysis</w:t>
      </w:r>
      <w:r w:rsidR="00F978B8">
        <w:t xml:space="preserve"> of the GDP.</w:t>
      </w:r>
    </w:p>
    <w:p w:rsidR="007A6595" w:rsidRDefault="007A6595" w:rsidP="003C4BCD">
      <w:pPr>
        <w:spacing w:line="360" w:lineRule="auto"/>
        <w:jc w:val="both"/>
      </w:pPr>
      <w:r>
        <w:t>Many are the applications of the Fibonacci sequence in various disciplines</w:t>
      </w:r>
      <w:r w:rsidR="00F978B8">
        <w:t xml:space="preserve"> </w:t>
      </w:r>
      <w:r w:rsidR="00F978B8">
        <w:fldChar w:fldCharType="begin" w:fldLock="1"/>
      </w:r>
      <w:r w:rsidR="00F978B8">
        <w:instrText>ADDIN CSL_CITATION { "citationItems" : [ { "id" : "ITEM-1", "itemData" : { "author" : [ { "dropping-particle" : "", "family" : "Courant", "given" : "Ted", "non-dropping-particle" : "", "parse-names" : false, "suffix" : "" } ], "container-title" : "Ratio", "id" : "ITEM-1", "issued" : { "date-parts" : [ [ "2010" ] ] }, "title" : "Fibonacci Numbers and the Golden Ratio", "type" : "article-journal" }, "uris" : [ "http://www.mendeley.com/documents/?uuid=aa197c41-acfe-492d-aac7-2daba7c0ef4f" ] } ], "mendeley" : { "formattedCitation" : "(Courant, 2010)", "plainTextFormattedCitation" : "(Courant, 2010)", "previouslyFormattedCitation" : "(Courant, 2010)" }, "properties" : { "noteIndex" : 0 }, "schema" : "https://github.com/citation-style-language/schema/raw/master/csl-citation.json" }</w:instrText>
      </w:r>
      <w:r w:rsidR="00F978B8">
        <w:fldChar w:fldCharType="separate"/>
      </w:r>
      <w:r w:rsidR="00F978B8" w:rsidRPr="00B910E9">
        <w:rPr>
          <w:noProof/>
        </w:rPr>
        <w:t>(Courant, 2010)</w:t>
      </w:r>
      <w:r w:rsidR="00F978B8">
        <w:fldChar w:fldCharType="end"/>
      </w:r>
      <w:r w:rsidR="00F978B8">
        <w:t xml:space="preserve">. </w:t>
      </w:r>
      <w:r>
        <w:t xml:space="preserve">. It can be used to describe much of what appears in nature from the microscopic DNA to the enormous galaxy way </w:t>
      </w:r>
      <w:r w:rsidR="00BC0214">
        <w:fldChar w:fldCharType="begin" w:fldLock="1"/>
      </w:r>
      <w:r w:rsidR="00BC0214">
        <w:instrText>ADDIN CSL_CITATION { "citationItems" : [ { "id" : "ITEM-1", "itemData" : { "author" : [ { "dropping-particle" : "", "family" : "Grigas", "given" : "Anna", "non-dropping-particle" : "", "parse-names" : false, "suffix" : "" } ], "id" : "ITEM-1", "issued" : { "date-parts" : [ [ "2013" ] ] }, "publisher" : "Liberty University", "title" : "The Fibonacci Sequence: Its History, Significance, and Manifestations in Nature", "type" : "thesis" }, "uris" : [ "http://www.mendeley.com/documents/?uuid=d58f504f-c29b-4f1d-896a-54dd1b87e152", "http://www.mendeley.com/documents/?uuid=bfd59af6-7e8c-49e1-969a-215f1fa1e5a8" ] } ], "mendeley" : { "formattedCitation" : "(Grigas, 2013)", "plainTextFormattedCitation" : "(Grigas, 2013)", "previouslyFormattedCitation" : "(Grigas, 2013)" }, "properties" : { "noteIndex" : 0 }, "schema" : "https://github.com/citation-style-language/schema/raw/master/csl-citation.json" }</w:instrText>
      </w:r>
      <w:r w:rsidR="00BC0214">
        <w:fldChar w:fldCharType="separate"/>
      </w:r>
      <w:r w:rsidR="00BC0214" w:rsidRPr="009E7C92">
        <w:rPr>
          <w:noProof/>
        </w:rPr>
        <w:t>(Grigas, 2013)</w:t>
      </w:r>
      <w:r w:rsidR="00BC0214">
        <w:fldChar w:fldCharType="end"/>
      </w:r>
      <w:r w:rsidR="00EB5436">
        <w:t>.</w:t>
      </w:r>
      <w:r w:rsidR="00F978B8">
        <w:t xml:space="preserve"> </w:t>
      </w:r>
      <w:r>
        <w:t xml:space="preserve">In finance it gained popularity in both fundamental and technical analysis </w:t>
      </w:r>
      <w:r>
        <w:fldChar w:fldCharType="begin" w:fldLock="1"/>
      </w:r>
      <w:r>
        <w:instrText>ADDIN CSL_CITATION { "citationItems" : [ { "id" : "ITEM-1", "itemData" : { "abstract" : "Among the vast assemblage of technical analysis tools, the ones based on Fibonacci recurrences in asset prices are relatively more scientific. In this paper, we review some of the popular technical analysis methodologies based on Fibonacci sequences and also advance a theoretical rationale as to why security prices may be seen to follow such sequences. We also analyse market data for an indicative empirical validation of the efficacy or otherwise of such sequences in predicting critical security price retracements that may be useful in constructing automated trading systems.", "author" : [ { "dropping-particle" : "", "family" : "Bhattacharya", "given" : "Sukanto", "non-dropping-particle" : "", "parse-names" : false, "suffix" : "" }, { "dropping-particle" : "", "family" : "Kumar", "given" : "Kuldeep", "non-dropping-particle" : "", "parse-names" : false, "suffix" : "" } ], "container-title" : "Annals of Economics and Finance", "id" : "ITEM-1", "issue" : "1", "issued" : { "date-parts" : [ [ "2006" ] ] }, "page" : "185-196", "title" : "A computational exploration of the efficacy of Fibonacci Sequences in Technical analysis and trading", "type" : "article-journal", "volume" : "1" }, "uris" : [ "http://www.mendeley.com/documents/?uuid=e5993e46-bf83-4996-aacd-79f2862818a8" ] } ], "mendeley" : { "formattedCitation" : "(Bhattacharya &amp; Kumar, 2006)", "plainTextFormattedCitation" : "(Bhattacharya &amp; Kumar, 2006)", "previouslyFormattedCitation" : "(Bhattacharya &amp; Kumar, 2006)" }, "properties" : { "noteIndex" : 0 }, "schema" : "https://github.com/citation-style-language/schema/raw/master/csl-citation.json" }</w:instrText>
      </w:r>
      <w:r>
        <w:fldChar w:fldCharType="separate"/>
      </w:r>
      <w:r w:rsidRPr="00B910E9">
        <w:rPr>
          <w:noProof/>
        </w:rPr>
        <w:t>(Bhattacharya &amp; Kumar, 2006)</w:t>
      </w:r>
      <w:r>
        <w:fldChar w:fldCharType="end"/>
      </w:r>
      <w:r>
        <w:t xml:space="preserve">. What has come to be referred to as Fibonacci retracements is </w:t>
      </w:r>
      <w:r w:rsidRPr="00C90A17">
        <w:t>an uptrend</w:t>
      </w:r>
      <w:r w:rsidR="00407F6F">
        <w:t>,</w:t>
      </w:r>
      <w:r>
        <w:t xml:space="preserve"> of say</w:t>
      </w:r>
      <w:r w:rsidR="00407F6F">
        <w:t xml:space="preserve"> in the</w:t>
      </w:r>
      <w:r>
        <w:t xml:space="preserve"> GDP to a </w:t>
      </w:r>
      <w:r w:rsidRPr="00C90A17">
        <w:t xml:space="preserve">Fibonacci support </w:t>
      </w:r>
      <w:r w:rsidR="004158BD" w:rsidRPr="00C90A17">
        <w:t>level</w:t>
      </w:r>
      <w:r w:rsidR="004158BD">
        <w:t>. Fibonacci</w:t>
      </w:r>
      <w:r>
        <w:t xml:space="preserve"> analysis is used in technical analysis that involves </w:t>
      </w:r>
      <w:r w:rsidRPr="009E7C92">
        <w:t>detecting prospective suppo</w:t>
      </w:r>
      <w:r>
        <w:t xml:space="preserve">rt and resistance points in security prices </w:t>
      </w:r>
      <w:r w:rsidRPr="009E7C92">
        <w:t xml:space="preserve">based on historical price movements and reversals. </w:t>
      </w:r>
      <w:r>
        <w:t>This kind of analysis</w:t>
      </w:r>
      <w:r w:rsidRPr="009E7C92">
        <w:t xml:space="preserve"> is based on the mathematical findings of </w:t>
      </w:r>
      <w:r>
        <w:t xml:space="preserve">one </w:t>
      </w:r>
      <w:r w:rsidRPr="009E7C92">
        <w:t>Leonardo</w:t>
      </w:r>
      <w:r>
        <w:t xml:space="preserve"> da Pisa AKA Fibonacci. </w:t>
      </w:r>
      <w:r w:rsidRPr="0007031D">
        <w:t>Fibonacci analysis is said to give a prediction value in time horizon</w:t>
      </w:r>
      <w:r>
        <w:t xml:space="preserve"> </w:t>
      </w:r>
      <w:r>
        <w:fldChar w:fldCharType="begin" w:fldLock="1"/>
      </w:r>
      <w:r>
        <w:instrText>ADDIN CSL_CITATION { "citationItems" : [ { "id" : "ITEM-1", "itemData" : { "ISBN" : "3175723993", "author" : [ { "dropping-particle" : "", "family" : "Fischer", "given" : "Robert", "non-dropping-particle" : "", "parse-names" : false, "suffix" : "" }, { "dropping-particle" : "", "family" : "Fischer", "given" : "Jens", "non-dropping-particle" : "", "parse-names" : false, "suffix" : "" } ], "id" : "ITEM-1", "issued" : { "date-parts" : [ [ "2003" ] ] }, "publisher" : "John Wiley &amp; Sons, Inc.", "publisher-place" : "Hoboken, New Jersey", "title" : "Candlesticks, Fibonacci, and Chart Pattern Trading Tools: A Synergistic Strategy to Ehnance Profits and Reduce Risk", "type" : "book" }, "uris" : [ "http://www.mendeley.com/documents/?uuid=3d6ee903-5edd-49f0-8815-037019920973" ] } ], "mendeley" : { "formattedCitation" : "(Fischer &amp; Fischer, 2003)", "plainTextFormattedCitation" : "(Fischer &amp; Fischer, 2003)", "previouslyFormattedCitation" : "(Fischer &amp; Fischer, 2003)" }, "properties" : { "noteIndex" : 0 }, "schema" : "https://github.com/citation-style-language/schema/raw/master/csl-citation.json" }</w:instrText>
      </w:r>
      <w:r>
        <w:fldChar w:fldCharType="separate"/>
      </w:r>
      <w:r w:rsidRPr="00C2494F">
        <w:rPr>
          <w:noProof/>
        </w:rPr>
        <w:t>(Fischer &amp; Fischer, 2003)</w:t>
      </w:r>
      <w:r>
        <w:fldChar w:fldCharType="end"/>
      </w:r>
    </w:p>
    <w:p w:rsidR="007A6595" w:rsidRDefault="007A6595" w:rsidP="007A6595">
      <w:pPr>
        <w:pStyle w:val="Heading2"/>
        <w:spacing w:line="360" w:lineRule="auto"/>
        <w:jc w:val="both"/>
      </w:pPr>
      <w:r>
        <w:lastRenderedPageBreak/>
        <w:t>Method</w:t>
      </w:r>
    </w:p>
    <w:p w:rsidR="007A6595" w:rsidRDefault="00407F6F" w:rsidP="003C4BCD">
      <w:pPr>
        <w:spacing w:line="360" w:lineRule="auto"/>
        <w:jc w:val="both"/>
      </w:pPr>
      <w:r>
        <w:t>This paper</w:t>
      </w:r>
      <w:r w:rsidR="007A6595">
        <w:t xml:space="preserve"> </w:t>
      </w:r>
      <w:r w:rsidR="007C01F7">
        <w:t>took</w:t>
      </w:r>
      <w:r w:rsidR="00435FD6">
        <w:t xml:space="preserve"> and run</w:t>
      </w:r>
      <w:r w:rsidR="007A6595">
        <w:t xml:space="preserve"> </w:t>
      </w:r>
      <w:r w:rsidR="00435FD6">
        <w:t>the</w:t>
      </w:r>
      <w:r w:rsidR="007A6595">
        <w:t xml:space="preserve"> time series of GDP for the period between </w:t>
      </w:r>
      <w:r w:rsidR="00435FD6">
        <w:t>200</w:t>
      </w:r>
      <w:r w:rsidR="00F4479A">
        <w:t>0</w:t>
      </w:r>
      <w:r w:rsidR="00435FD6">
        <w:t xml:space="preserve"> and 201</w:t>
      </w:r>
      <w:r w:rsidR="00F4479A">
        <w:t>1</w:t>
      </w:r>
      <w:r w:rsidR="00435FD6">
        <w:t xml:space="preserve"> from O</w:t>
      </w:r>
      <w:r w:rsidR="005136F7">
        <w:t>p</w:t>
      </w:r>
      <w:r w:rsidR="00435FD6">
        <w:t>en Data Kenya</w:t>
      </w:r>
      <w:r w:rsidR="007A6595">
        <w:t xml:space="preserve">. It took the chart of </w:t>
      </w:r>
      <w:r w:rsidR="00F000A8">
        <w:t xml:space="preserve">the random movements of the </w:t>
      </w:r>
      <w:r w:rsidR="007A6595">
        <w:t>GDP to locate t</w:t>
      </w:r>
      <w:r w:rsidR="00F4479A">
        <w:t xml:space="preserve">he expected retracement points </w:t>
      </w:r>
      <w:r w:rsidR="007A6595">
        <w:t xml:space="preserve">both for the uptrend and the downtrend. It then made the observation to locate the actual retracement points that the prices of the securities took. </w:t>
      </w:r>
    </w:p>
    <w:p w:rsidR="007A6595" w:rsidRDefault="007A6595" w:rsidP="007A6595">
      <w:pPr>
        <w:pStyle w:val="Heading2"/>
        <w:spacing w:line="360" w:lineRule="auto"/>
        <w:jc w:val="both"/>
      </w:pPr>
      <w:r>
        <w:t>Data Analysis</w:t>
      </w:r>
      <w:bookmarkStart w:id="0" w:name="_GoBack"/>
      <w:bookmarkEnd w:id="0"/>
    </w:p>
    <w:p w:rsidR="007A6595" w:rsidRPr="007A6595" w:rsidRDefault="007A6595" w:rsidP="003C4BCD">
      <w:pPr>
        <w:spacing w:line="360" w:lineRule="auto"/>
        <w:jc w:val="both"/>
      </w:pPr>
      <w:r w:rsidRPr="007A6595">
        <w:t xml:space="preserve">Microsoft Excel {office 2013} was </w:t>
      </w:r>
      <w:r w:rsidR="00493F9D" w:rsidRPr="007A6595">
        <w:t>used in</w:t>
      </w:r>
      <w:r w:rsidRPr="007A6595">
        <w:t xml:space="preserve"> data analysis. This is majorly because the data from the open data Kenya could easily be downloaded in excel format. The office 2013</w:t>
      </w:r>
      <w:r>
        <w:t xml:space="preserve"> </w:t>
      </w:r>
      <w:r w:rsidRPr="007A6595">
        <w:t xml:space="preserve">was the most convenient available </w:t>
      </w:r>
      <w:r w:rsidR="00493F9D">
        <w:t xml:space="preserve">office </w:t>
      </w:r>
      <w:r w:rsidRPr="007A6595">
        <w:t>spreadsheet in the analysis.</w:t>
      </w:r>
    </w:p>
    <w:p w:rsidR="007A6595" w:rsidRPr="007A6595" w:rsidRDefault="00D729B7" w:rsidP="003C4BCD">
      <w:pPr>
        <w:spacing w:line="360" w:lineRule="auto"/>
        <w:jc w:val="both"/>
      </w:pPr>
      <w:r>
        <w:t xml:space="preserve">Excel was used to graph the trend line, graph moving averages to depict the cycles and </w:t>
      </w:r>
      <w:r w:rsidR="007A6595" w:rsidRPr="007A6595">
        <w:t xml:space="preserve">Forex Fibonacci calculator v2.0 was used to calculate the expected </w:t>
      </w:r>
      <w:r>
        <w:t xml:space="preserve">Fibonacci </w:t>
      </w:r>
      <w:r w:rsidR="007A6595" w:rsidRPr="007A6595">
        <w:t>retracement points</w:t>
      </w:r>
    </w:p>
    <w:p w:rsidR="007A6595" w:rsidRDefault="001F6DEF" w:rsidP="007A6595">
      <w:pPr>
        <w:pStyle w:val="Heading2"/>
        <w:spacing w:line="360" w:lineRule="auto"/>
        <w:jc w:val="both"/>
      </w:pPr>
      <w:r>
        <w:t>Data, Results and D</w:t>
      </w:r>
      <w:r w:rsidR="007A6595">
        <w:t>iscussion</w:t>
      </w:r>
    </w:p>
    <w:p w:rsidR="00F4479A" w:rsidRDefault="00F4479A" w:rsidP="00F4479A">
      <w:pPr>
        <w:spacing w:line="360" w:lineRule="auto"/>
        <w:jc w:val="both"/>
      </w:pPr>
      <w:r>
        <w:rPr>
          <w:noProof/>
        </w:rPr>
        <w:drawing>
          <wp:inline distT="0" distB="0" distL="0" distR="0" wp14:anchorId="540407C0" wp14:editId="39AA28F1">
            <wp:extent cx="5213838" cy="3156438"/>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F4479A" w:rsidRDefault="00F4479A" w:rsidP="00F4479A">
      <w:pPr>
        <w:spacing w:line="360" w:lineRule="auto"/>
        <w:jc w:val="both"/>
      </w:pPr>
      <w:r>
        <w:t xml:space="preserve">Source ; secondary data: </w:t>
      </w:r>
      <w:r>
        <w:fldChar w:fldCharType="begin" w:fldLock="1"/>
      </w:r>
      <w:r w:rsidR="004000C5">
        <w:instrText>ADDIN CSL_CITATION { "citationItems" : [ { "id" : "ITEM-1", "itemData" : { "URL" : "https://www.opendata.go.ke/GDP-Inflation/Quarterly-GDP-2000-2011-Chart/psue-b4ky", "accessed" : { "date-parts" : [ [ "2015", "9", "1" ] ] }, "author" : [ { "dropping-particle" : "", "family" : "ICT Authority", "given" : "", "non-dropping-particle" : "", "parse-names" : false, "suffix" : "" } ], "container-title" : "Kenya Open Data", "id" : "ITEM-1", "issued" : { "date-parts" : [ [ "2015" ] ] }, "title" : "Quarterly GDP 2000 - 2011 Chart", "type" : "webpage" }, "uris" : [ "http://www.mendeley.com/documents/?uuid=06c1b408-c314-4c4d-9779-166437de4e50" ] } ], "mendeley" : { "formattedCitation" : "(ICT Authority, 2015)", "plainTextFormattedCitation" : "(ICT Authority, 2015)", "previouslyFormattedCitation" : "(ICT Authority, 2015)" }, "properties" : { "noteIndex" : 0 }, "schema" : "https://github.com/citation-style-language/schema/raw/master/csl-citation.json" }</w:instrText>
      </w:r>
      <w:r>
        <w:fldChar w:fldCharType="separate"/>
      </w:r>
      <w:r w:rsidRPr="00F4479A">
        <w:rPr>
          <w:noProof/>
        </w:rPr>
        <w:t>(ICT Authority, 2015)</w:t>
      </w:r>
      <w:r>
        <w:fldChar w:fldCharType="end"/>
      </w:r>
    </w:p>
    <w:p w:rsidR="001F48E9" w:rsidRDefault="00435FD6" w:rsidP="00297322">
      <w:pPr>
        <w:spacing w:line="360" w:lineRule="auto"/>
      </w:pPr>
      <w:r>
        <w:t>T</w:t>
      </w:r>
      <w:r w:rsidR="001F48E9">
        <w:t>here was general trend movement</w:t>
      </w:r>
      <w:r>
        <w:t xml:space="preserve"> in the data that is accounted to the decisions of the various players in the economy. </w:t>
      </w:r>
      <w:r w:rsidR="00046C71">
        <w:t>This</w:t>
      </w:r>
      <w:r w:rsidR="0045644D">
        <w:t xml:space="preserve"> can be seen </w:t>
      </w:r>
      <w:r w:rsidR="00046C71">
        <w:t>well</w:t>
      </w:r>
      <w:r w:rsidR="0045644D">
        <w:t xml:space="preserve"> by the best line of fit in the data as below:</w:t>
      </w:r>
    </w:p>
    <w:p w:rsidR="00DC1A98" w:rsidRDefault="00DC1A98" w:rsidP="00297322">
      <w:pPr>
        <w:spacing w:line="360" w:lineRule="auto"/>
      </w:pPr>
      <w:r>
        <w:rPr>
          <w:noProof/>
        </w:rPr>
        <w:lastRenderedPageBreak/>
        <w:drawing>
          <wp:inline distT="0" distB="0" distL="0" distR="0" wp14:anchorId="67638367" wp14:editId="0AC101FF">
            <wp:extent cx="58293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C1A98" w:rsidRPr="00DC1A98" w:rsidRDefault="00046C71" w:rsidP="00DC1A98">
      <w:pPr>
        <w:spacing w:line="360" w:lineRule="auto"/>
        <w:rPr>
          <w:bCs/>
        </w:rPr>
      </w:pPr>
      <w:r>
        <w:t xml:space="preserve">The </w:t>
      </w:r>
      <w:r w:rsidR="00DC1A98">
        <w:t>above graph indicates</w:t>
      </w:r>
      <w:r>
        <w:t xml:space="preserve"> the best line of fit</w:t>
      </w:r>
      <w:r w:rsidR="00DC1A98">
        <w:t>, the equation of the best line of fit and the R</w:t>
      </w:r>
      <w:r w:rsidR="00DC1A98" w:rsidRPr="00DC1A98">
        <w:rPr>
          <w:vertAlign w:val="superscript"/>
        </w:rPr>
        <w:t>2</w:t>
      </w:r>
      <w:r w:rsidR="00DC1A98">
        <w:t xml:space="preserve"> value</w:t>
      </w:r>
      <w:r>
        <w:t>.</w:t>
      </w:r>
      <w:r w:rsidR="00DC1A98">
        <w:t xml:space="preserve"> Taking the amount in millions of </w:t>
      </w:r>
      <w:proofErr w:type="spellStart"/>
      <w:r w:rsidR="00DC1A98">
        <w:t>Kshs</w:t>
      </w:r>
      <w:proofErr w:type="spellEnd"/>
      <w:r w:rsidR="00DC1A98">
        <w:t xml:space="preserve"> for y and </w:t>
      </w:r>
      <w:r w:rsidR="00DC1A98" w:rsidRPr="00DC1A98">
        <w:rPr>
          <w:bCs/>
        </w:rPr>
        <w:t>Quarters from 2001</w:t>
      </w:r>
      <w:r w:rsidR="00DC1A98">
        <w:rPr>
          <w:bCs/>
        </w:rPr>
        <w:t xml:space="preserve">to be x the equation is </w:t>
      </w:r>
      <w:r w:rsidR="00DC1A98" w:rsidRPr="00DC1A98">
        <w:rPr>
          <w:bCs/>
        </w:rPr>
        <w:t>y = 14400x + 1E+06</w:t>
      </w:r>
      <w:r w:rsidR="00DC1A98">
        <w:rPr>
          <w:bCs/>
        </w:rPr>
        <w:t xml:space="preserve">. </w:t>
      </w:r>
      <w:r w:rsidR="00DC1A98">
        <w:t xml:space="preserve"> R</w:t>
      </w:r>
      <w:r w:rsidR="00DC1A98" w:rsidRPr="00DC1A98">
        <w:rPr>
          <w:vertAlign w:val="superscript"/>
        </w:rPr>
        <w:t>2</w:t>
      </w:r>
      <w:r w:rsidR="00DC1A98">
        <w:t xml:space="preserve"> =</w:t>
      </w:r>
      <w:r w:rsidR="00DC1A98" w:rsidRPr="00DC1A98">
        <w:t>0.9484</w:t>
      </w:r>
    </w:p>
    <w:p w:rsidR="00046C71" w:rsidRDefault="00046C71" w:rsidP="00297322">
      <w:pPr>
        <w:spacing w:line="360" w:lineRule="auto"/>
      </w:pPr>
    </w:p>
    <w:p w:rsidR="00435FD6" w:rsidRDefault="00435FD6" w:rsidP="00297322">
      <w:pPr>
        <w:spacing w:line="360" w:lineRule="auto"/>
      </w:pPr>
      <w:r>
        <w:t xml:space="preserve">There </w:t>
      </w:r>
      <w:r w:rsidR="00046C71">
        <w:t xml:space="preserve">are </w:t>
      </w:r>
      <w:r>
        <w:t xml:space="preserve">also notable cycles that can be attributed to business </w:t>
      </w:r>
      <w:r w:rsidR="001F48E9">
        <w:t>cycles</w:t>
      </w:r>
      <w:r>
        <w:t xml:space="preserve"> in the economy. </w:t>
      </w:r>
      <w:r w:rsidR="00470BCC">
        <w:t xml:space="preserve">This implies that the short ups are indications of expansion in the economy while the short downs are indications of contractions. </w:t>
      </w:r>
      <w:r>
        <w:t>These can be caused by the changes in demand in the general economy due to seasons of the year</w:t>
      </w:r>
      <w:r w:rsidR="00470BCC">
        <w:t xml:space="preserve"> as was the case has been in other places </w:t>
      </w:r>
      <w:r w:rsidR="00470BCC">
        <w:fldChar w:fldCharType="begin" w:fldLock="1"/>
      </w:r>
      <w:r w:rsidR="004000C5">
        <w:instrText>ADDIN CSL_CITATION { "citationItems" : [ { "id" : "ITEM-1", "itemData" : { "abstract" : "This paper examines the effect of the major Canada-U.S. trade agreements on the dynamics of business cycles and productivity in Canada. The North American Free Trade Agreement (NAFTA) and its predecessor, the Canada-U.S. Free Trade Agreement (CUSFTA), have led to a substantial expansion of trade flows. Although common factors have played a larger role in explaining business cycles in Canada and the United States since the early 1980s, country specific and idiosyncratic factors remain important for Canada. At the same time, while increased trade integration seems to have positively contributed to total factor productivity of Canadian industries, the persistence of structural differences between the two countries has prevented convergence of aggregate labor productivity. While these findings seem to weigh against moving toward a monetary union, they also suggest that substantial benefits could be reaped from further reducing remaining barriers to trade.", "author" : [ { "dropping-particle" : "", "family" : "Cardarelli", "given" : "Roberto", "non-dropping-particle" : "", "parse-names" : false, "suffix" : "" }, { "dropping-particle" : "", "family" : "Kose", "given" : "M Ayhan", "non-dropping-particle" : "", "parse-names" : false, "suffix" : "" } ], "container-title" : "IMF working paper", "id" : "ITEM-1", "issue" : "4", "issued" : { "date-parts" : [ [ "2004" ] ] }, "page" : "46 p.", "title" : "Economic integration, business cycle, and productivity in North America", "type" : "article-journal", "volume" : "138" }, "uris" : [ "http://www.mendeley.com/documents/?uuid=78b7c6a3-e22a-40d4-aba6-537472f7cfc2" ] } ], "mendeley" : { "formattedCitation" : "(Cardarelli &amp; Kose, 2004)", "plainTextFormattedCitation" : "(Cardarelli &amp; Kose, 2004)", "previouslyFormattedCitation" : "(Cardarelli &amp; Kose, 2004)" }, "properties" : { "noteIndex" : 0 }, "schema" : "https://github.com/citation-style-language/schema/raw/master/csl-citation.json" }</w:instrText>
      </w:r>
      <w:r w:rsidR="00470BCC">
        <w:fldChar w:fldCharType="separate"/>
      </w:r>
      <w:r w:rsidR="00470BCC" w:rsidRPr="00470BCC">
        <w:rPr>
          <w:noProof/>
        </w:rPr>
        <w:t>(Cardarelli &amp; Kose, 2004)</w:t>
      </w:r>
      <w:r w:rsidR="00470BCC">
        <w:fldChar w:fldCharType="end"/>
      </w:r>
      <w:r w:rsidR="001F48E9">
        <w:t>.</w:t>
      </w:r>
    </w:p>
    <w:p w:rsidR="00046C71" w:rsidRDefault="00046C71" w:rsidP="00297322">
      <w:pPr>
        <w:spacing w:line="360" w:lineRule="auto"/>
      </w:pPr>
      <w:r>
        <w:t>The seasonal changes can be illustrated using the moving averages as below:</w:t>
      </w:r>
    </w:p>
    <w:p w:rsidR="00046C71" w:rsidRDefault="00046C71" w:rsidP="00297322">
      <w:pPr>
        <w:spacing w:line="360" w:lineRule="auto"/>
      </w:pPr>
      <w:r>
        <w:rPr>
          <w:noProof/>
        </w:rPr>
        <w:lastRenderedPageBreak/>
        <w:drawing>
          <wp:inline distT="0" distB="0" distL="0" distR="0" wp14:anchorId="36B72F15" wp14:editId="2C9617CA">
            <wp:extent cx="4524375" cy="2743200"/>
            <wp:effectExtent l="0" t="0" r="952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627D8" w:rsidRDefault="001F48E9" w:rsidP="00297322">
      <w:pPr>
        <w:spacing w:line="360" w:lineRule="auto"/>
      </w:pPr>
      <w:r>
        <w:t xml:space="preserve">The particular turning points </w:t>
      </w:r>
      <w:r w:rsidR="00046C71">
        <w:t xml:space="preserve">of the short ups and downs </w:t>
      </w:r>
      <w:r>
        <w:t>could be said to be random. This may make the decision makers think that the turning points are purely random hence being seen in the light of Brownian motion. Whereas we do not reject that there is a stochastic random component in the turning points, we not that the turns to a great extent followed the Fibonacci ratios.</w:t>
      </w:r>
    </w:p>
    <w:p w:rsidR="00772C1B" w:rsidRPr="00F91A5D" w:rsidRDefault="00116CC5" w:rsidP="00772C1B">
      <w:pPr>
        <w:spacing w:line="360" w:lineRule="auto"/>
        <w:rPr>
          <w:rFonts w:cs="Times New Roman"/>
          <w:color w:val="252525"/>
          <w:szCs w:val="24"/>
          <w:shd w:val="clear" w:color="auto" w:fill="FFFFFF"/>
        </w:rPr>
      </w:pPr>
      <w:r>
        <w:t>Fibonacci sequence</w:t>
      </w:r>
      <w:r w:rsidR="00772C1B">
        <w:t xml:space="preserve"> starts with 1 and increases by the previous number. This yields the sequence </w:t>
      </w:r>
      <w:r w:rsidR="00772C1B" w:rsidRPr="00F91A5D">
        <w:rPr>
          <w:rFonts w:cs="Times New Roman"/>
          <w:color w:val="252525"/>
          <w:szCs w:val="24"/>
          <w:shd w:val="clear" w:color="auto" w:fill="FFFFFF"/>
        </w:rPr>
        <w:t xml:space="preserve">1, 1, 2, 3, 5, 8, 13, 21, 34, 55, </w:t>
      </w:r>
      <w:proofErr w:type="gramStart"/>
      <w:r w:rsidR="00772C1B" w:rsidRPr="00F91A5D">
        <w:rPr>
          <w:rFonts w:cs="Times New Roman"/>
          <w:color w:val="252525"/>
          <w:szCs w:val="24"/>
          <w:shd w:val="clear" w:color="auto" w:fill="FFFFFF"/>
        </w:rPr>
        <w:t>89,</w:t>
      </w:r>
      <w:r w:rsidR="00772C1B">
        <w:rPr>
          <w:rFonts w:cs="Times New Roman"/>
          <w:color w:val="252525"/>
          <w:szCs w:val="24"/>
          <w:shd w:val="clear" w:color="auto" w:fill="FFFFFF"/>
        </w:rPr>
        <w:t xml:space="preserve"> …</w:t>
      </w:r>
      <w:proofErr w:type="gramEnd"/>
    </w:p>
    <w:p w:rsidR="00772C1B" w:rsidRPr="00F91A5D" w:rsidRDefault="00772C1B" w:rsidP="00772C1B">
      <w:pPr>
        <w:spacing w:line="360" w:lineRule="auto"/>
        <w:rPr>
          <w:rFonts w:cs="Times New Roman"/>
          <w:color w:val="252525"/>
          <w:szCs w:val="24"/>
          <w:shd w:val="clear" w:color="auto" w:fill="FFFFFF"/>
        </w:rPr>
      </w:pPr>
      <w:r w:rsidRPr="00F91A5D">
        <w:rPr>
          <w:rStyle w:val="apple-converted-space"/>
          <w:rFonts w:cs="Times New Roman"/>
          <w:color w:val="252525"/>
          <w:szCs w:val="24"/>
          <w:shd w:val="clear" w:color="auto" w:fill="FFFFFF"/>
        </w:rPr>
        <w:t> </w:t>
      </w:r>
      <w:r w:rsidRPr="00F91A5D">
        <w:rPr>
          <w:rFonts w:cs="Times New Roman"/>
          <w:color w:val="252525"/>
          <w:szCs w:val="24"/>
          <w:shd w:val="clear" w:color="auto" w:fill="FFFFFF"/>
        </w:rPr>
        <w:t>Two numbers are said to be in the</w:t>
      </w:r>
      <w:r w:rsidRPr="00F91A5D">
        <w:rPr>
          <w:rStyle w:val="apple-converted-space"/>
          <w:rFonts w:cs="Times New Roman"/>
          <w:color w:val="252525"/>
          <w:szCs w:val="24"/>
          <w:shd w:val="clear" w:color="auto" w:fill="FFFFFF"/>
        </w:rPr>
        <w:t> </w:t>
      </w:r>
      <w:r w:rsidRPr="00F91A5D">
        <w:rPr>
          <w:rFonts w:cs="Times New Roman"/>
          <w:bCs/>
          <w:color w:val="252525"/>
          <w:szCs w:val="24"/>
          <w:shd w:val="clear" w:color="auto" w:fill="FFFFFF"/>
        </w:rPr>
        <w:t>golden ratio</w:t>
      </w:r>
      <w:r w:rsidRPr="00F91A5D">
        <w:rPr>
          <w:rStyle w:val="apple-converted-space"/>
          <w:rFonts w:cs="Times New Roman"/>
          <w:color w:val="252525"/>
          <w:szCs w:val="24"/>
          <w:shd w:val="clear" w:color="auto" w:fill="FFFFFF"/>
        </w:rPr>
        <w:t> </w:t>
      </w:r>
      <w:r w:rsidRPr="00F91A5D">
        <w:rPr>
          <w:rFonts w:cs="Times New Roman"/>
          <w:color w:val="252525"/>
          <w:szCs w:val="24"/>
          <w:shd w:val="clear" w:color="auto" w:fill="FFFFFF"/>
        </w:rPr>
        <w:t>if their</w:t>
      </w:r>
      <w:r w:rsidRPr="00F91A5D">
        <w:rPr>
          <w:rStyle w:val="apple-converted-space"/>
          <w:rFonts w:cs="Times New Roman"/>
          <w:color w:val="252525"/>
          <w:szCs w:val="24"/>
          <w:shd w:val="clear" w:color="auto" w:fill="FFFFFF"/>
        </w:rPr>
        <w:t> </w:t>
      </w:r>
      <w:r w:rsidRPr="00F91A5D">
        <w:rPr>
          <w:rFonts w:cs="Times New Roman"/>
          <w:szCs w:val="24"/>
          <w:shd w:val="clear" w:color="auto" w:fill="FFFFFF"/>
        </w:rPr>
        <w:t>quotient</w:t>
      </w:r>
      <w:r w:rsidRPr="00F91A5D">
        <w:rPr>
          <w:rStyle w:val="apple-converted-space"/>
          <w:rFonts w:cs="Times New Roman"/>
          <w:color w:val="252525"/>
          <w:szCs w:val="24"/>
          <w:shd w:val="clear" w:color="auto" w:fill="FFFFFF"/>
        </w:rPr>
        <w:t> </w:t>
      </w:r>
      <w:r w:rsidRPr="00F91A5D">
        <w:rPr>
          <w:rFonts w:cs="Times New Roman"/>
          <w:color w:val="252525"/>
          <w:szCs w:val="24"/>
          <w:shd w:val="clear" w:color="auto" w:fill="FFFFFF"/>
        </w:rPr>
        <w:t>is the same as the quotient of their</w:t>
      </w:r>
      <w:r w:rsidRPr="00F91A5D">
        <w:rPr>
          <w:rStyle w:val="apple-converted-space"/>
          <w:rFonts w:cs="Times New Roman"/>
          <w:color w:val="252525"/>
          <w:szCs w:val="24"/>
          <w:shd w:val="clear" w:color="auto" w:fill="FFFFFF"/>
        </w:rPr>
        <w:t> </w:t>
      </w:r>
      <w:r w:rsidRPr="00F91A5D">
        <w:rPr>
          <w:rFonts w:cs="Times New Roman"/>
          <w:szCs w:val="24"/>
          <w:shd w:val="clear" w:color="auto" w:fill="FFFFFF"/>
        </w:rPr>
        <w:t>summation</w:t>
      </w:r>
      <w:r w:rsidRPr="00F91A5D">
        <w:rPr>
          <w:rStyle w:val="apple-converted-space"/>
          <w:rFonts w:cs="Times New Roman"/>
          <w:color w:val="252525"/>
          <w:szCs w:val="24"/>
          <w:shd w:val="clear" w:color="auto" w:fill="FFFFFF"/>
        </w:rPr>
        <w:t> </w:t>
      </w:r>
      <w:r w:rsidRPr="00F91A5D">
        <w:rPr>
          <w:rFonts w:cs="Times New Roman"/>
          <w:color w:val="252525"/>
          <w:szCs w:val="24"/>
          <w:shd w:val="clear" w:color="auto" w:fill="FFFFFF"/>
        </w:rPr>
        <w:t xml:space="preserve">to the larger of the two quantities i.e. where </w:t>
      </w:r>
      <m:oMath>
        <m:r>
          <w:rPr>
            <w:rFonts w:ascii="Cambria Math" w:hAnsi="Cambria Math" w:cs="Times New Roman"/>
            <w:szCs w:val="24"/>
          </w:rPr>
          <m:t>a</m:t>
        </m:r>
      </m:oMath>
      <w:r w:rsidRPr="00F91A5D">
        <w:rPr>
          <w:rFonts w:eastAsiaTheme="minorEastAsia" w:cs="Times New Roman"/>
          <w:szCs w:val="24"/>
        </w:rPr>
        <w:t xml:space="preserve"> is the larger number and </w:t>
      </w:r>
      <m:oMath>
        <m:r>
          <w:rPr>
            <w:rFonts w:ascii="Cambria Math" w:eastAsiaTheme="minorEastAsia" w:hAnsi="Cambria Math" w:cs="Times New Roman"/>
            <w:szCs w:val="24"/>
          </w:rPr>
          <m:t>b</m:t>
        </m:r>
      </m:oMath>
      <w:r w:rsidRPr="00F91A5D">
        <w:rPr>
          <w:rFonts w:eastAsiaTheme="minorEastAsia" w:cs="Times New Roman"/>
          <w:szCs w:val="24"/>
        </w:rPr>
        <w:t xml:space="preserve"> is the smaller number:</w:t>
      </w:r>
    </w:p>
    <w:p w:rsidR="00772C1B" w:rsidRPr="00F91A5D" w:rsidRDefault="007C01F7" w:rsidP="00772C1B">
      <w:pPr>
        <w:spacing w:line="360" w:lineRule="auto"/>
        <w:rPr>
          <w:rFonts w:cs="Times New Roman"/>
          <w:szCs w:val="24"/>
        </w:rPr>
      </w:pPr>
      <m:oMath>
        <m:box>
          <m:boxPr>
            <m:ctrlPr>
              <w:rPr>
                <w:rFonts w:ascii="Cambria Math" w:hAnsi="Cambria Math" w:cs="Times New Roman"/>
                <w:i/>
                <w:szCs w:val="24"/>
              </w:rPr>
            </m:ctrlPr>
          </m:boxPr>
          <m:e>
            <m:argPr>
              <m:argSz m:val="-1"/>
            </m:argPr>
            <m:f>
              <m:fPr>
                <m:ctrlPr>
                  <w:rPr>
                    <w:rFonts w:ascii="Cambria Math" w:hAnsi="Cambria Math" w:cs="Times New Roman"/>
                    <w:i/>
                    <w:szCs w:val="24"/>
                  </w:rPr>
                </m:ctrlPr>
              </m:fPr>
              <m:num>
                <m:r>
                  <w:rPr>
                    <w:rFonts w:ascii="Cambria Math" w:hAnsi="Cambria Math" w:cs="Times New Roman"/>
                    <w:szCs w:val="24"/>
                  </w:rPr>
                  <m:t>a+b</m:t>
                </m:r>
              </m:num>
              <m:den>
                <m:r>
                  <w:rPr>
                    <w:rFonts w:ascii="Cambria Math" w:hAnsi="Cambria Math" w:cs="Times New Roman"/>
                    <w:szCs w:val="24"/>
                  </w:rPr>
                  <m:t>a</m:t>
                </m:r>
              </m:den>
            </m:f>
          </m:e>
        </m:box>
        <m:r>
          <w:rPr>
            <w:rFonts w:ascii="Cambria Math" w:hAnsi="Cambria Math" w:cs="Times New Roman"/>
            <w:szCs w:val="24"/>
          </w:rPr>
          <m:t>=</m:t>
        </m:r>
        <m:box>
          <m:boxPr>
            <m:ctrlPr>
              <w:rPr>
                <w:rFonts w:ascii="Cambria Math" w:hAnsi="Cambria Math" w:cs="Times New Roman"/>
                <w:i/>
                <w:szCs w:val="24"/>
              </w:rPr>
            </m:ctrlPr>
          </m:boxPr>
          <m:e>
            <m:argPr>
              <m:argSz m:val="-1"/>
            </m:argPr>
            <m:f>
              <m:fPr>
                <m:ctrlPr>
                  <w:rPr>
                    <w:rFonts w:ascii="Cambria Math" w:hAnsi="Cambria Math" w:cs="Times New Roman"/>
                    <w:i/>
                    <w:szCs w:val="24"/>
                  </w:rPr>
                </m:ctrlPr>
              </m:fPr>
              <m:num>
                <m:r>
                  <w:rPr>
                    <w:rFonts w:ascii="Cambria Math" w:hAnsi="Cambria Math" w:cs="Times New Roman"/>
                    <w:szCs w:val="24"/>
                  </w:rPr>
                  <m:t>a</m:t>
                </m:r>
              </m:num>
              <m:den>
                <m:r>
                  <w:rPr>
                    <w:rFonts w:ascii="Cambria Math" w:hAnsi="Cambria Math" w:cs="Times New Roman"/>
                    <w:szCs w:val="24"/>
                  </w:rPr>
                  <m:t>b</m:t>
                </m:r>
              </m:den>
            </m:f>
          </m:e>
        </m:box>
      </m:oMath>
      <w:r w:rsidR="00772C1B" w:rsidRPr="00F91A5D">
        <w:rPr>
          <w:rFonts w:eastAsiaTheme="minorEastAsia" w:cs="Times New Roman"/>
          <w:szCs w:val="24"/>
        </w:rPr>
        <w:t xml:space="preserve"> </w:t>
      </w:r>
      <m:oMath>
        <m:r>
          <w:rPr>
            <w:rFonts w:ascii="Cambria Math" w:hAnsi="Cambria Math" w:cs="Times New Roman"/>
            <w:szCs w:val="24"/>
          </w:rPr>
          <m:t>≝</m:t>
        </m:r>
      </m:oMath>
      <w:r w:rsidR="00772C1B" w:rsidRPr="00F91A5D">
        <w:rPr>
          <w:rFonts w:eastAsiaTheme="minorEastAsia" w:cs="Times New Roman"/>
          <w:szCs w:val="24"/>
        </w:rPr>
        <w:t xml:space="preserve"> </w:t>
      </w:r>
      <w:proofErr w:type="gramStart"/>
      <w:r w:rsidR="00772C1B" w:rsidRPr="00F91A5D">
        <w:rPr>
          <w:rFonts w:eastAsiaTheme="minorEastAsia" w:cs="Times New Roman"/>
          <w:szCs w:val="24"/>
        </w:rPr>
        <w:t>φ</w:t>
      </w:r>
      <w:proofErr w:type="gramEnd"/>
    </w:p>
    <w:p w:rsidR="00116CC5" w:rsidRDefault="00116CC5" w:rsidP="00297322">
      <w:pPr>
        <w:spacing w:line="360" w:lineRule="auto"/>
      </w:pPr>
    </w:p>
    <w:p w:rsidR="000D0037" w:rsidRPr="00435FD6" w:rsidRDefault="000D0037" w:rsidP="00297322">
      <w:pPr>
        <w:spacing w:line="360" w:lineRule="auto"/>
      </w:pPr>
      <w:r>
        <w:rPr>
          <w:noProof/>
        </w:rPr>
        <w:lastRenderedPageBreak/>
        <w:drawing>
          <wp:inline distT="0" distB="0" distL="0" distR="0" wp14:anchorId="36A5D8B0" wp14:editId="1376B12E">
            <wp:extent cx="5213838" cy="3156438"/>
            <wp:effectExtent l="0" t="0" r="2540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A6595" w:rsidRDefault="007A6595" w:rsidP="007A6595">
      <w:pPr>
        <w:pStyle w:val="Heading2"/>
        <w:spacing w:line="360" w:lineRule="auto"/>
        <w:jc w:val="both"/>
      </w:pPr>
      <w:r>
        <w:t>Conclusions</w:t>
      </w:r>
    </w:p>
    <w:p w:rsidR="007A6595" w:rsidRDefault="007A6595" w:rsidP="00297322">
      <w:pPr>
        <w:spacing w:line="360" w:lineRule="auto"/>
        <w:jc w:val="both"/>
      </w:pPr>
      <w:r>
        <w:t>Fibonacci analysis may</w:t>
      </w:r>
      <w:r w:rsidRPr="001E1A91">
        <w:t xml:space="preserve"> not work as a standalone system </w:t>
      </w:r>
      <w:r>
        <w:t xml:space="preserve">to be used when </w:t>
      </w:r>
      <w:r w:rsidR="00407F6F">
        <w:t>analyzing the GDP data movements</w:t>
      </w:r>
      <w:r>
        <w:t>.</w:t>
      </w:r>
      <w:r w:rsidRPr="001E1A91">
        <w:t xml:space="preserve"> </w:t>
      </w:r>
      <w:r>
        <w:t xml:space="preserve">However, it can be an </w:t>
      </w:r>
      <w:r w:rsidRPr="001E1A91">
        <w:t xml:space="preserve">effective constituent of </w:t>
      </w:r>
      <w:r w:rsidR="00407F6F">
        <w:t>the analysis</w:t>
      </w:r>
      <w:r w:rsidRPr="001E1A91">
        <w:t>.</w:t>
      </w:r>
    </w:p>
    <w:p w:rsidR="007A6595" w:rsidRDefault="007A6595" w:rsidP="007A6595">
      <w:pPr>
        <w:spacing w:line="360" w:lineRule="auto"/>
        <w:jc w:val="both"/>
      </w:pPr>
      <w:r>
        <w:br w:type="page"/>
      </w:r>
    </w:p>
    <w:p w:rsidR="007A6595" w:rsidRDefault="007A6595" w:rsidP="007A6595">
      <w:pPr>
        <w:pStyle w:val="Heading2"/>
        <w:spacing w:before="0" w:after="0" w:line="360" w:lineRule="auto"/>
        <w:jc w:val="both"/>
      </w:pPr>
      <w:r>
        <w:lastRenderedPageBreak/>
        <w:t>References</w:t>
      </w:r>
    </w:p>
    <w:p w:rsidR="004000C5" w:rsidRPr="004000C5" w:rsidRDefault="007A6595">
      <w:pPr>
        <w:pStyle w:val="NormalWeb"/>
        <w:ind w:left="480" w:hanging="480"/>
        <w:divId w:val="354113627"/>
        <w:rPr>
          <w:noProof/>
        </w:rPr>
      </w:pPr>
      <w:r>
        <w:fldChar w:fldCharType="begin" w:fldLock="1"/>
      </w:r>
      <w:r>
        <w:instrText xml:space="preserve">ADDIN Mendeley Bibliography CSL_BIBLIOGRAPHY </w:instrText>
      </w:r>
      <w:r>
        <w:fldChar w:fldCharType="separate"/>
      </w:r>
      <w:r w:rsidR="004000C5" w:rsidRPr="004000C5">
        <w:rPr>
          <w:noProof/>
        </w:rPr>
        <w:t xml:space="preserve">Bhattacharya, S., &amp; Kumar, K. (2006). A computational exploration of the efficacy of Fibonacci Sequences in Technical analysis and trading. </w:t>
      </w:r>
      <w:r w:rsidR="004000C5" w:rsidRPr="004000C5">
        <w:rPr>
          <w:i/>
          <w:iCs/>
          <w:noProof/>
        </w:rPr>
        <w:t>Annals of Economics and Finance</w:t>
      </w:r>
      <w:r w:rsidR="004000C5" w:rsidRPr="004000C5">
        <w:rPr>
          <w:noProof/>
        </w:rPr>
        <w:t xml:space="preserve">, </w:t>
      </w:r>
      <w:r w:rsidR="004000C5" w:rsidRPr="004000C5">
        <w:rPr>
          <w:i/>
          <w:iCs/>
          <w:noProof/>
        </w:rPr>
        <w:t>1</w:t>
      </w:r>
      <w:r w:rsidR="004000C5" w:rsidRPr="004000C5">
        <w:rPr>
          <w:noProof/>
        </w:rPr>
        <w:t>(1), 185–196.</w:t>
      </w:r>
    </w:p>
    <w:p w:rsidR="004000C5" w:rsidRPr="004000C5" w:rsidRDefault="004000C5">
      <w:pPr>
        <w:pStyle w:val="NormalWeb"/>
        <w:ind w:left="480" w:hanging="480"/>
        <w:divId w:val="354113627"/>
        <w:rPr>
          <w:noProof/>
        </w:rPr>
      </w:pPr>
      <w:r w:rsidRPr="004000C5">
        <w:rPr>
          <w:noProof/>
        </w:rPr>
        <w:t xml:space="preserve">Cardarelli, R., &amp; Kose, M. A. (2004). Economic integration, business cycle, and productivity in North America. </w:t>
      </w:r>
      <w:r w:rsidRPr="004000C5">
        <w:rPr>
          <w:i/>
          <w:iCs/>
          <w:noProof/>
        </w:rPr>
        <w:t>IMF Working Paper</w:t>
      </w:r>
      <w:r w:rsidRPr="004000C5">
        <w:rPr>
          <w:noProof/>
        </w:rPr>
        <w:t xml:space="preserve">, </w:t>
      </w:r>
      <w:r w:rsidRPr="004000C5">
        <w:rPr>
          <w:i/>
          <w:iCs/>
          <w:noProof/>
        </w:rPr>
        <w:t>138</w:t>
      </w:r>
      <w:r w:rsidRPr="004000C5">
        <w:rPr>
          <w:noProof/>
        </w:rPr>
        <w:t>(4), 46 p. Retrieved from http://www.library.yorku.ca/eresolver/?id=1195620 An electronic book accessible through the World Wide Web; click to view</w:t>
      </w:r>
    </w:p>
    <w:p w:rsidR="004000C5" w:rsidRPr="004000C5" w:rsidRDefault="004000C5">
      <w:pPr>
        <w:pStyle w:val="NormalWeb"/>
        <w:ind w:left="480" w:hanging="480"/>
        <w:divId w:val="354113627"/>
        <w:rPr>
          <w:noProof/>
        </w:rPr>
      </w:pPr>
      <w:r w:rsidRPr="004000C5">
        <w:rPr>
          <w:noProof/>
        </w:rPr>
        <w:t xml:space="preserve">Courant, T. (2010). Fibonacci Numbers and the Golden Ratio. </w:t>
      </w:r>
      <w:r w:rsidRPr="004000C5">
        <w:rPr>
          <w:i/>
          <w:iCs/>
          <w:noProof/>
        </w:rPr>
        <w:t>Ratio</w:t>
      </w:r>
      <w:r w:rsidRPr="004000C5">
        <w:rPr>
          <w:noProof/>
        </w:rPr>
        <w:t>.</w:t>
      </w:r>
    </w:p>
    <w:p w:rsidR="004000C5" w:rsidRPr="004000C5" w:rsidRDefault="004000C5">
      <w:pPr>
        <w:pStyle w:val="NormalWeb"/>
        <w:ind w:left="480" w:hanging="480"/>
        <w:divId w:val="354113627"/>
        <w:rPr>
          <w:noProof/>
        </w:rPr>
      </w:pPr>
      <w:r w:rsidRPr="004000C5">
        <w:rPr>
          <w:noProof/>
        </w:rPr>
        <w:t xml:space="preserve">Fischer, R., &amp; Fischer, J. (2003). </w:t>
      </w:r>
      <w:r w:rsidRPr="004000C5">
        <w:rPr>
          <w:i/>
          <w:iCs/>
          <w:noProof/>
        </w:rPr>
        <w:t>Candlesticks, Fibonacci, and Chart Pattern Trading Tools: A Synergistic Strategy to Ehnance Profits and Reduce Risk</w:t>
      </w:r>
      <w:r w:rsidRPr="004000C5">
        <w:rPr>
          <w:noProof/>
        </w:rPr>
        <w:t>. Hoboken, New Jersey: John Wiley &amp; Sons, Inc.</w:t>
      </w:r>
    </w:p>
    <w:p w:rsidR="004000C5" w:rsidRPr="004000C5" w:rsidRDefault="004000C5">
      <w:pPr>
        <w:pStyle w:val="NormalWeb"/>
        <w:ind w:left="480" w:hanging="480"/>
        <w:divId w:val="354113627"/>
        <w:rPr>
          <w:noProof/>
        </w:rPr>
      </w:pPr>
      <w:r w:rsidRPr="004000C5">
        <w:rPr>
          <w:noProof/>
        </w:rPr>
        <w:t xml:space="preserve">Grigas, A. (2013). </w:t>
      </w:r>
      <w:r w:rsidRPr="004000C5">
        <w:rPr>
          <w:i/>
          <w:iCs/>
          <w:noProof/>
        </w:rPr>
        <w:t>The Fibonacci Sequence: Its History, Significance, and Manifestations in Nature</w:t>
      </w:r>
      <w:r w:rsidRPr="004000C5">
        <w:rPr>
          <w:noProof/>
        </w:rPr>
        <w:t>. Liberty University.</w:t>
      </w:r>
    </w:p>
    <w:p w:rsidR="004000C5" w:rsidRPr="004000C5" w:rsidRDefault="004000C5">
      <w:pPr>
        <w:pStyle w:val="NormalWeb"/>
        <w:ind w:left="480" w:hanging="480"/>
        <w:divId w:val="354113627"/>
        <w:rPr>
          <w:noProof/>
        </w:rPr>
      </w:pPr>
      <w:r w:rsidRPr="004000C5">
        <w:rPr>
          <w:noProof/>
        </w:rPr>
        <w:t>ICT Authority. (2015). Quarterly GDP 2000 - 2011 Chart. Retrieved September 1, 2015, from https://www.opendata.go.ke/GDP-Inflation/Quarterly-GDP-2000-2011-Chart/psue-b4ky</w:t>
      </w:r>
    </w:p>
    <w:p w:rsidR="004000C5" w:rsidRPr="004000C5" w:rsidRDefault="004000C5">
      <w:pPr>
        <w:pStyle w:val="NormalWeb"/>
        <w:ind w:left="480" w:hanging="480"/>
        <w:divId w:val="354113627"/>
        <w:rPr>
          <w:noProof/>
        </w:rPr>
      </w:pPr>
      <w:r w:rsidRPr="004000C5">
        <w:rPr>
          <w:noProof/>
        </w:rPr>
        <w:t xml:space="preserve">Kira, A. R. (2013). The Factors Affecting Gross Domestic Product ( GDP ) in Developing Countries : The Case of Tanzania. </w:t>
      </w:r>
      <w:r w:rsidRPr="004000C5">
        <w:rPr>
          <w:i/>
          <w:iCs/>
          <w:noProof/>
        </w:rPr>
        <w:t>European Journal of Business and Management</w:t>
      </w:r>
      <w:r w:rsidRPr="004000C5">
        <w:rPr>
          <w:noProof/>
        </w:rPr>
        <w:t xml:space="preserve">, </w:t>
      </w:r>
      <w:r w:rsidRPr="004000C5">
        <w:rPr>
          <w:i/>
          <w:iCs/>
          <w:noProof/>
        </w:rPr>
        <w:t>5</w:t>
      </w:r>
      <w:r w:rsidRPr="004000C5">
        <w:rPr>
          <w:noProof/>
        </w:rPr>
        <w:t>(4), 148–158.</w:t>
      </w:r>
    </w:p>
    <w:p w:rsidR="004000C5" w:rsidRPr="004000C5" w:rsidRDefault="004000C5">
      <w:pPr>
        <w:pStyle w:val="NormalWeb"/>
        <w:ind w:left="480" w:hanging="480"/>
        <w:divId w:val="354113627"/>
        <w:rPr>
          <w:noProof/>
        </w:rPr>
      </w:pPr>
      <w:r w:rsidRPr="004000C5">
        <w:rPr>
          <w:noProof/>
        </w:rPr>
        <w:t>World Bank. (2011). The State of Kenya ’ s Economy. Retrieved from http://siteresources.worldbank.org/KENYAEXTN/Resources/KEU-Dec_2011_State_of_Kenya_Economy.pdf</w:t>
      </w:r>
    </w:p>
    <w:p w:rsidR="007A6595" w:rsidRPr="001E1A91" w:rsidRDefault="007A6595" w:rsidP="004000C5">
      <w:pPr>
        <w:pStyle w:val="NormalWeb"/>
        <w:ind w:left="480" w:hanging="480"/>
        <w:divId w:val="938835090"/>
      </w:pPr>
      <w:r>
        <w:fldChar w:fldCharType="end"/>
      </w:r>
    </w:p>
    <w:p w:rsidR="007A6595" w:rsidRPr="001E1A91" w:rsidRDefault="007A6595" w:rsidP="007A6595">
      <w:pPr>
        <w:pStyle w:val="NormalWeb"/>
        <w:spacing w:before="0" w:beforeAutospacing="0" w:after="0" w:afterAutospacing="0" w:line="360" w:lineRule="auto"/>
        <w:ind w:left="480" w:hanging="480"/>
        <w:jc w:val="both"/>
      </w:pPr>
    </w:p>
    <w:p w:rsidR="004C6234" w:rsidRDefault="004C6234"/>
    <w:sectPr w:rsidR="004C6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595"/>
    <w:rsid w:val="00030657"/>
    <w:rsid w:val="00046C71"/>
    <w:rsid w:val="00094D42"/>
    <w:rsid w:val="000D0037"/>
    <w:rsid w:val="000D0AFB"/>
    <w:rsid w:val="000F6BEE"/>
    <w:rsid w:val="00116CC5"/>
    <w:rsid w:val="0015250A"/>
    <w:rsid w:val="001F48E9"/>
    <w:rsid w:val="001F6DEF"/>
    <w:rsid w:val="00295741"/>
    <w:rsid w:val="00297322"/>
    <w:rsid w:val="002B1486"/>
    <w:rsid w:val="003C4BCD"/>
    <w:rsid w:val="004000C5"/>
    <w:rsid w:val="0040315A"/>
    <w:rsid w:val="00407F6F"/>
    <w:rsid w:val="004158BD"/>
    <w:rsid w:val="00435FD6"/>
    <w:rsid w:val="0045644D"/>
    <w:rsid w:val="00470BCC"/>
    <w:rsid w:val="00493F9D"/>
    <w:rsid w:val="004B092F"/>
    <w:rsid w:val="004C6234"/>
    <w:rsid w:val="005136F7"/>
    <w:rsid w:val="00666003"/>
    <w:rsid w:val="006A750B"/>
    <w:rsid w:val="006E57B7"/>
    <w:rsid w:val="00772C1B"/>
    <w:rsid w:val="007A6595"/>
    <w:rsid w:val="007C01F7"/>
    <w:rsid w:val="007F3373"/>
    <w:rsid w:val="0085672A"/>
    <w:rsid w:val="008870F7"/>
    <w:rsid w:val="009A538C"/>
    <w:rsid w:val="00A627D8"/>
    <w:rsid w:val="00A73A04"/>
    <w:rsid w:val="00BC0214"/>
    <w:rsid w:val="00CA753E"/>
    <w:rsid w:val="00D729B7"/>
    <w:rsid w:val="00D90351"/>
    <w:rsid w:val="00DC1A98"/>
    <w:rsid w:val="00E66CF2"/>
    <w:rsid w:val="00EB5436"/>
    <w:rsid w:val="00F000A8"/>
    <w:rsid w:val="00F4479A"/>
    <w:rsid w:val="00F978B8"/>
    <w:rsid w:val="00FF4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3130AC-0091-4234-B772-9F6AD4E0B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595"/>
    <w:pPr>
      <w:spacing w:after="160" w:line="259" w:lineRule="auto"/>
    </w:pPr>
    <w:rPr>
      <w:rFonts w:ascii="Times New Roman" w:hAnsi="Times New Roman"/>
      <w:sz w:val="24"/>
    </w:rPr>
  </w:style>
  <w:style w:type="paragraph" w:styleId="Heading1">
    <w:name w:val="heading 1"/>
    <w:basedOn w:val="Normal"/>
    <w:next w:val="Normal"/>
    <w:link w:val="Heading1Char"/>
    <w:autoRedefine/>
    <w:uiPriority w:val="9"/>
    <w:qFormat/>
    <w:rsid w:val="00CA753E"/>
    <w:pPr>
      <w:keepNext/>
      <w:keepLines/>
      <w:spacing w:before="480" w:after="0" w:line="360" w:lineRule="auto"/>
      <w:jc w:val="center"/>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E66CF2"/>
    <w:pPr>
      <w:keepNext/>
      <w:keepLines/>
      <w:spacing w:before="120" w:after="120"/>
      <w:outlineLvl w:val="1"/>
    </w:pPr>
    <w:rPr>
      <w:rFonts w:eastAsiaTheme="majorEastAsia" w:cstheme="majorBidi"/>
      <w:color w:val="365F91" w:themeColor="accent1" w:themeShade="BF"/>
      <w:szCs w:val="26"/>
    </w:rPr>
  </w:style>
  <w:style w:type="paragraph" w:styleId="Heading3">
    <w:name w:val="heading 3"/>
    <w:basedOn w:val="Normal"/>
    <w:link w:val="Heading3Char"/>
    <w:autoRedefine/>
    <w:uiPriority w:val="9"/>
    <w:qFormat/>
    <w:rsid w:val="009A538C"/>
    <w:pPr>
      <w:spacing w:before="100" w:beforeAutospacing="1" w:after="100" w:afterAutospacing="1" w:line="240" w:lineRule="auto"/>
      <w:outlineLvl w:val="2"/>
    </w:pPr>
    <w:rPr>
      <w:rFonts w:eastAsia="Times New Roman" w:cs="Times New Roman"/>
      <w:b/>
      <w:bCs/>
      <w:szCs w:val="27"/>
    </w:rPr>
  </w:style>
  <w:style w:type="paragraph" w:styleId="Heading4">
    <w:name w:val="heading 4"/>
    <w:basedOn w:val="Normal"/>
    <w:next w:val="Normal"/>
    <w:link w:val="Heading4Char"/>
    <w:autoRedefine/>
    <w:uiPriority w:val="9"/>
    <w:unhideWhenUsed/>
    <w:qFormat/>
    <w:rsid w:val="009A538C"/>
    <w:pPr>
      <w:keepNext/>
      <w:keepLines/>
      <w:spacing w:before="200" w:after="0" w:line="276" w:lineRule="auto"/>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A538C"/>
    <w:rPr>
      <w:rFonts w:ascii="Times New Roman" w:eastAsiaTheme="majorEastAsia" w:hAnsi="Times New Roman" w:cstheme="majorBidi"/>
      <w:b/>
      <w:bCs/>
      <w:iCs/>
      <w:sz w:val="24"/>
    </w:rPr>
  </w:style>
  <w:style w:type="character" w:customStyle="1" w:styleId="Heading3Char">
    <w:name w:val="Heading 3 Char"/>
    <w:basedOn w:val="DefaultParagraphFont"/>
    <w:link w:val="Heading3"/>
    <w:uiPriority w:val="9"/>
    <w:rsid w:val="009A538C"/>
    <w:rPr>
      <w:rFonts w:ascii="Times New Roman" w:eastAsia="Times New Roman" w:hAnsi="Times New Roman" w:cs="Times New Roman"/>
      <w:b/>
      <w:bCs/>
      <w:sz w:val="24"/>
      <w:szCs w:val="27"/>
    </w:rPr>
  </w:style>
  <w:style w:type="character" w:customStyle="1" w:styleId="Heading2Char">
    <w:name w:val="Heading 2 Char"/>
    <w:basedOn w:val="DefaultParagraphFont"/>
    <w:link w:val="Heading2"/>
    <w:uiPriority w:val="9"/>
    <w:rsid w:val="00E66CF2"/>
    <w:rPr>
      <w:rFonts w:ascii="Times New Roman" w:eastAsiaTheme="majorEastAsia" w:hAnsi="Times New Roman" w:cstheme="majorBidi"/>
      <w:color w:val="365F91" w:themeColor="accent1" w:themeShade="BF"/>
      <w:sz w:val="24"/>
      <w:szCs w:val="26"/>
    </w:rPr>
  </w:style>
  <w:style w:type="character" w:customStyle="1" w:styleId="Heading1Char">
    <w:name w:val="Heading 1 Char"/>
    <w:basedOn w:val="DefaultParagraphFont"/>
    <w:link w:val="Heading1"/>
    <w:uiPriority w:val="9"/>
    <w:rsid w:val="00CA753E"/>
    <w:rPr>
      <w:rFonts w:ascii="Times New Roman" w:eastAsiaTheme="majorEastAsia" w:hAnsi="Times New Roman" w:cstheme="majorBidi"/>
      <w:b/>
      <w:bCs/>
      <w:color w:val="365F91" w:themeColor="accent1" w:themeShade="BF"/>
      <w:sz w:val="28"/>
      <w:szCs w:val="28"/>
    </w:rPr>
  </w:style>
  <w:style w:type="paragraph" w:styleId="NormalWeb">
    <w:name w:val="Normal (Web)"/>
    <w:basedOn w:val="Normal"/>
    <w:uiPriority w:val="99"/>
    <w:unhideWhenUsed/>
    <w:rsid w:val="007A6595"/>
    <w:pPr>
      <w:spacing w:before="100" w:beforeAutospacing="1" w:after="100" w:afterAutospacing="1" w:line="240" w:lineRule="auto"/>
    </w:pPr>
    <w:rPr>
      <w:rFonts w:eastAsiaTheme="minorEastAsia" w:cs="Times New Roman"/>
      <w:szCs w:val="24"/>
    </w:rPr>
  </w:style>
  <w:style w:type="paragraph" w:styleId="BalloonText">
    <w:name w:val="Balloon Text"/>
    <w:basedOn w:val="Normal"/>
    <w:link w:val="BalloonTextChar"/>
    <w:uiPriority w:val="99"/>
    <w:semiHidden/>
    <w:unhideWhenUsed/>
    <w:rsid w:val="00F4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79A"/>
    <w:rPr>
      <w:rFonts w:ascii="Tahoma" w:hAnsi="Tahoma" w:cs="Tahoma"/>
      <w:sz w:val="16"/>
      <w:szCs w:val="16"/>
    </w:rPr>
  </w:style>
  <w:style w:type="character" w:customStyle="1" w:styleId="apple-converted-space">
    <w:name w:val="apple-converted-space"/>
    <w:basedOn w:val="DefaultParagraphFont"/>
    <w:rsid w:val="00772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513004">
      <w:bodyDiv w:val="1"/>
      <w:marLeft w:val="0"/>
      <w:marRight w:val="0"/>
      <w:marTop w:val="0"/>
      <w:marBottom w:val="0"/>
      <w:divBdr>
        <w:top w:val="none" w:sz="0" w:space="0" w:color="auto"/>
        <w:left w:val="none" w:sz="0" w:space="0" w:color="auto"/>
        <w:bottom w:val="none" w:sz="0" w:space="0" w:color="auto"/>
        <w:right w:val="none" w:sz="0" w:space="0" w:color="auto"/>
      </w:divBdr>
    </w:div>
    <w:div w:id="827016210">
      <w:bodyDiv w:val="1"/>
      <w:marLeft w:val="0"/>
      <w:marRight w:val="0"/>
      <w:marTop w:val="0"/>
      <w:marBottom w:val="0"/>
      <w:divBdr>
        <w:top w:val="none" w:sz="0" w:space="0" w:color="auto"/>
        <w:left w:val="none" w:sz="0" w:space="0" w:color="auto"/>
        <w:bottom w:val="none" w:sz="0" w:space="0" w:color="auto"/>
        <w:right w:val="none" w:sz="0" w:space="0" w:color="auto"/>
      </w:divBdr>
      <w:divsChild>
        <w:div w:id="298875715">
          <w:marLeft w:val="0"/>
          <w:marRight w:val="0"/>
          <w:marTop w:val="0"/>
          <w:marBottom w:val="0"/>
          <w:divBdr>
            <w:top w:val="none" w:sz="0" w:space="0" w:color="auto"/>
            <w:left w:val="none" w:sz="0" w:space="0" w:color="auto"/>
            <w:bottom w:val="none" w:sz="0" w:space="0" w:color="auto"/>
            <w:right w:val="none" w:sz="0" w:space="0" w:color="auto"/>
          </w:divBdr>
          <w:divsChild>
            <w:div w:id="2090347844">
              <w:marLeft w:val="0"/>
              <w:marRight w:val="0"/>
              <w:marTop w:val="0"/>
              <w:marBottom w:val="0"/>
              <w:divBdr>
                <w:top w:val="none" w:sz="0" w:space="0" w:color="auto"/>
                <w:left w:val="none" w:sz="0" w:space="0" w:color="auto"/>
                <w:bottom w:val="none" w:sz="0" w:space="0" w:color="auto"/>
                <w:right w:val="none" w:sz="0" w:space="0" w:color="auto"/>
              </w:divBdr>
              <w:divsChild>
                <w:div w:id="938835090">
                  <w:marLeft w:val="0"/>
                  <w:marRight w:val="0"/>
                  <w:marTop w:val="0"/>
                  <w:marBottom w:val="0"/>
                  <w:divBdr>
                    <w:top w:val="none" w:sz="0" w:space="0" w:color="auto"/>
                    <w:left w:val="none" w:sz="0" w:space="0" w:color="auto"/>
                    <w:bottom w:val="none" w:sz="0" w:space="0" w:color="auto"/>
                    <w:right w:val="none" w:sz="0" w:space="0" w:color="auto"/>
                  </w:divBdr>
                  <w:divsChild>
                    <w:div w:id="35411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76709">
      <w:bodyDiv w:val="1"/>
      <w:marLeft w:val="0"/>
      <w:marRight w:val="0"/>
      <w:marTop w:val="0"/>
      <w:marBottom w:val="0"/>
      <w:divBdr>
        <w:top w:val="none" w:sz="0" w:space="0" w:color="auto"/>
        <w:left w:val="none" w:sz="0" w:space="0" w:color="auto"/>
        <w:bottom w:val="none" w:sz="0" w:space="0" w:color="auto"/>
        <w:right w:val="none" w:sz="0" w:space="0" w:color="auto"/>
      </w:divBdr>
    </w:div>
    <w:div w:id="193693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wnloads\Quarterly_GDP_2000_-_2011_Chart.xls"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Macro-Enabled_Worksheet1.xlsm"/><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Macro-Enabled_Worksheet2.xlsm"/><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wnloads\Quarterly_GDP_2000_-_2011_Chart.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559033200181916"/>
          <c:y val="2.2140664151361674E-2"/>
          <c:w val="0.64489624600682749"/>
          <c:h val="0.78852011905942032"/>
        </c:manualLayout>
      </c:layout>
      <c:lineChart>
        <c:grouping val="stacked"/>
        <c:varyColors val="0"/>
        <c:ser>
          <c:idx val="0"/>
          <c:order val="0"/>
          <c:cat>
            <c:strRef>
              <c:f>'[Quarterly_GDP_2000_-_2011_Chart.xls]Quarterly GDP 2000 - 2011 Char'!$A$2:$A$47</c:f>
              <c:strCache>
                <c:ptCount val="46"/>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strCache>
            </c:strRef>
          </c:cat>
          <c:val>
            <c:numRef>
              <c:f>'[Quarterly_GDP_2000_-_2011_Chart.xls]Quarterly GDP 2000 - 2011 Char'!$B$2:$B$47</c:f>
              <c:numCache>
                <c:formatCode>General</c:formatCode>
                <c:ptCount val="46"/>
                <c:pt idx="0">
                  <c:v>1099257</c:v>
                </c:pt>
                <c:pt idx="1">
                  <c:v>1054686</c:v>
                </c:pt>
                <c:pt idx="2">
                  <c:v>1101840</c:v>
                </c:pt>
                <c:pt idx="3">
                  <c:v>1147988</c:v>
                </c:pt>
                <c:pt idx="4">
                  <c:v>1125223</c:v>
                </c:pt>
                <c:pt idx="5">
                  <c:v>1127786</c:v>
                </c:pt>
                <c:pt idx="6">
                  <c:v>1167676</c:v>
                </c:pt>
                <c:pt idx="7">
                  <c:v>1175559</c:v>
                </c:pt>
                <c:pt idx="8">
                  <c:v>1174960</c:v>
                </c:pt>
                <c:pt idx="9">
                  <c:v>1119361</c:v>
                </c:pt>
                <c:pt idx="10">
                  <c:v>1146187</c:v>
                </c:pt>
                <c:pt idx="11">
                  <c:v>1193239</c:v>
                </c:pt>
                <c:pt idx="12">
                  <c:v>1171154</c:v>
                </c:pt>
                <c:pt idx="13">
                  <c:v>1133560</c:v>
                </c:pt>
                <c:pt idx="14">
                  <c:v>1217166</c:v>
                </c:pt>
                <c:pt idx="15">
                  <c:v>1251376</c:v>
                </c:pt>
                <c:pt idx="16">
                  <c:v>1246869</c:v>
                </c:pt>
                <c:pt idx="17">
                  <c:v>1186445</c:v>
                </c:pt>
                <c:pt idx="18">
                  <c:v>1255958</c:v>
                </c:pt>
                <c:pt idx="19">
                  <c:v>1315299</c:v>
                </c:pt>
                <c:pt idx="20">
                  <c:v>1271310</c:v>
                </c:pt>
                <c:pt idx="21">
                  <c:v>1266330</c:v>
                </c:pt>
                <c:pt idx="22">
                  <c:v>1355081</c:v>
                </c:pt>
                <c:pt idx="23">
                  <c:v>1391924</c:v>
                </c:pt>
                <c:pt idx="24">
                  <c:v>1350128</c:v>
                </c:pt>
                <c:pt idx="25">
                  <c:v>1346165</c:v>
                </c:pt>
                <c:pt idx="26">
                  <c:v>1458087</c:v>
                </c:pt>
                <c:pt idx="27">
                  <c:v>1456660</c:v>
                </c:pt>
                <c:pt idx="28">
                  <c:v>1439001</c:v>
                </c:pt>
                <c:pt idx="29">
                  <c:v>1455601</c:v>
                </c:pt>
                <c:pt idx="30">
                  <c:v>1552139</c:v>
                </c:pt>
                <c:pt idx="31">
                  <c:v>1555442</c:v>
                </c:pt>
                <c:pt idx="32">
                  <c:v>1458249</c:v>
                </c:pt>
                <c:pt idx="33">
                  <c:v>1495282</c:v>
                </c:pt>
                <c:pt idx="34">
                  <c:v>1593674</c:v>
                </c:pt>
                <c:pt idx="35">
                  <c:v>1555617</c:v>
                </c:pt>
                <c:pt idx="36">
                  <c:v>1545047</c:v>
                </c:pt>
                <c:pt idx="37">
                  <c:v>1509369</c:v>
                </c:pt>
                <c:pt idx="38">
                  <c:v>1605813</c:v>
                </c:pt>
                <c:pt idx="39">
                  <c:v>1610094</c:v>
                </c:pt>
                <c:pt idx="40">
                  <c:v>1613516</c:v>
                </c:pt>
                <c:pt idx="41">
                  <c:v>1581621</c:v>
                </c:pt>
                <c:pt idx="42">
                  <c:v>1707420</c:v>
                </c:pt>
                <c:pt idx="43">
                  <c:v>1721361</c:v>
                </c:pt>
                <c:pt idx="44">
                  <c:v>1690009</c:v>
                </c:pt>
                <c:pt idx="45">
                  <c:v>1639210</c:v>
                </c:pt>
              </c:numCache>
            </c:numRef>
          </c:val>
          <c:smooth val="0"/>
        </c:ser>
        <c:dLbls>
          <c:showLegendKey val="0"/>
          <c:showVal val="0"/>
          <c:showCatName val="0"/>
          <c:showSerName val="0"/>
          <c:showPercent val="0"/>
          <c:showBubbleSize val="0"/>
        </c:dLbls>
        <c:marker val="1"/>
        <c:smooth val="0"/>
        <c:axId val="579601408"/>
        <c:axId val="579602496"/>
      </c:lineChart>
      <c:catAx>
        <c:axId val="579601408"/>
        <c:scaling>
          <c:orientation val="minMax"/>
        </c:scaling>
        <c:delete val="0"/>
        <c:axPos val="b"/>
        <c:numFmt formatCode="General" sourceLinked="0"/>
        <c:majorTickMark val="out"/>
        <c:minorTickMark val="none"/>
        <c:tickLblPos val="nextTo"/>
        <c:crossAx val="579602496"/>
        <c:crosses val="autoZero"/>
        <c:auto val="1"/>
        <c:lblAlgn val="ctr"/>
        <c:lblOffset val="100"/>
        <c:noMultiLvlLbl val="0"/>
      </c:catAx>
      <c:valAx>
        <c:axId val="579602496"/>
        <c:scaling>
          <c:orientation val="minMax"/>
          <c:max val="2000000"/>
          <c:min val="1000000"/>
        </c:scaling>
        <c:delete val="0"/>
        <c:axPos val="l"/>
        <c:majorGridlines/>
        <c:numFmt formatCode="General" sourceLinked="1"/>
        <c:majorTickMark val="out"/>
        <c:minorTickMark val="none"/>
        <c:tickLblPos val="nextTo"/>
        <c:crossAx val="579601408"/>
        <c:crosses val="autoZero"/>
        <c:crossBetween val="between"/>
        <c:dispUnits>
          <c:builtInUnit val="millions"/>
          <c:dispUnitsLbl/>
        </c:dispUnits>
      </c:valAx>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30796150481189"/>
          <c:y val="5.1400554097404488E-2"/>
          <c:w val="0.73560717410323706"/>
          <c:h val="0.6742629046369204"/>
        </c:manualLayout>
      </c:layout>
      <c:scatterChart>
        <c:scatterStyle val="smoothMarker"/>
        <c:varyColors val="0"/>
        <c:ser>
          <c:idx val="0"/>
          <c:order val="0"/>
          <c:tx>
            <c:strRef>
              <c:f>'Quartely GDP Data'!$B$1</c:f>
              <c:strCache>
                <c:ptCount val="1"/>
                <c:pt idx="0">
                  <c:v>Kshs. Million</c:v>
                </c:pt>
              </c:strCache>
            </c:strRef>
          </c:tx>
          <c:trendline>
            <c:trendlineType val="linear"/>
            <c:dispRSqr val="0"/>
            <c:dispEq val="1"/>
            <c:trendlineLbl>
              <c:layout>
                <c:manualLayout>
                  <c:x val="-0.1917331583552056"/>
                  <c:y val="-5.2636701662292215E-2"/>
                </c:manualLayout>
              </c:layout>
              <c:numFmt formatCode="General" sourceLinked="0"/>
            </c:trendlineLbl>
          </c:trendline>
          <c:trendline>
            <c:trendlineType val="linear"/>
            <c:dispRSqr val="1"/>
            <c:dispEq val="0"/>
            <c:trendlineLbl>
              <c:layout>
                <c:manualLayout>
                  <c:x val="-0.23316382327209098"/>
                  <c:y val="4.4986512102653836E-2"/>
                </c:manualLayout>
              </c:layout>
              <c:numFmt formatCode="General" sourceLinked="0"/>
            </c:trendlineLbl>
          </c:trendline>
          <c:xVal>
            <c:strRef>
              <c:f>'Quartely GDP Data'!$A$2:$A$47</c:f>
              <c:strCache>
                <c:ptCount val="46"/>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strCache>
            </c:strRef>
          </c:xVal>
          <c:yVal>
            <c:numRef>
              <c:f>'Quartely GDP Data'!$B$2:$B$47</c:f>
              <c:numCache>
                <c:formatCode>General</c:formatCode>
                <c:ptCount val="46"/>
                <c:pt idx="0">
                  <c:v>1099257</c:v>
                </c:pt>
                <c:pt idx="1">
                  <c:v>1054686</c:v>
                </c:pt>
                <c:pt idx="2">
                  <c:v>1101840</c:v>
                </c:pt>
                <c:pt idx="3">
                  <c:v>1147988</c:v>
                </c:pt>
                <c:pt idx="4">
                  <c:v>1125223</c:v>
                </c:pt>
                <c:pt idx="5">
                  <c:v>1127786</c:v>
                </c:pt>
                <c:pt idx="6">
                  <c:v>1167676</c:v>
                </c:pt>
                <c:pt idx="7">
                  <c:v>1175559</c:v>
                </c:pt>
                <c:pt idx="8">
                  <c:v>1174960</c:v>
                </c:pt>
                <c:pt idx="9">
                  <c:v>1119361</c:v>
                </c:pt>
                <c:pt idx="10">
                  <c:v>1146187</c:v>
                </c:pt>
                <c:pt idx="11">
                  <c:v>1193239</c:v>
                </c:pt>
                <c:pt idx="12">
                  <c:v>1171154</c:v>
                </c:pt>
                <c:pt idx="13">
                  <c:v>1133560</c:v>
                </c:pt>
                <c:pt idx="14">
                  <c:v>1217166</c:v>
                </c:pt>
                <c:pt idx="15">
                  <c:v>1251376</c:v>
                </c:pt>
                <c:pt idx="16">
                  <c:v>1246869</c:v>
                </c:pt>
                <c:pt idx="17">
                  <c:v>1186445</c:v>
                </c:pt>
                <c:pt idx="18">
                  <c:v>1255958</c:v>
                </c:pt>
                <c:pt idx="19">
                  <c:v>1315299</c:v>
                </c:pt>
                <c:pt idx="20">
                  <c:v>1271310</c:v>
                </c:pt>
                <c:pt idx="21">
                  <c:v>1266330</c:v>
                </c:pt>
                <c:pt idx="22">
                  <c:v>1355081</c:v>
                </c:pt>
                <c:pt idx="23">
                  <c:v>1391924</c:v>
                </c:pt>
                <c:pt idx="24">
                  <c:v>1350128</c:v>
                </c:pt>
                <c:pt idx="25">
                  <c:v>1346165</c:v>
                </c:pt>
                <c:pt idx="26">
                  <c:v>1458087</c:v>
                </c:pt>
                <c:pt idx="27">
                  <c:v>1456660</c:v>
                </c:pt>
                <c:pt idx="28">
                  <c:v>1439001</c:v>
                </c:pt>
                <c:pt idx="29">
                  <c:v>1455601</c:v>
                </c:pt>
                <c:pt idx="30">
                  <c:v>1552139</c:v>
                </c:pt>
                <c:pt idx="31">
                  <c:v>1555442</c:v>
                </c:pt>
                <c:pt idx="32">
                  <c:v>1458249</c:v>
                </c:pt>
                <c:pt idx="33">
                  <c:v>1495282</c:v>
                </c:pt>
                <c:pt idx="34">
                  <c:v>1593674</c:v>
                </c:pt>
                <c:pt idx="35">
                  <c:v>1555617</c:v>
                </c:pt>
                <c:pt idx="36">
                  <c:v>1545047</c:v>
                </c:pt>
                <c:pt idx="37">
                  <c:v>1509369</c:v>
                </c:pt>
                <c:pt idx="38">
                  <c:v>1605813</c:v>
                </c:pt>
                <c:pt idx="39">
                  <c:v>1610094</c:v>
                </c:pt>
                <c:pt idx="40">
                  <c:v>1613516</c:v>
                </c:pt>
                <c:pt idx="41">
                  <c:v>1581621</c:v>
                </c:pt>
                <c:pt idx="42">
                  <c:v>1707420</c:v>
                </c:pt>
                <c:pt idx="43">
                  <c:v>1721361</c:v>
                </c:pt>
                <c:pt idx="44">
                  <c:v>1690009</c:v>
                </c:pt>
                <c:pt idx="45">
                  <c:v>1639210</c:v>
                </c:pt>
              </c:numCache>
            </c:numRef>
          </c:yVal>
          <c:smooth val="1"/>
        </c:ser>
        <c:dLbls>
          <c:showLegendKey val="0"/>
          <c:showVal val="0"/>
          <c:showCatName val="0"/>
          <c:showSerName val="0"/>
          <c:showPercent val="0"/>
          <c:showBubbleSize val="0"/>
        </c:dLbls>
        <c:axId val="574946608"/>
        <c:axId val="574944432"/>
      </c:scatterChart>
      <c:valAx>
        <c:axId val="574946608"/>
        <c:scaling>
          <c:orientation val="minMax"/>
        </c:scaling>
        <c:delete val="0"/>
        <c:axPos val="b"/>
        <c:majorGridlines/>
        <c:minorGridlines/>
        <c:title>
          <c:tx>
            <c:rich>
              <a:bodyPr/>
              <a:lstStyle/>
              <a:p>
                <a:pPr>
                  <a:defRPr/>
                </a:pPr>
                <a:r>
                  <a:rPr lang="en-US"/>
                  <a:t> Quarters from 2001</a:t>
                </a:r>
              </a:p>
            </c:rich>
          </c:tx>
          <c:overlay val="0"/>
        </c:title>
        <c:majorTickMark val="out"/>
        <c:minorTickMark val="none"/>
        <c:tickLblPos val="nextTo"/>
        <c:crossAx val="574944432"/>
        <c:crosses val="autoZero"/>
        <c:crossBetween val="midCat"/>
      </c:valAx>
      <c:valAx>
        <c:axId val="574944432"/>
        <c:scaling>
          <c:orientation val="minMax"/>
          <c:max val="2000000"/>
          <c:min val="1000000"/>
        </c:scaling>
        <c:delete val="0"/>
        <c:axPos val="l"/>
        <c:majorGridlines/>
        <c:minorGridlines/>
        <c:title>
          <c:tx>
            <c:rich>
              <a:bodyPr/>
              <a:lstStyle/>
              <a:p>
                <a:pPr>
                  <a:defRPr/>
                </a:pPr>
                <a:r>
                  <a:rPr lang="en-US"/>
                  <a:t>Kshs. Million</a:t>
                </a:r>
              </a:p>
            </c:rich>
          </c:tx>
          <c:overlay val="0"/>
        </c:title>
        <c:numFmt formatCode="General" sourceLinked="1"/>
        <c:majorTickMark val="out"/>
        <c:minorTickMark val="none"/>
        <c:tickLblPos val="nextTo"/>
        <c:crossAx val="574946608"/>
        <c:crosses val="autoZero"/>
        <c:crossBetween val="midCat"/>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rendline>
            <c:trendlineType val="movingAvg"/>
            <c:period val="2"/>
            <c:dispRSqr val="0"/>
            <c:dispEq val="0"/>
          </c:trendline>
          <c:xVal>
            <c:strRef>
              <c:f>'Quartely GDP Data'!$A$2:$A$47</c:f>
              <c:strCache>
                <c:ptCount val="46"/>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strCache>
            </c:strRef>
          </c:xVal>
          <c:yVal>
            <c:numRef>
              <c:f>'Quartely GDP Data'!$B$2:$B$47</c:f>
              <c:numCache>
                <c:formatCode>General</c:formatCode>
                <c:ptCount val="46"/>
                <c:pt idx="0">
                  <c:v>1099257</c:v>
                </c:pt>
                <c:pt idx="1">
                  <c:v>1054686</c:v>
                </c:pt>
                <c:pt idx="2">
                  <c:v>1101840</c:v>
                </c:pt>
                <c:pt idx="3">
                  <c:v>1147988</c:v>
                </c:pt>
                <c:pt idx="4">
                  <c:v>1125223</c:v>
                </c:pt>
                <c:pt idx="5">
                  <c:v>1127786</c:v>
                </c:pt>
                <c:pt idx="6">
                  <c:v>1167676</c:v>
                </c:pt>
                <c:pt idx="7">
                  <c:v>1175559</c:v>
                </c:pt>
                <c:pt idx="8">
                  <c:v>1174960</c:v>
                </c:pt>
                <c:pt idx="9">
                  <c:v>1119361</c:v>
                </c:pt>
                <c:pt idx="10">
                  <c:v>1146187</c:v>
                </c:pt>
                <c:pt idx="11">
                  <c:v>1193239</c:v>
                </c:pt>
                <c:pt idx="12">
                  <c:v>1171154</c:v>
                </c:pt>
                <c:pt idx="13">
                  <c:v>1133560</c:v>
                </c:pt>
                <c:pt idx="14">
                  <c:v>1217166</c:v>
                </c:pt>
                <c:pt idx="15">
                  <c:v>1251376</c:v>
                </c:pt>
                <c:pt idx="16">
                  <c:v>1246869</c:v>
                </c:pt>
                <c:pt idx="17">
                  <c:v>1186445</c:v>
                </c:pt>
                <c:pt idx="18">
                  <c:v>1255958</c:v>
                </c:pt>
                <c:pt idx="19">
                  <c:v>1315299</c:v>
                </c:pt>
                <c:pt idx="20">
                  <c:v>1271310</c:v>
                </c:pt>
                <c:pt idx="21">
                  <c:v>1266330</c:v>
                </c:pt>
                <c:pt idx="22">
                  <c:v>1355081</c:v>
                </c:pt>
                <c:pt idx="23">
                  <c:v>1391924</c:v>
                </c:pt>
                <c:pt idx="24">
                  <c:v>1350128</c:v>
                </c:pt>
                <c:pt idx="25">
                  <c:v>1346165</c:v>
                </c:pt>
                <c:pt idx="26">
                  <c:v>1458087</c:v>
                </c:pt>
                <c:pt idx="27">
                  <c:v>1456660</c:v>
                </c:pt>
                <c:pt idx="28">
                  <c:v>1439001</c:v>
                </c:pt>
                <c:pt idx="29">
                  <c:v>1455601</c:v>
                </c:pt>
                <c:pt idx="30">
                  <c:v>1552139</c:v>
                </c:pt>
                <c:pt idx="31">
                  <c:v>1555442</c:v>
                </c:pt>
                <c:pt idx="32">
                  <c:v>1458249</c:v>
                </c:pt>
                <c:pt idx="33">
                  <c:v>1495282</c:v>
                </c:pt>
                <c:pt idx="34">
                  <c:v>1593674</c:v>
                </c:pt>
                <c:pt idx="35">
                  <c:v>1555617</c:v>
                </c:pt>
                <c:pt idx="36">
                  <c:v>1545047</c:v>
                </c:pt>
                <c:pt idx="37">
                  <c:v>1509369</c:v>
                </c:pt>
                <c:pt idx="38">
                  <c:v>1605813</c:v>
                </c:pt>
                <c:pt idx="39">
                  <c:v>1610094</c:v>
                </c:pt>
                <c:pt idx="40">
                  <c:v>1613516</c:v>
                </c:pt>
                <c:pt idx="41">
                  <c:v>1581621</c:v>
                </c:pt>
                <c:pt idx="42">
                  <c:v>1707420</c:v>
                </c:pt>
                <c:pt idx="43">
                  <c:v>1721361</c:v>
                </c:pt>
                <c:pt idx="44">
                  <c:v>1690009</c:v>
                </c:pt>
                <c:pt idx="45">
                  <c:v>1639210</c:v>
                </c:pt>
              </c:numCache>
            </c:numRef>
          </c:yVal>
          <c:smooth val="0"/>
        </c:ser>
        <c:dLbls>
          <c:showLegendKey val="0"/>
          <c:showVal val="0"/>
          <c:showCatName val="0"/>
          <c:showSerName val="0"/>
          <c:showPercent val="0"/>
          <c:showBubbleSize val="0"/>
        </c:dLbls>
        <c:axId val="574946064"/>
        <c:axId val="574947696"/>
      </c:scatterChart>
      <c:valAx>
        <c:axId val="574946064"/>
        <c:scaling>
          <c:orientation val="minMax"/>
        </c:scaling>
        <c:delete val="0"/>
        <c:axPos val="b"/>
        <c:majorTickMark val="out"/>
        <c:minorTickMark val="none"/>
        <c:tickLblPos val="nextTo"/>
        <c:crossAx val="574947696"/>
        <c:crosses val="autoZero"/>
        <c:crossBetween val="midCat"/>
      </c:valAx>
      <c:valAx>
        <c:axId val="574947696"/>
        <c:scaling>
          <c:orientation val="minMax"/>
          <c:max val="2000000"/>
          <c:min val="1000000"/>
        </c:scaling>
        <c:delete val="0"/>
        <c:axPos val="l"/>
        <c:majorGridlines/>
        <c:numFmt formatCode="General" sourceLinked="1"/>
        <c:majorTickMark val="out"/>
        <c:minorTickMark val="none"/>
        <c:tickLblPos val="nextTo"/>
        <c:crossAx val="574946064"/>
        <c:crosses val="autoZero"/>
        <c:crossBetween val="midCat"/>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559033200181916"/>
          <c:y val="2.2140664151361674E-2"/>
          <c:w val="0.64489624600682749"/>
          <c:h val="0.78852011905942032"/>
        </c:manualLayout>
      </c:layout>
      <c:lineChart>
        <c:grouping val="stacked"/>
        <c:varyColors val="0"/>
        <c:ser>
          <c:idx val="0"/>
          <c:order val="0"/>
          <c:cat>
            <c:strRef>
              <c:f>'[Quarterly_GDP_2000_-_2011_Chart.xls]Quarterly GDP 2000 - 2011 Char'!$A$2:$A$47</c:f>
              <c:strCache>
                <c:ptCount val="46"/>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strCache>
            </c:strRef>
          </c:cat>
          <c:val>
            <c:numRef>
              <c:f>'[Quarterly_GDP_2000_-_2011_Chart.xls]Quarterly GDP 2000 - 2011 Char'!$B$2:$B$47</c:f>
              <c:numCache>
                <c:formatCode>General</c:formatCode>
                <c:ptCount val="46"/>
                <c:pt idx="0">
                  <c:v>1099257</c:v>
                </c:pt>
                <c:pt idx="1">
                  <c:v>1054686</c:v>
                </c:pt>
                <c:pt idx="2">
                  <c:v>1101840</c:v>
                </c:pt>
                <c:pt idx="3">
                  <c:v>1147988</c:v>
                </c:pt>
                <c:pt idx="4">
                  <c:v>1125223</c:v>
                </c:pt>
                <c:pt idx="5">
                  <c:v>1127786</c:v>
                </c:pt>
                <c:pt idx="6">
                  <c:v>1167676</c:v>
                </c:pt>
                <c:pt idx="7">
                  <c:v>1175559</c:v>
                </c:pt>
                <c:pt idx="8">
                  <c:v>1174960</c:v>
                </c:pt>
                <c:pt idx="9">
                  <c:v>1119361</c:v>
                </c:pt>
                <c:pt idx="10">
                  <c:v>1146187</c:v>
                </c:pt>
                <c:pt idx="11">
                  <c:v>1193239</c:v>
                </c:pt>
                <c:pt idx="12">
                  <c:v>1171154</c:v>
                </c:pt>
                <c:pt idx="13">
                  <c:v>1133560</c:v>
                </c:pt>
                <c:pt idx="14">
                  <c:v>1217166</c:v>
                </c:pt>
                <c:pt idx="15">
                  <c:v>1251376</c:v>
                </c:pt>
                <c:pt idx="16">
                  <c:v>1246869</c:v>
                </c:pt>
                <c:pt idx="17">
                  <c:v>1186445</c:v>
                </c:pt>
                <c:pt idx="18">
                  <c:v>1255958</c:v>
                </c:pt>
                <c:pt idx="19">
                  <c:v>1315299</c:v>
                </c:pt>
                <c:pt idx="20">
                  <c:v>1271310</c:v>
                </c:pt>
                <c:pt idx="21">
                  <c:v>1266330</c:v>
                </c:pt>
                <c:pt idx="22">
                  <c:v>1355081</c:v>
                </c:pt>
                <c:pt idx="23">
                  <c:v>1391924</c:v>
                </c:pt>
                <c:pt idx="24">
                  <c:v>1350128</c:v>
                </c:pt>
                <c:pt idx="25">
                  <c:v>1346165</c:v>
                </c:pt>
                <c:pt idx="26">
                  <c:v>1458087</c:v>
                </c:pt>
                <c:pt idx="27">
                  <c:v>1456660</c:v>
                </c:pt>
                <c:pt idx="28">
                  <c:v>1439001</c:v>
                </c:pt>
                <c:pt idx="29">
                  <c:v>1455601</c:v>
                </c:pt>
                <c:pt idx="30">
                  <c:v>1552139</c:v>
                </c:pt>
                <c:pt idx="31">
                  <c:v>1555442</c:v>
                </c:pt>
                <c:pt idx="32">
                  <c:v>1458249</c:v>
                </c:pt>
                <c:pt idx="33">
                  <c:v>1495282</c:v>
                </c:pt>
                <c:pt idx="34">
                  <c:v>1593674</c:v>
                </c:pt>
                <c:pt idx="35">
                  <c:v>1555617</c:v>
                </c:pt>
                <c:pt idx="36">
                  <c:v>1545047</c:v>
                </c:pt>
                <c:pt idx="37">
                  <c:v>1509369</c:v>
                </c:pt>
                <c:pt idx="38">
                  <c:v>1605813</c:v>
                </c:pt>
                <c:pt idx="39">
                  <c:v>1610094</c:v>
                </c:pt>
                <c:pt idx="40">
                  <c:v>1613516</c:v>
                </c:pt>
                <c:pt idx="41">
                  <c:v>1581621</c:v>
                </c:pt>
                <c:pt idx="42">
                  <c:v>1707420</c:v>
                </c:pt>
                <c:pt idx="43">
                  <c:v>1721361</c:v>
                </c:pt>
                <c:pt idx="44">
                  <c:v>1690009</c:v>
                </c:pt>
                <c:pt idx="45">
                  <c:v>1639210</c:v>
                </c:pt>
              </c:numCache>
            </c:numRef>
          </c:val>
          <c:smooth val="0"/>
        </c:ser>
        <c:dLbls>
          <c:showLegendKey val="0"/>
          <c:showVal val="0"/>
          <c:showCatName val="0"/>
          <c:showSerName val="0"/>
          <c:showPercent val="0"/>
          <c:showBubbleSize val="0"/>
        </c:dLbls>
        <c:marker val="1"/>
        <c:smooth val="0"/>
        <c:axId val="574948784"/>
        <c:axId val="574948240"/>
      </c:lineChart>
      <c:catAx>
        <c:axId val="574948784"/>
        <c:scaling>
          <c:orientation val="minMax"/>
        </c:scaling>
        <c:delete val="0"/>
        <c:axPos val="b"/>
        <c:numFmt formatCode="General" sourceLinked="0"/>
        <c:majorTickMark val="out"/>
        <c:minorTickMark val="none"/>
        <c:tickLblPos val="nextTo"/>
        <c:crossAx val="574948240"/>
        <c:crosses val="autoZero"/>
        <c:auto val="1"/>
        <c:lblAlgn val="ctr"/>
        <c:lblOffset val="100"/>
        <c:noMultiLvlLbl val="0"/>
      </c:catAx>
      <c:valAx>
        <c:axId val="574948240"/>
        <c:scaling>
          <c:orientation val="minMax"/>
          <c:max val="2000000"/>
          <c:min val="1000000"/>
        </c:scaling>
        <c:delete val="0"/>
        <c:axPos val="l"/>
        <c:majorGridlines/>
        <c:numFmt formatCode="General" sourceLinked="1"/>
        <c:majorTickMark val="out"/>
        <c:minorTickMark val="none"/>
        <c:tickLblPos val="nextTo"/>
        <c:crossAx val="574948784"/>
        <c:crosses val="autoZero"/>
        <c:crossBetween val="between"/>
        <c:dispUnits>
          <c:builtInUnit val="millions"/>
          <c:dispUnitsLbl/>
        </c:dispUnits>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54CE8-87F5-43A0-BB7D-1B72C7DDC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6</Pages>
  <Words>2271</Words>
  <Characters>12949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Nelson Yego</cp:lastModifiedBy>
  <cp:revision>42</cp:revision>
  <dcterms:created xsi:type="dcterms:W3CDTF">2015-09-29T06:04:00Z</dcterms:created>
  <dcterms:modified xsi:type="dcterms:W3CDTF">2016-07-10T14:54:00Z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nelsonyego@gmail.com@www.mendeley.com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